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color w:val="15293F"/>
          <w:sz w:val="38"/>
        </w:rPr>
        <w:t>Agent Factory Control Panel</w:t>
      </w:r>
    </w:p>
    <w:p>
      <w:pPr>
        <w:spacing w:after="160"/>
      </w:pPr>
      <w:r>
        <w:rPr>
          <w:rFonts w:ascii="Aptos" w:hAnsi="Aptos"/>
          <w:b/>
          <w:color w:val="1F5177"/>
          <w:sz w:val="20"/>
        </w:rPr>
        <w:t>Proposed Feature Summary</w:t>
      </w:r>
    </w:p>
    <w:p>
      <w:pPr>
        <w:spacing w:after="220"/>
      </w:pPr>
      <w:r>
        <w:rPr>
          <w:rFonts w:ascii="Aptos" w:hAnsi="Aptos"/>
          <w:b/>
          <w:color w:val="525E6C"/>
          <w:sz w:val="15"/>
        </w:rPr>
        <w:t>TARGET-STATE CONCEPT   •   17 CAPABILITY AREAS   •   12 OCTOBER 2026</w:t>
      </w:r>
    </w:p>
    <w:p>
      <w:pPr>
        <w:spacing w:after="260" w:line="281" w:lineRule="auto"/>
      </w:pPr>
      <w:r>
        <w:rPr>
          <w:rFonts w:ascii="Aptos" w:hAnsi="Aptos"/>
          <w:b/>
          <w:color w:val="15293F"/>
          <w:sz w:val="18"/>
        </w:rPr>
        <w:t xml:space="preserve">Overview  </w:t>
      </w:r>
      <w:r>
        <w:rPr>
          <w:rFonts w:ascii="Aptos" w:hAnsi="Aptos"/>
          <w:color w:val="525E6C"/>
          <w:sz w:val="18"/>
        </w:rPr>
        <w:t>The proposed control panel is a unified command, governance and audit interface for operating an estate of AI agents. It combines live oversight and intervention with deployment management, human approvals, security controls, cost management, quality measurement and enterprise reporting.</w:t>
      </w:r>
    </w:p>
    <w:p>
      <w:pPr>
        <w:spacing w:before="20" w:after="140"/>
      </w:pPr>
      <w:r>
        <w:rPr>
          <w:rFonts w:ascii="Aptos" w:hAnsi="Aptos"/>
          <w:b/>
          <w:color w:val="1F5177"/>
          <w:sz w:val="16"/>
        </w:rPr>
        <w:t>FUNCTIONAL CAPABILITY SCOPE</w:t>
      </w:r>
    </w:p>
    <w:tbl>
      <w:tblPr>
        <w:tblW w:type="auto" w:w="0"/>
        <w:jc w:val="center"/>
        <w:tblLayout w:type="fixed"/>
        <w:tblLook w:firstColumn="1" w:firstRow="1" w:lastColumn="0" w:lastRow="0" w:noHBand="0" w:noVBand="1" w:val="04A0"/>
      </w:tblPr>
      <w:tblGrid>
        <w:gridCol w:w="2405"/>
        <w:gridCol w:w="7430"/>
      </w:tblGrid>
      <w:tr>
        <w:trPr>
          <w:tblHeader w:val="true"/>
        </w:trPr>
        <w:tc>
          <w:tcPr>
            <w:tcW w:type="dxa" w:w="2405"/>
            <w:shd w:fill="1F5177"/>
            <w:vAlign w:val="center"/>
            <w:tcBorders>
              <w:bottom w:val="single" w:sz="6" w:color="1F5177"/>
            </w:tcBorders>
          </w:tcPr>
          <w:p>
            <w:pPr>
              <w:spacing w:before="60" w:after="60"/>
            </w:pPr>
            <w:r>
              <w:rPr>
                <w:rFonts w:ascii="Aptos" w:hAnsi="Aptos"/>
                <w:b/>
                <w:color w:val="FFFFFF"/>
                <w:sz w:val="16"/>
              </w:rPr>
              <w:t>AREA</w:t>
            </w:r>
          </w:p>
        </w:tc>
        <w:tc>
          <w:tcPr>
            <w:tcW w:type="dxa" w:w="7430"/>
            <w:shd w:fill="1F5177"/>
            <w:vAlign w:val="center"/>
            <w:tcBorders>
              <w:bottom w:val="single" w:sz="6" w:color="1F5177"/>
            </w:tcBorders>
          </w:tcPr>
          <w:p>
            <w:pPr>
              <w:spacing w:before="60" w:after="60"/>
            </w:pPr>
            <w:r>
              <w:rPr>
                <w:rFonts w:ascii="Aptos" w:hAnsi="Aptos"/>
                <w:b/>
                <w:color w:val="FFFFFF"/>
                <w:sz w:val="16"/>
              </w:rPr>
              <w:t>PROPOSED FEATURES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01  </w:t>
            </w:r>
            <w:r>
              <w:rPr>
                <w:rFonts w:ascii="Aptos" w:hAnsi="Aptos"/>
                <w:b/>
                <w:color w:val="15293F"/>
                <w:sz w:val="17"/>
              </w:rPr>
              <w:t>Situational awareness</w:t>
            </w:r>
          </w:p>
        </w:tc>
        <w:tc>
          <w:tcPr>
            <w:tcW w:type="dxa" w:w="7430"/>
            <w:vAlign w:val="center"/>
            <w:tcBorders>
              <w:bottom w:val="single" w:sz="3" w:color="D9E3EB"/>
            </w:tcBorders>
          </w:tcPr>
          <w:p>
            <w:pPr>
              <w:spacing w:before="90" w:after="90" w:line="264" w:lineRule="auto"/>
            </w:pPr>
            <w:r>
              <w:rPr>
                <w:rFonts w:ascii="Aptos" w:hAnsi="Aptos"/>
                <w:color w:val="15293F"/>
                <w:sz w:val="17"/>
              </w:rPr>
              <w:t>Portfolio-wide live dashboard; execution flow maps; prioritized alerts; historical playback and period comparisons; status summaries; desktop signals; agent health and dependency views.</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02  </w:t>
            </w:r>
            <w:r>
              <w:rPr>
                <w:rFonts w:ascii="Aptos" w:hAnsi="Aptos"/>
                <w:b/>
                <w:color w:val="15293F"/>
                <w:sz w:val="17"/>
              </w:rPr>
              <w:t>Fleet &amp; lifecycle</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Lifecycle stages and deployment gates; version tracking/diffs; canary and shadow runs; one-click rollback; drift monitoring; templates and lineage; retirement records; bulk fleet actions.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03  </w:t>
            </w:r>
            <w:r>
              <w:rPr>
                <w:rFonts w:ascii="Aptos" w:hAnsi="Aptos"/>
                <w:b/>
                <w:color w:val="15293F"/>
                <w:sz w:val="17"/>
              </w:rPr>
              <w:t>Runs &amp; intervention</w:t>
            </w:r>
          </w:p>
        </w:tc>
        <w:tc>
          <w:tcPr>
            <w:tcW w:type="dxa" w:w="7430"/>
            <w:vAlign w:val="center"/>
            <w:tcBorders>
              <w:bottom w:val="single" w:sz="3" w:color="D9E3EB"/>
            </w:tcBorders>
          </w:tcPr>
          <w:p>
            <w:pPr>
              <w:spacing w:before="90" w:after="90" w:line="264" w:lineRule="auto"/>
            </w:pPr>
            <w:r>
              <w:rPr>
                <w:rFonts w:ascii="Aptos" w:hAnsi="Aptos"/>
                <w:color w:val="15293F"/>
                <w:sz w:val="17"/>
              </w:rPr>
              <w:t>In-flight guidance and kill controls; execution replay and run comparison; restart from any step; counterfactual previews; nested-agent visibility; run artifacts; stuck-run detection.</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04  </w:t>
            </w:r>
            <w:r>
              <w:rPr>
                <w:rFonts w:ascii="Aptos" w:hAnsi="Aptos"/>
                <w:b/>
                <w:color w:val="15293F"/>
                <w:sz w:val="17"/>
              </w:rPr>
              <w:t>Human approvals</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Unified approval queue; evidence, policy and precedent context; role-based delegation/escalation; batch decisions; AI reviewer notes; reviewer analytics; signed decisions.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05  </w:t>
            </w:r>
            <w:r>
              <w:rPr>
                <w:rFonts w:ascii="Aptos" w:hAnsi="Aptos"/>
                <w:b/>
                <w:color w:val="15293F"/>
                <w:sz w:val="17"/>
              </w:rPr>
              <w:t>Guardrails &amp; policy</w:t>
            </w:r>
          </w:p>
        </w:tc>
        <w:tc>
          <w:tcPr>
            <w:tcW w:type="dxa" w:w="7430"/>
            <w:vAlign w:val="center"/>
            <w:tcBorders>
              <w:bottom w:val="single" w:sz="3" w:color="D9E3EB"/>
            </w:tcBorders>
          </w:tcPr>
          <w:p>
            <w:pPr>
              <w:spacing w:before="90" w:after="90" w:line="264" w:lineRule="auto"/>
            </w:pPr>
            <w:r>
              <w:rPr>
                <w:rFonts w:ascii="Aptos" w:hAnsi="Aptos"/>
                <w:color w:val="15293F"/>
                <w:sz w:val="17"/>
              </w:rPr>
              <w:t>Control-level refusal/violation reporting; NIST/ISO mapping; historical policy simulation; least-privilege recommendations; untrusted-data lineage; injection/exfiltration monitoring; governed changes; emergency lockdown.</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06  </w:t>
            </w:r>
            <w:r>
              <w:rPr>
                <w:rFonts w:ascii="Aptos" w:hAnsi="Aptos"/>
                <w:b/>
                <w:color w:val="15293F"/>
                <w:sz w:val="17"/>
              </w:rPr>
              <w:t>Identity &amp; access</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Role-based access; non-human identity and credential inventory; findings and remediation; credential rotation; periodic access reviews; step-up authorization for sensitive operations.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07  </w:t>
            </w:r>
            <w:r>
              <w:rPr>
                <w:rFonts w:ascii="Aptos" w:hAnsi="Aptos"/>
                <w:b/>
                <w:color w:val="15293F"/>
                <w:sz w:val="17"/>
              </w:rPr>
              <w:t>Cost &amp; FinOps</w:t>
            </w:r>
          </w:p>
        </w:tc>
        <w:tc>
          <w:tcPr>
            <w:tcW w:type="dxa" w:w="7430"/>
            <w:vAlign w:val="center"/>
            <w:tcBorders>
              <w:bottom w:val="single" w:sz="3" w:color="D9E3EB"/>
            </w:tcBorders>
          </w:tcPr>
          <w:p>
            <w:pPr>
              <w:spacing w:before="90" w:after="90" w:line="264" w:lineRule="auto"/>
            </w:pPr>
            <w:r>
              <w:rPr>
                <w:rFonts w:ascii="Aptos" w:hAnsi="Aptos"/>
                <w:color w:val="15293F"/>
                <w:sz w:val="17"/>
              </w:rPr>
              <w:t>Granular spend attribution; hard budgets; forecast and anomaly alerts; model-routing recommendations; what-if provider/model pricing; cloud-bill reconciliation; client/team chargeback.</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08  </w:t>
            </w:r>
            <w:r>
              <w:rPr>
                <w:rFonts w:ascii="Aptos" w:hAnsi="Aptos"/>
                <w:b/>
                <w:color w:val="15293F"/>
                <w:sz w:val="17"/>
              </w:rPr>
              <w:t>Quality &amp; evaluations</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Per-agent benchmark tracking; model quality/cost/latency comparisons; regression release gates; production-run reviews; confusion/calibration analytics; reference (“golden”) runs.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09  </w:t>
            </w:r>
            <w:r>
              <w:rPr>
                <w:rFonts w:ascii="Aptos" w:hAnsi="Aptos"/>
                <w:b/>
                <w:color w:val="15293F"/>
                <w:sz w:val="17"/>
              </w:rPr>
              <w:t>Knowledge</w:t>
            </w:r>
          </w:p>
        </w:tc>
        <w:tc>
          <w:tcPr>
            <w:tcW w:type="dxa" w:w="7430"/>
            <w:vAlign w:val="center"/>
            <w:tcBorders>
              <w:bottom w:val="single" w:sz="3" w:color="D9E3EB"/>
            </w:tcBorders>
          </w:tcPr>
          <w:p>
            <w:pPr>
              <w:spacing w:before="90" w:after="90" w:line="264" w:lineRule="auto"/>
            </w:pPr>
            <w:r>
              <w:rPr>
                <w:rFonts w:ascii="Aptos" w:hAnsi="Aptos"/>
                <w:color w:val="15293F"/>
                <w:sz w:val="17"/>
              </w:rPr>
              <w:t>Corpus freshness, admission and indexing health; RAG passage/reranker/grounding traceability; document review workflow; standards and regulatory coverage gaps.</w:t>
            </w:r>
          </w:p>
        </w:tc>
      </w:tr>
    </w:tbl>
    <w:p>
      <w:r>
        <w:br w:type="page"/>
      </w:r>
    </w:p>
    <w:p>
      <w:pPr>
        <w:spacing w:after="160"/>
      </w:pPr>
      <w:r>
        <w:rPr>
          <w:rFonts w:ascii="Aptos" w:hAnsi="Aptos"/>
          <w:b/>
          <w:color w:val="1F5177"/>
          <w:sz w:val="16"/>
        </w:rPr>
        <w:t>FUNCTIONAL CAPABILITY SCOPE  /  CONTINUED</w:t>
      </w:r>
    </w:p>
    <w:tbl>
      <w:tblPr>
        <w:tblW w:type="auto" w:w="0"/>
        <w:jc w:val="center"/>
        <w:tblLayout w:type="fixed"/>
        <w:tblLook w:firstColumn="1" w:firstRow="1" w:lastColumn="0" w:lastRow="0" w:noHBand="0" w:noVBand="1" w:val="04A0"/>
      </w:tblPr>
      <w:tblGrid>
        <w:gridCol w:w="2405"/>
        <w:gridCol w:w="7430"/>
      </w:tblGrid>
      <w:tr>
        <w:trPr>
          <w:tblHeader w:val="true"/>
        </w:trPr>
        <w:tc>
          <w:tcPr>
            <w:tcW w:type="dxa" w:w="2405"/>
            <w:shd w:fill="1F5177"/>
            <w:vAlign w:val="center"/>
            <w:tcBorders>
              <w:bottom w:val="single" w:sz="6" w:color="1F5177"/>
            </w:tcBorders>
          </w:tcPr>
          <w:p>
            <w:pPr>
              <w:spacing w:before="60" w:after="60"/>
            </w:pPr>
            <w:r>
              <w:rPr>
                <w:rFonts w:ascii="Aptos" w:hAnsi="Aptos"/>
                <w:b/>
                <w:color w:val="FFFFFF"/>
                <w:sz w:val="16"/>
              </w:rPr>
              <w:t>AREA</w:t>
            </w:r>
          </w:p>
        </w:tc>
        <w:tc>
          <w:tcPr>
            <w:tcW w:type="dxa" w:w="7430"/>
            <w:shd w:fill="1F5177"/>
            <w:vAlign w:val="center"/>
            <w:tcBorders>
              <w:bottom w:val="single" w:sz="6" w:color="1F5177"/>
            </w:tcBorders>
          </w:tcPr>
          <w:p>
            <w:pPr>
              <w:spacing w:before="60" w:after="60"/>
            </w:pPr>
            <w:r>
              <w:rPr>
                <w:rFonts w:ascii="Aptos" w:hAnsi="Aptos"/>
                <w:b/>
                <w:color w:val="FFFFFF"/>
                <w:sz w:val="16"/>
              </w:rPr>
              <w:t>PROPOSED FEATURES</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10  </w:t>
            </w:r>
            <w:r>
              <w:rPr>
                <w:rFonts w:ascii="Aptos" w:hAnsi="Aptos"/>
                <w:b/>
                <w:color w:val="15293F"/>
                <w:sz w:val="17"/>
              </w:rPr>
              <w:t>Integrations &amp; surfaces</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Connector catalogue and availability; MCP tool brokerage; exposed MCP/A2A interfaces; webhook/queue monitoring and replay; ServiceNow/Teams/Slack workflows.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11  </w:t>
            </w:r>
            <w:r>
              <w:rPr>
                <w:rFonts w:ascii="Aptos" w:hAnsi="Aptos"/>
                <w:b/>
                <w:color w:val="15293F"/>
                <w:sz w:val="17"/>
              </w:rPr>
              <w:t>Observability</w:t>
            </w:r>
          </w:p>
        </w:tc>
        <w:tc>
          <w:tcPr>
            <w:tcW w:type="dxa" w:w="7430"/>
            <w:vAlign w:val="center"/>
            <w:tcBorders>
              <w:bottom w:val="single" w:sz="3" w:color="D9E3EB"/>
            </w:tcBorders>
          </w:tcPr>
          <w:p>
            <w:pPr>
              <w:spacing w:before="90" w:after="90" w:line="264" w:lineRule="auto"/>
            </w:pPr>
            <w:r>
              <w:rPr>
                <w:rFonts w:ascii="Aptos" w:hAnsi="Aptos"/>
                <w:color w:val="15293F"/>
                <w:sz w:val="17"/>
              </w:rPr>
              <w:t>OpenTelemetry-compatible execution traces; filterable audit logs; agent SLOs and error budgets; continuous dependency health checks; related-event correlation.</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12  </w:t>
            </w:r>
            <w:r>
              <w:rPr>
                <w:rFonts w:ascii="Aptos" w:hAnsi="Aptos"/>
                <w:b/>
                <w:color w:val="15293F"/>
                <w:sz w:val="17"/>
              </w:rPr>
              <w:t>Incident response</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Automatic incident creation; guided runbooks; pause/revoke/block/drain containment actions; journal-derived incident timelines and post-incident reports.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13  </w:t>
            </w:r>
            <w:r>
              <w:rPr>
                <w:rFonts w:ascii="Aptos" w:hAnsi="Aptos"/>
                <w:b/>
                <w:color w:val="15293F"/>
                <w:sz w:val="17"/>
              </w:rPr>
              <w:t>Compliance &amp; audit</w:t>
            </w:r>
          </w:p>
        </w:tc>
        <w:tc>
          <w:tcPr>
            <w:tcW w:type="dxa" w:w="7430"/>
            <w:vAlign w:val="center"/>
            <w:tcBorders>
              <w:bottom w:val="single" w:sz="3" w:color="D9E3EB"/>
            </w:tcBorders>
          </w:tcPr>
          <w:p>
            <w:pPr>
              <w:spacing w:before="90" w:after="90" w:line="264" w:lineRule="auto"/>
            </w:pPr>
            <w:r>
              <w:rPr>
                <w:rFonts w:ascii="Aptos" w:hAnsi="Aptos"/>
                <w:color w:val="15293F"/>
                <w:sz w:val="17"/>
              </w:rPr>
              <w:t>On-demand evidence packs; tamper-evident journals; retention and redaction rules; DPDP/GDPR/SEBI/RBI/NIST AI RMF views; periodic owner attestations.</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14  </w:t>
            </w:r>
            <w:r>
              <w:rPr>
                <w:rFonts w:ascii="Aptos" w:hAnsi="Aptos"/>
                <w:b/>
                <w:color w:val="15293F"/>
                <w:sz w:val="17"/>
              </w:rPr>
              <w:t>Collaboration</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Contextual comments and mentions; review/incident/finding assignments; shareable saved views; reviewed AI-drafted weekly and monthly reports.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15  </w:t>
            </w:r>
            <w:r>
              <w:rPr>
                <w:rFonts w:ascii="Aptos" w:hAnsi="Aptos"/>
                <w:b/>
                <w:color w:val="15293F"/>
                <w:sz w:val="17"/>
              </w:rPr>
              <w:t>Assistance &amp; automation</w:t>
            </w:r>
          </w:p>
        </w:tc>
        <w:tc>
          <w:tcPr>
            <w:tcW w:type="dxa" w:w="7430"/>
            <w:vAlign w:val="center"/>
            <w:tcBorders>
              <w:bottom w:val="single" w:sz="3" w:color="D9E3EB"/>
            </w:tcBorders>
          </w:tcPr>
          <w:p>
            <w:pPr>
              <w:spacing w:before="90" w:after="90" w:line="264" w:lineRule="auto"/>
            </w:pPr>
            <w:r>
              <w:rPr>
                <w:rFonts w:ascii="Aptos" w:hAnsi="Aptos"/>
                <w:color w:val="15293F"/>
                <w:sz w:val="17"/>
              </w:rPr>
              <w:t>Natural-language queries over live records; explainable decisions and alerts; evidence-backed suggested actions; scheduled reviews/evaluations; policy-bounded retries and failover.</w:t>
            </w:r>
          </w:p>
        </w:tc>
      </w:tr>
      <w:tr>
        <w:trPr>
          <w:cantSplit/>
        </w:trPr>
        <w:tc>
          <w:tcPr>
            <w:tcW w:type="dxa" w:w="2405"/>
            <w:vAlign w:val="center"/>
            <w:shd w:fill="F3F7FA"/>
            <w:tcBorders>
              <w:bottom w:val="single" w:sz="3" w:color="D9E3EB"/>
            </w:tcBorders>
          </w:tcPr>
          <w:p>
            <w:pPr>
              <w:spacing w:before="90" w:after="90"/>
            </w:pPr>
            <w:r>
              <w:rPr>
                <w:rFonts w:ascii="Aptos" w:hAnsi="Aptos"/>
                <w:b/>
                <w:color w:val="1F5177"/>
                <w:sz w:val="16"/>
              </w:rPr>
              <w:t xml:space="preserve">16  </w:t>
            </w:r>
            <w:r>
              <w:rPr>
                <w:rFonts w:ascii="Aptos" w:hAnsi="Aptos"/>
                <w:b/>
                <w:color w:val="15293F"/>
                <w:sz w:val="17"/>
              </w:rPr>
              <w:t>User experience</w:t>
            </w:r>
          </w:p>
        </w:tc>
        <w:tc>
          <w:tcPr>
            <w:tcW w:type="dxa" w:w="7430"/>
            <w:vAlign w:val="center"/>
            <w:shd w:fill="F3F7FA"/>
            <w:tcBorders>
              <w:bottom w:val="single" w:sz="3" w:color="D9E3EB"/>
            </w:tcBorders>
          </w:tcPr>
          <w:p>
            <w:pPr>
              <w:spacing w:before="90" w:after="90" w:line="264" w:lineRule="auto"/>
            </w:pPr>
            <w:r>
              <w:rPr>
                <w:rFonts w:ascii="Aptos" w:hAnsi="Aptos"/>
                <w:color w:val="15293F"/>
                <w:sz w:val="17"/>
              </w:rPr>
              <w:t>Global command palette and keyboard actions; personalized density/theme; mobile approvals; accessibility; cached last-known state during outages.</w:t>
            </w:r>
          </w:p>
        </w:tc>
      </w:tr>
      <w:tr>
        <w:trPr>
          <w:cantSplit/>
        </w:trPr>
        <w:tc>
          <w:tcPr>
            <w:tcW w:type="dxa" w:w="2405"/>
            <w:vAlign w:val="center"/>
            <w:tcBorders>
              <w:bottom w:val="single" w:sz="3" w:color="D9E3EB"/>
            </w:tcBorders>
          </w:tcPr>
          <w:p>
            <w:pPr>
              <w:spacing w:before="90" w:after="90"/>
            </w:pPr>
            <w:r>
              <w:rPr>
                <w:rFonts w:ascii="Aptos" w:hAnsi="Aptos"/>
                <w:b/>
                <w:color w:val="1F5177"/>
                <w:sz w:val="16"/>
              </w:rPr>
              <w:t xml:space="preserve">17  </w:t>
            </w:r>
            <w:r>
              <w:rPr>
                <w:rFonts w:ascii="Aptos" w:hAnsi="Aptos"/>
                <w:b/>
                <w:color w:val="15293F"/>
                <w:sz w:val="17"/>
              </w:rPr>
              <w:t>Multi-tenant &amp; executive</w:t>
            </w:r>
          </w:p>
        </w:tc>
        <w:tc>
          <w:tcPr>
            <w:tcW w:type="dxa" w:w="7430"/>
            <w:vAlign w:val="center"/>
            <w:tcBorders>
              <w:bottom w:val="single" w:sz="3" w:color="D9E3EB"/>
            </w:tcBorders>
          </w:tcPr>
          <w:p>
            <w:pPr>
              <w:spacing w:before="90" w:after="90" w:line="264" w:lineRule="auto"/>
            </w:pPr>
            <w:r>
              <w:rPr>
                <w:rFonts w:ascii="Aptos" w:hAnsi="Aptos"/>
                <w:color w:val="15293F"/>
                <w:sz w:val="17"/>
              </w:rPr>
              <w:t>Separate estates by client/business unit with isolated policies, budgets and identities; executive KPI view; anonymized cross-estate benchmarking.</w:t>
            </w:r>
          </w:p>
        </w:tc>
      </w:tr>
    </w:tbl>
    <w:p>
      <w:pPr>
        <w:spacing w:before="200" w:after="80"/>
      </w:pPr>
      <w:r>
        <w:rPr>
          <w:rFonts w:ascii="Aptos" w:hAnsi="Aptos"/>
          <w:b/>
          <w:color w:val="1F5177"/>
          <w:sz w:val="16"/>
        </w:rPr>
        <w:t xml:space="preserve">Scope clarification  </w:t>
      </w:r>
      <w:r>
        <w:rPr>
          <w:rFonts w:ascii="Aptos" w:hAnsi="Aptos"/>
          <w:color w:val="525E6C"/>
          <w:sz w:val="16"/>
        </w:rPr>
        <w:t>This is a proposed future-state feature set, not an inventory of delivered capabilities. Priorities, dependencies, implementation status, estimates and delivery sequencing are not defined in the source.</w:t>
      </w:r>
    </w:p>
    <w:p>
      <w:pPr>
        <w:spacing w:after="0"/>
      </w:pPr>
      <w:r>
        <w:rPr>
          <w:rFonts w:ascii="Aptos" w:hAnsi="Aptos"/>
          <w:b/>
          <w:color w:val="525E6C"/>
          <w:sz w:val="14"/>
        </w:rPr>
        <w:t xml:space="preserve">Source: </w:t>
      </w:r>
      <w:r>
        <w:rPr>
          <w:rFonts w:ascii="Aptos" w:hAnsi="Aptos"/>
          <w:color w:val="525E6C"/>
          <w:sz w:val="14"/>
        </w:rPr>
        <w:t>“Control panel: the full feature set” (Agent Factory control-plane concept specification).</w:t>
      </w:r>
    </w:p>
    <w:sectPr w:rsidR="00FC693F" w:rsidRPr="0006063C" w:rsidSect="00034616">
      <w:headerReference w:type="default" r:id="rId9"/>
      <w:footerReference w:type="default" r:id="rId10"/>
      <w:pgSz w:w="12240" w:h="15840"/>
      <w:pgMar w:top="1008" w:right="1210" w:bottom="979" w:left="121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5E6C"/>
        <w:sz w:val="14"/>
      </w:rPr>
      <w:t xml:space="preserve">Agent Factory  |  Proposed Scope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5E6C"/>
        <w:sz w:val="14"/>
      </w:rPr>
      <w:t>AGENT FACTORY  /  PRODUCT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4" w:lineRule="auto"/>
    </w:pPr>
    <w:rPr>
      <w:rFonts w:ascii="Aptos" w:hAnsi="Aptos"/>
      <w:color w:val="1529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Factory Control Panel - Proposed Feature Summary</dc:title>
  <dc:subject>Proposed feature scope for management review</dc:subject>
  <dc:creator/>
  <cp:keywords>Agent Factory; control panel; feature scope</cp:keywords>
  <dc:description>generated by python-docx</dc:description>
  <cp:lastModifiedBy/>
  <cp:revision>1</cp:revision>
  <dcterms:created xsi:type="dcterms:W3CDTF">2013-12-23T23:15:00Z</dcterms:created>
  <dcterms:modified xsi:type="dcterms:W3CDTF">2013-12-23T23:15:00Z</dcterms:modified>
  <cp:category/>
</cp:coreProperties>
</file>