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1A7F" w14:textId="2A409359" w:rsidR="00E020F8" w:rsidRPr="0070233F" w:rsidRDefault="00047709" w:rsidP="00047709">
      <w:pPr>
        <w:pStyle w:val="ds-markdown-paragraph"/>
        <w:rPr>
          <w:rFonts w:ascii="SimHei" w:eastAsia="SimHei" w:hAnsi="SimHei" w:cstheme="minorHAnsi"/>
          <w:color w:val="000000" w:themeColor="text1"/>
        </w:rPr>
      </w:pPr>
      <w:bookmarkStart w:id="0" w:name="OLE_LINK3"/>
      <w:bookmarkStart w:id="1" w:name="OLE_LINK4"/>
      <w:r w:rsidRPr="0070233F">
        <w:rPr>
          <w:rFonts w:ascii="SimHei" w:eastAsia="SimHei" w:hAnsi="SimHei" w:cstheme="minorHAnsi" w:hint="eastAsia"/>
          <w:color w:val="000000" w:themeColor="text1"/>
        </w:rPr>
        <w:t>斯莫尔</w:t>
      </w:r>
      <w:r w:rsidRPr="0070233F">
        <w:rPr>
          <w:rFonts w:ascii="SimHei" w:eastAsia="SimHei" w:hAnsi="SimHei" w:cstheme="minorHAnsi" w:hint="eastAsia"/>
          <w:color w:val="000000" w:themeColor="text1"/>
        </w:rPr>
        <w:t>专注于研发先进的</w:t>
      </w:r>
      <w:r w:rsidRPr="0070233F">
        <w:rPr>
          <w:rFonts w:ascii="SimHei" w:eastAsia="SimHei" w:hAnsi="SimHei" w:cstheme="minorHAnsi" w:hint="eastAsia"/>
          <w:color w:val="000000" w:themeColor="text1"/>
          <w:lang w:val="en-GB"/>
        </w:rPr>
        <w:t>EMC</w:t>
      </w:r>
      <w:r w:rsidRPr="0070233F">
        <w:rPr>
          <w:rFonts w:ascii="SimHei" w:eastAsia="SimHei" w:hAnsi="SimHei" w:cstheme="minorHAnsi" w:hint="eastAsia"/>
          <w:color w:val="000000" w:themeColor="text1"/>
        </w:rPr>
        <w:t>技术，为汽车、新能源</w:t>
      </w:r>
      <w:r w:rsidRPr="0070233F">
        <w:rPr>
          <w:rFonts w:ascii="SimHei" w:eastAsia="SimHei" w:hAnsi="SimHei" w:cstheme="minorHAnsi" w:hint="eastAsia"/>
          <w:color w:val="000000" w:themeColor="text1"/>
        </w:rPr>
        <w:t>、电力电子</w:t>
      </w:r>
      <w:r w:rsidRPr="0070233F">
        <w:rPr>
          <w:rFonts w:ascii="SimHei" w:eastAsia="SimHei" w:hAnsi="SimHei" w:cstheme="minorHAnsi" w:hint="eastAsia"/>
          <w:color w:val="000000" w:themeColor="text1"/>
        </w:rPr>
        <w:t>等行业提供创新、可靠的电磁兼容解决方案，助力客户应对复杂电磁环境挑战，确保产品性能与合规性</w:t>
      </w:r>
      <w:r w:rsidR="00E020F8" w:rsidRPr="0070233F">
        <w:rPr>
          <w:rFonts w:ascii="SimHei" w:eastAsia="SimHei" w:hAnsi="SimHei" w:cstheme="minorHAnsi"/>
          <w:color w:val="000000" w:themeColor="text1"/>
        </w:rPr>
        <w:t>：</w:t>
      </w:r>
    </w:p>
    <w:p w14:paraId="1ABD0C29" w14:textId="77777777" w:rsidR="00047709" w:rsidRPr="0070233F" w:rsidRDefault="00047709" w:rsidP="00047709">
      <w:pPr>
        <w:pStyle w:val="ds-markdown-paragraph"/>
        <w:rPr>
          <w:rFonts w:ascii="SimHei" w:eastAsia="SimHei" w:hAnsi="SimHei" w:cstheme="minorHAnsi"/>
          <w:color w:val="000000" w:themeColor="text1"/>
        </w:rPr>
      </w:pPr>
    </w:p>
    <w:p w14:paraId="50C9703A" w14:textId="77777777" w:rsidR="00047709" w:rsidRPr="0070233F" w:rsidRDefault="00047709" w:rsidP="00047709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新能源汽车：</w:t>
      </w:r>
    </w:p>
    <w:p w14:paraId="5AE33B0F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应用点：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车载充电机、DC-DC转换器、电机驱动器、电池管理系统中的变压器、电感和电流传感器。</w:t>
      </w:r>
    </w:p>
    <w:p w14:paraId="5A5D8E0E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优势：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高功率密度和效率是电动汽车的核心需求；宽工作温度范围（-40°C至+130°C甚至更高）满足车规要求；优异的抗振动性能。</w:t>
      </w:r>
    </w:p>
    <w:p w14:paraId="521FA699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举例：</w:t>
      </w:r>
    </w:p>
    <w:p w14:paraId="23470A8F" w14:textId="77777777" w:rsidR="00047709" w:rsidRPr="0070233F" w:rsidRDefault="00047709" w:rsidP="00047709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OBC：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主变压器、PFC电感。</w:t>
      </w:r>
    </w:p>
    <w:p w14:paraId="776CD4A8" w14:textId="77777777" w:rsidR="00047709" w:rsidRPr="0070233F" w:rsidRDefault="00047709" w:rsidP="00047709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高压DC-DC：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隔离变压器、输出滤波电感。</w:t>
      </w:r>
    </w:p>
    <w:p w14:paraId="25272087" w14:textId="77777777" w:rsidR="00047709" w:rsidRPr="0070233F" w:rsidRDefault="00047709" w:rsidP="00047709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电驱系统：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电机控制器中的驱动变压器（如隔离驱动电源）、电流传感器。</w:t>
      </w:r>
    </w:p>
    <w:p w14:paraId="6917994E" w14:textId="77777777" w:rsidR="00047709" w:rsidRPr="0070233F" w:rsidRDefault="00047709" w:rsidP="00047709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BMS：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电池电流传感器。</w:t>
      </w:r>
    </w:p>
    <w:p w14:paraId="413E6DAF" w14:textId="77777777" w:rsidR="00047709" w:rsidRPr="0070233F" w:rsidRDefault="00047709" w:rsidP="00047709">
      <w:pPr>
        <w:pStyle w:val="ds-markdown-paragraph"/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</w:p>
    <w:p w14:paraId="008468E0" w14:textId="77777777" w:rsidR="00047709" w:rsidRPr="0070233F" w:rsidRDefault="00047709" w:rsidP="00047709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新能源发电与储能：</w:t>
      </w:r>
    </w:p>
    <w:p w14:paraId="72B7F8EB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应用点：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光伏逆变器、风力发电变流器中的升压电感、滤波电感；储能变流器中的磁性元件。</w:t>
      </w:r>
    </w:p>
    <w:p w14:paraId="16D53B46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优势：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高效率（低损耗）对于提升系统整体能效至关重要；高功率密度允许设备小型化；良好的高温稳定性适应户外或密闭机柜环境。</w:t>
      </w:r>
    </w:p>
    <w:p w14:paraId="0D4F9AAA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举例：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组串式光伏逆变器中的Boost升压电感，储能PCS中的DC/AC逆变电感。</w:t>
      </w:r>
    </w:p>
    <w:p w14:paraId="4081DB5E" w14:textId="77777777" w:rsidR="00047709" w:rsidRPr="0070233F" w:rsidRDefault="00047709" w:rsidP="00047709">
      <w:pPr>
        <w:pStyle w:val="ds-markdown-paragraph"/>
        <w:rPr>
          <w:rFonts w:ascii="SimHei" w:eastAsia="SimHei" w:hAnsi="SimHei" w:cstheme="minorHAnsi" w:hint="eastAsia"/>
          <w:color w:val="000000" w:themeColor="text1"/>
        </w:rPr>
      </w:pPr>
    </w:p>
    <w:p w14:paraId="34503E8C" w14:textId="77777777" w:rsidR="00E020F8" w:rsidRPr="0070233F" w:rsidRDefault="00E020F8" w:rsidP="00E020F8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电力电子与开关电源：</w:t>
      </w:r>
    </w:p>
    <w:p w14:paraId="057C547C" w14:textId="77777777" w:rsidR="00E020F8" w:rsidRPr="0070233F" w:rsidRDefault="00E020F8" w:rsidP="00E020F8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应用点：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作为高频变压器、电感器（包括共模电感、差模电感、PFC电感、输出滤波电感）、电流互感器的磁芯。</w:t>
      </w:r>
    </w:p>
    <w:p w14:paraId="0DC1C170" w14:textId="77777777" w:rsidR="00E020F8" w:rsidRPr="0070233F" w:rsidRDefault="00E020F8" w:rsidP="00E020F8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优势：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高饱和磁感允许在相同功率下减小磁芯体积；低铁损（尤其是高频损耗）显著提高电源效率；良好的温度稳定性保证高温下性能可靠。</w:t>
      </w:r>
    </w:p>
    <w:p w14:paraId="5D26957E" w14:textId="77777777" w:rsidR="00E020F8" w:rsidRPr="0070233F" w:rsidRDefault="00E020F8" w:rsidP="00E020F8">
      <w:pPr>
        <w:pStyle w:val="ds-markdown-paragraph"/>
        <w:numPr>
          <w:ilvl w:val="1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举例：</w:t>
      </w:r>
    </w:p>
    <w:p w14:paraId="2C41D845" w14:textId="77777777" w:rsidR="00E020F8" w:rsidRPr="0070233F" w:rsidRDefault="00E020F8" w:rsidP="00E020F8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高频开关电源：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服务器电源、通信电源、工业电源、PC电源、适配器中的主变压器、PFC电感和输出滤波电感。</w:t>
      </w:r>
    </w:p>
    <w:p w14:paraId="75128C34" w14:textId="77777777" w:rsidR="00E020F8" w:rsidRPr="0070233F" w:rsidRDefault="00E020F8" w:rsidP="00E020F8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光伏逆变器：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升压电感、滤波电感。</w:t>
      </w:r>
    </w:p>
    <w:p w14:paraId="6399AF7C" w14:textId="77777777" w:rsidR="00E020F8" w:rsidRPr="0070233F" w:rsidRDefault="00E020F8" w:rsidP="00E020F8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UPS不间断电源：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高频逆变器和充电器中的磁性元件。</w:t>
      </w:r>
    </w:p>
    <w:p w14:paraId="19EE06FC" w14:textId="77777777" w:rsidR="00E020F8" w:rsidRPr="0070233F" w:rsidRDefault="00E020F8" w:rsidP="00E020F8">
      <w:pPr>
        <w:pStyle w:val="ds-markdown-paragraph"/>
        <w:numPr>
          <w:ilvl w:val="2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电动汽车车载充电机：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主变压器和PFC电感。</w:t>
      </w:r>
    </w:p>
    <w:p w14:paraId="2C554253" w14:textId="77777777" w:rsidR="00047709" w:rsidRPr="0070233F" w:rsidRDefault="00047709" w:rsidP="00047709">
      <w:pPr>
        <w:pStyle w:val="ds-markdown-paragraph"/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</w:p>
    <w:p w14:paraId="741531E2" w14:textId="77777777" w:rsidR="00047709" w:rsidRPr="0070233F" w:rsidRDefault="00047709" w:rsidP="00047709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高端消费电子与无线充电：</w:t>
      </w:r>
    </w:p>
    <w:p w14:paraId="6C27A322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lastRenderedPageBreak/>
        <w:t>应用点：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无线充电发射端和接收端的屏蔽片、感应线圈的磁芯；高端音响设备中的电感；手机快充适配器中的磁性元件。</w:t>
      </w:r>
    </w:p>
    <w:p w14:paraId="47AA4F1B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优势：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高磁导率有效引导和集中磁场，提高充电效率和传输距离；低损耗减少发热；超薄带材（如18μm, 14μm）适合小型化、薄型化设计。</w:t>
      </w:r>
    </w:p>
    <w:p w14:paraId="6BA98D1B" w14:textId="77777777" w:rsidR="00047709" w:rsidRPr="0070233F" w:rsidRDefault="00047709" w:rsidP="00047709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  <w:r w:rsidRPr="0070233F">
        <w:rPr>
          <w:rStyle w:val="a3"/>
          <w:rFonts w:ascii="SimHei" w:eastAsia="SimHei" w:hAnsi="SimHei" w:cstheme="minorHAnsi"/>
          <w:color w:val="000000" w:themeColor="text1"/>
        </w:rPr>
        <w:t>举例：</w:t>
      </w:r>
      <w:r w:rsidRPr="0070233F">
        <w:rPr>
          <w:rStyle w:val="apple-converted-space"/>
          <w:rFonts w:ascii="Calibri" w:eastAsia="SimHei" w:hAnsi="Calibri" w:cs="Calibri"/>
          <w:color w:val="000000" w:themeColor="text1"/>
        </w:rPr>
        <w:t> </w:t>
      </w:r>
      <w:r w:rsidRPr="0070233F">
        <w:rPr>
          <w:rFonts w:ascii="SimHei" w:eastAsia="SimHei" w:hAnsi="SimHei" w:cstheme="minorHAnsi"/>
          <w:color w:val="000000" w:themeColor="text1"/>
        </w:rPr>
        <w:t>智能手机背部的无线充电接收线圈下方的纳米晶屏蔽片；支持Qi标准的无线充电底座内部的磁芯。</w:t>
      </w:r>
    </w:p>
    <w:bookmarkEnd w:id="0"/>
    <w:bookmarkEnd w:id="1"/>
    <w:p w14:paraId="2F8A9F7C" w14:textId="77777777" w:rsidR="00047709" w:rsidRPr="0070233F" w:rsidRDefault="00047709" w:rsidP="00047709">
      <w:pPr>
        <w:pStyle w:val="ds-markdown-paragraph"/>
        <w:spacing w:before="0" w:beforeAutospacing="0" w:after="0" w:afterAutospacing="0"/>
        <w:rPr>
          <w:rFonts w:ascii="SimHei" w:eastAsia="SimHei" w:hAnsi="SimHei" w:cstheme="minorHAnsi"/>
          <w:color w:val="000000" w:themeColor="text1"/>
        </w:rPr>
      </w:pPr>
    </w:p>
    <w:p w14:paraId="63182B00" w14:textId="77777777" w:rsidR="00047709" w:rsidRPr="0070233F" w:rsidRDefault="00047709" w:rsidP="00047709">
      <w:pPr>
        <w:pStyle w:val="ds-markdown-paragraph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纳米晶磁芯：赋能核心领域，解决复杂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EMC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挑战</w:t>
      </w:r>
    </w:p>
    <w:p w14:paraId="31367C96" w14:textId="77777777" w:rsidR="00047709" w:rsidRPr="0070233F" w:rsidRDefault="00047709" w:rsidP="00047709">
      <w:pPr>
        <w:pStyle w:val="ds-markdown-paragraph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Fonts w:ascii="Segoe UI" w:hAnsi="Segoe UI" w:cs="Segoe UI"/>
          <w:color w:val="000000" w:themeColor="text1"/>
          <w:sz w:val="21"/>
          <w:szCs w:val="21"/>
        </w:rPr>
        <w:t>斯莫尔公司凭借先进的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EMC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技术，专注于研发高性能纳米晶磁芯材料。该材料以其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高饱和磁感、超高磁导率、极低损耗及优异的温度与频率稳定性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，成为汽车、新能源、电力电子等领域应对电磁兼容性（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EMC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）挑战、提升系统性能与可靠性的理想选择。其核心应用领域如下：</w:t>
      </w:r>
    </w:p>
    <w:p w14:paraId="12565B50" w14:textId="77777777" w:rsidR="00047709" w:rsidRPr="0070233F" w:rsidRDefault="00047709" w:rsidP="00047709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新能源汽车</w:t>
      </w:r>
    </w:p>
    <w:p w14:paraId="15F9D738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应用点：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车载充电机（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OBC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）、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DC-DC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转换器、电机驱动器、电池管理系统（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BMS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）中的关键磁性元件（变压器、电感、电流传感器）。</w:t>
      </w:r>
    </w:p>
    <w:p w14:paraId="2CC239F0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核心价值：</w:t>
      </w:r>
    </w:p>
    <w:p w14:paraId="323587AD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Fonts w:ascii="Segoe UI" w:hAnsi="Segoe UI" w:cs="Segoe UI"/>
          <w:color w:val="000000" w:themeColor="text1"/>
          <w:sz w:val="21"/>
          <w:szCs w:val="21"/>
        </w:rPr>
        <w:t>满足电动汽车对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高功率密度与效率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的核心诉求。</w:t>
      </w:r>
    </w:p>
    <w:p w14:paraId="4AA2C95F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宽温域稳定性（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-40°C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至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+130°C+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）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，严格符合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AEC-Q200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等车规标准。</w:t>
      </w:r>
    </w:p>
    <w:p w14:paraId="62140CF6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Fonts w:ascii="Segoe UI" w:hAnsi="Segoe UI" w:cs="Segoe UI"/>
          <w:color w:val="000000" w:themeColor="text1"/>
          <w:sz w:val="21"/>
          <w:szCs w:val="21"/>
        </w:rPr>
        <w:t>出色的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抗振动性能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，保障车载环境下的长期可靠性。</w:t>
      </w:r>
    </w:p>
    <w:p w14:paraId="36423633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典型应用：</w:t>
      </w:r>
    </w:p>
    <w:p w14:paraId="25260D88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OBC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主功率变压器、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PFC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（功率因数校正）电感。</w:t>
      </w:r>
    </w:p>
    <w:p w14:paraId="3FE1ED6D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高压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DC-DC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隔离变压器、输出滤波电感。</w:t>
      </w:r>
    </w:p>
    <w:p w14:paraId="595E5253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电驱系统：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电机控制器驱动变压器（如隔离驱动电源）、高精度相电流传感器。</w:t>
      </w:r>
    </w:p>
    <w:p w14:paraId="1289314B" w14:textId="77777777" w:rsidR="00047709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BMS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高精度电池电流传感器。</w:t>
      </w:r>
    </w:p>
    <w:p w14:paraId="5C3554A7" w14:textId="77777777" w:rsidR="00943266" w:rsidRPr="0070233F" w:rsidRDefault="00943266" w:rsidP="00943266">
      <w:pPr>
        <w:pStyle w:val="ds-markdown-paragraph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434B661" w14:textId="77777777" w:rsidR="00047709" w:rsidRPr="0070233F" w:rsidRDefault="00047709" w:rsidP="00047709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新能源发电与储能</w:t>
      </w:r>
    </w:p>
    <w:p w14:paraId="6545808D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应用点：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光伏逆变器、风力发电变流器中的升压电感、滤波电感；储能变流器（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PCS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）核心磁性元件。</w:t>
      </w:r>
    </w:p>
    <w:p w14:paraId="36618ED8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核心价值：</w:t>
      </w:r>
    </w:p>
    <w:p w14:paraId="57B1C457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极低损耗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显著提升系统整体能效。</w:t>
      </w:r>
    </w:p>
    <w:p w14:paraId="59C62F92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高功率密度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特性助力设备小型化、轻量化设计。</w:t>
      </w:r>
    </w:p>
    <w:p w14:paraId="231BD872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优异的高温稳定性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，适应户外及密闭机柜的严苛运行环境。</w:t>
      </w:r>
    </w:p>
    <w:p w14:paraId="7E4B502C" w14:textId="77777777" w:rsidR="00047709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典型应用：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组串式光伏逆变器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Boost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升压电感，储能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PCS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中的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DC/AC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逆变电感。</w:t>
      </w:r>
    </w:p>
    <w:p w14:paraId="08395E93" w14:textId="77777777" w:rsidR="00943266" w:rsidRPr="0070233F" w:rsidRDefault="00943266" w:rsidP="00943266">
      <w:pPr>
        <w:pStyle w:val="ds-markdown-paragraph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A4FA21E" w14:textId="77777777" w:rsidR="00047709" w:rsidRPr="0070233F" w:rsidRDefault="00047709" w:rsidP="00047709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电力电子与开关电源</w:t>
      </w:r>
    </w:p>
    <w:p w14:paraId="4C0B3596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lastRenderedPageBreak/>
        <w:t>应用点：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高频变压器、各类电感器（共模电感、差模电感、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PFC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电感、输出滤波电感）、电流互感器磁芯。</w:t>
      </w:r>
    </w:p>
    <w:p w14:paraId="6513896A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核心价值：</w:t>
      </w:r>
    </w:p>
    <w:p w14:paraId="398BA41D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高饱和磁感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特性实现器件小型化，提升功率密度。</w:t>
      </w:r>
    </w:p>
    <w:p w14:paraId="3D23C8FF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超低高频损耗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，大幅提高电源转换效率。</w:t>
      </w:r>
    </w:p>
    <w:p w14:paraId="20E2BE06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卓越的温度稳定性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，确保高温工况下的性能可靠性和长寿命。</w:t>
      </w:r>
    </w:p>
    <w:p w14:paraId="35A0A86C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典型应用：</w:t>
      </w:r>
    </w:p>
    <w:p w14:paraId="6F6A1292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Fonts w:ascii="Segoe UI" w:hAnsi="Segoe UI" w:cs="Segoe UI"/>
          <w:color w:val="000000" w:themeColor="text1"/>
          <w:sz w:val="21"/>
          <w:szCs w:val="21"/>
        </w:rPr>
        <w:t>服务器电源、通信电源、工业电源等高可靠性开关电源中的主变压器、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PFC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电感及输出滤波电感。</w:t>
      </w:r>
    </w:p>
    <w:p w14:paraId="535754FD" w14:textId="77777777" w:rsidR="00047709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Fonts w:ascii="Segoe UI" w:hAnsi="Segoe UI" w:cs="Segoe UI"/>
          <w:color w:val="000000" w:themeColor="text1"/>
          <w:sz w:val="21"/>
          <w:szCs w:val="21"/>
        </w:rPr>
        <w:t>高端消费电子（如手机快充适配器）中的高效磁性元件。</w:t>
      </w:r>
    </w:p>
    <w:p w14:paraId="102965CB" w14:textId="77777777" w:rsidR="00943266" w:rsidRPr="0070233F" w:rsidRDefault="00943266" w:rsidP="00943266">
      <w:pPr>
        <w:pStyle w:val="ds-markdown-paragraph"/>
        <w:spacing w:before="0" w:beforeAutospacing="0" w:after="0" w:afterAutospacing="0"/>
        <w:rPr>
          <w:rFonts w:ascii="Segoe UI" w:hAnsi="Segoe UI" w:cs="Segoe UI" w:hint="eastAsia"/>
          <w:color w:val="000000" w:themeColor="text1"/>
          <w:sz w:val="21"/>
          <w:szCs w:val="21"/>
        </w:rPr>
      </w:pPr>
    </w:p>
    <w:p w14:paraId="5864419B" w14:textId="77777777" w:rsidR="00047709" w:rsidRPr="0070233F" w:rsidRDefault="00047709" w:rsidP="00047709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高端消费电子与无线充电</w:t>
      </w:r>
    </w:p>
    <w:p w14:paraId="1935AD07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应用点：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无线充电发射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/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接收端磁屏蔽片与感应线圈磁芯；高端音响电感；快充适配器磁性元件。</w:t>
      </w:r>
    </w:p>
    <w:p w14:paraId="3B3BB797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核心价值：</w:t>
      </w:r>
    </w:p>
    <w:p w14:paraId="7CFEF1B8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超高磁导率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有效导引和集中磁场，显著提升充电效率与传输距离。</w:t>
      </w:r>
    </w:p>
    <w:p w14:paraId="5B8C2630" w14:textId="77777777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超低损耗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减少发热，提升用户体验与安全性。</w:t>
      </w:r>
    </w:p>
    <w:p w14:paraId="2AA1F381" w14:textId="4ED7B2C3" w:rsidR="00047709" w:rsidRPr="0070233F" w:rsidRDefault="00047709" w:rsidP="00047709">
      <w:pPr>
        <w:pStyle w:val="ds-markdown-paragraph"/>
        <w:numPr>
          <w:ilvl w:val="2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超薄带材（如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1</w:t>
      </w:r>
      <w:r w:rsidR="00943266">
        <w:rPr>
          <w:rStyle w:val="a3"/>
          <w:rFonts w:ascii="Segoe UI" w:hAnsi="Segoe UI" w:cs="Segoe UI"/>
          <w:color w:val="000000" w:themeColor="text1"/>
          <w:sz w:val="21"/>
          <w:szCs w:val="21"/>
        </w:rPr>
        <w:t>6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μm</w:t>
      </w:r>
      <w:r w:rsidR="00943266">
        <w:rPr>
          <w:rStyle w:val="a3"/>
          <w:rFonts w:ascii="Segoe UI" w:hAnsi="Segoe UI" w:cs="Segoe UI"/>
          <w:color w:val="000000" w:themeColor="text1"/>
          <w:sz w:val="21"/>
          <w:szCs w:val="21"/>
        </w:rPr>
        <w:t>~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 xml:space="preserve"> 14μm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）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完美契合消费电子产品小型化、轻薄化设计趋势。</w:t>
      </w:r>
    </w:p>
    <w:p w14:paraId="22075D34" w14:textId="77777777" w:rsidR="00047709" w:rsidRPr="0070233F" w:rsidRDefault="00047709" w:rsidP="00047709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典型应用：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智能手机无线充电接收线圈下方纳米晶屏蔽片；符合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Qi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等标准的无线充电底座内部磁芯。</w:t>
      </w:r>
    </w:p>
    <w:p w14:paraId="0F8F565B" w14:textId="77777777" w:rsidR="00047709" w:rsidRPr="0070233F" w:rsidRDefault="00047709" w:rsidP="00047709">
      <w:pPr>
        <w:pStyle w:val="ds-markdown-paragraph"/>
        <w:rPr>
          <w:rFonts w:ascii="Segoe UI" w:hAnsi="Segoe UI" w:cs="Segoe UI"/>
          <w:color w:val="000000" w:themeColor="text1"/>
          <w:sz w:val="21"/>
          <w:szCs w:val="21"/>
        </w:rPr>
      </w:pP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斯莫尔纳米晶解决方案：</w:t>
      </w:r>
      <w:r w:rsidRPr="0070233F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以其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卓越的电磁性能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，为您的产品在复杂电磁环境中提供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强大的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EMC</w:t>
      </w:r>
      <w:r w:rsidRPr="0070233F">
        <w:rPr>
          <w:rStyle w:val="a3"/>
          <w:rFonts w:ascii="Segoe UI" w:hAnsi="Segoe UI" w:cs="Segoe UI"/>
          <w:color w:val="000000" w:themeColor="text1"/>
          <w:sz w:val="21"/>
          <w:szCs w:val="21"/>
        </w:rPr>
        <w:t>保障、更高的能效与功率密度、以及无与伦比的可靠性</w:t>
      </w:r>
      <w:r w:rsidRPr="0070233F">
        <w:rPr>
          <w:rFonts w:ascii="Segoe UI" w:hAnsi="Segoe UI" w:cs="Segoe UI"/>
          <w:color w:val="000000" w:themeColor="text1"/>
          <w:sz w:val="21"/>
          <w:szCs w:val="21"/>
        </w:rPr>
        <w:t>，助力客户轻松满足全球最严苛的电磁兼容性标准与性能要求。</w:t>
      </w:r>
    </w:p>
    <w:p w14:paraId="2E391619" w14:textId="77777777" w:rsidR="00BD6ACE" w:rsidRPr="00E020F8" w:rsidRDefault="00BD6ACE">
      <w:pPr>
        <w:rPr>
          <w:rFonts w:ascii="SimHei" w:eastAsia="SimHei" w:hAnsi="SimHei" w:cstheme="minorHAnsi"/>
        </w:rPr>
      </w:pPr>
    </w:p>
    <w:sectPr w:rsidR="00BD6ACE" w:rsidRPr="00E0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697E"/>
    <w:multiLevelType w:val="multilevel"/>
    <w:tmpl w:val="956C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31DC8"/>
    <w:multiLevelType w:val="multilevel"/>
    <w:tmpl w:val="6466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A7921"/>
    <w:multiLevelType w:val="multilevel"/>
    <w:tmpl w:val="574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917413">
    <w:abstractNumId w:val="2"/>
  </w:num>
  <w:num w:numId="2" w16cid:durableId="343629078">
    <w:abstractNumId w:val="0"/>
  </w:num>
  <w:num w:numId="3" w16cid:durableId="2761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VkOGZjZWQ3MWExZmNhNDNkYzY3N2UzMWZkZjY4YWEifQ=="/>
  </w:docVars>
  <w:rsids>
    <w:rsidRoot w:val="1EBC755A"/>
    <w:rsid w:val="00047709"/>
    <w:rsid w:val="00106CC4"/>
    <w:rsid w:val="001602E9"/>
    <w:rsid w:val="006C2CC2"/>
    <w:rsid w:val="0070233F"/>
    <w:rsid w:val="00943266"/>
    <w:rsid w:val="00971778"/>
    <w:rsid w:val="00BD62A9"/>
    <w:rsid w:val="00BD6ACE"/>
    <w:rsid w:val="00E020F8"/>
    <w:rsid w:val="105E75AF"/>
    <w:rsid w:val="1EB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D2E18"/>
  <w15:docId w15:val="{9F5DDE4F-6D31-3C47-9562-364D7C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7709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E020F8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E020F8"/>
    <w:rPr>
      <w:b/>
      <w:bCs/>
    </w:rPr>
  </w:style>
  <w:style w:type="character" w:customStyle="1" w:styleId="apple-converted-space">
    <w:name w:val="apple-converted-space"/>
    <w:basedOn w:val="a0"/>
    <w:rsid w:val="00E020F8"/>
  </w:style>
  <w:style w:type="paragraph" w:styleId="a4">
    <w:name w:val="Normal (Web)"/>
    <w:basedOn w:val="a"/>
    <w:uiPriority w:val="99"/>
    <w:unhideWhenUsed/>
    <w:rsid w:val="0004770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0477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8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Dan。</dc:creator>
  <cp:lastModifiedBy>CMR01</cp:lastModifiedBy>
  <cp:revision>8</cp:revision>
  <dcterms:created xsi:type="dcterms:W3CDTF">2025-06-20T08:30:00Z</dcterms:created>
  <dcterms:modified xsi:type="dcterms:W3CDTF">2025-07-04T02:40:00Z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17CB1AD2F3B6482CB2B72023EF65FA28</vt:lpwstr>
  </property>
</Properties>
</file>