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bb07b" w:sz="16"/>
        </w:pBdr>
        <w:shd w:fill="1d3557" w:val="clear"/>
        <w:spacing w:after="0" w:before="0"/>
        <w:jc w:val="center"/>
      </w:pPr>
      <w:r>
        <w:rPr>
          <w:b/>
          <w:bCs/>
          <w:caps/>
          <w:color w:val="FFFFFF"/>
          <w:sz w:val="34"/>
          <w:szCs w:val="34"/>
        </w:rPr>
        <w:t xml:space="preserve">AI GLAMTECH EMPIRE™</w:t>
      </w:r>
    </w:p>
    <w:p>
      <w:pPr>
        <w:shd w:fill="1d3557" w:val="clear"/>
        <w:spacing w:after="0" w:before="0"/>
        <w:jc w:val="center"/>
      </w:pPr>
      <w:r>
        <w:rPr>
          <w:i/>
          <w:iCs/>
          <w:color w:val="FFFFFF"/>
          <w:sz w:val="20"/>
          <w:szCs w:val="20"/>
        </w:rPr>
        <w:t xml:space="preserve">AI Agentic Systems for Service Businesses</w:t>
      </w:r>
    </w:p>
    <w:p>
      <w:pPr>
        <w:spacing w:after="40" w:before="0"/>
      </w:pPr>
    </w:p>
    <w:p>
      <w:pPr>
        <w:spacing w:after="40" w:before="160"/>
        <w:jc w:val="center"/>
      </w:pPr>
      <w:r>
        <w:rPr>
          <w:b/>
          <w:bCs/>
          <w:caps/>
          <w:color w:val="1d3557"/>
          <w:sz w:val="36"/>
          <w:szCs w:val="36"/>
        </w:rPr>
        <w:t xml:space="preserve">STATEMENT OF WORK</w:t>
      </w:r>
    </w:p>
    <w:p>
      <w:pPr>
        <w:spacing w:after="200" w:before="0"/>
        <w:jc w:val="center"/>
      </w:pPr>
      <w:r>
        <w:rPr>
          <w:i/>
          <w:iCs/>
          <w:color w:val="6b7280"/>
          <w:sz w:val="20"/>
          <w:szCs w:val="20"/>
        </w:rPr>
        <w:t xml:space="preserve">Phase 1 — AI Receptionist, CRM &amp; Booking Automation Build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Borders>
              <w:top w:val="none"/>
              <w:left w:val="none"/>
              <w:bottom w:val="none"/>
              <w:right w:val="none"/>
            </w:tcBorders>
            <w:shd w:fill="f8f4ef" w:val="clear"/>
          </w:tcPr>
          <w:p>
            <w:pPr>
              <w:spacing w:after="50" w:before="50"/>
            </w:pPr>
            <w:r>
              <w:rPr>
                <w:b/>
                <w:bCs/>
                <w:color w:val="1d3557"/>
                <w:sz w:val="19"/>
                <w:szCs w:val="19"/>
              </w:rPr>
              <w:t xml:space="preserve">Provider:</w:t>
            </w:r>
          </w:p>
        </w:tc>
        <w:tc>
          <w:tcPr>
            <w:tcW w:type="dxa" w:w="6900"/>
            <w:tcBorders>
              <w:top w:val="none"/>
              <w:left w:val="none"/>
              <w:bottom w:val="none"/>
              <w:right w:val="none"/>
            </w:tcBorders>
          </w:tcPr>
          <w:p>
            <w:pPr>
              <w:spacing w:after="50" w:before="50"/>
            </w:pPr>
            <w:r>
              <w:rPr>
                <w:color w:val="111827"/>
                <w:sz w:val="19"/>
                <w:szCs w:val="19"/>
              </w:rPr>
              <w:t xml:space="preserve">AI GlamTech Empire™ — Pinky Floyd  |  pinky@aiglamtechempire.com</w:t>
            </w:r>
          </w:p>
        </w:tc>
      </w:tr>
      <w:tr>
        <w:tc>
          <w:tcPr>
            <w:tcW w:type="dxa" w:w="2800"/>
            <w:tcBorders>
              <w:top w:val="none"/>
              <w:left w:val="none"/>
              <w:bottom w:val="none"/>
              <w:right w:val="none"/>
            </w:tcBorders>
            <w:shd w:fill="f8f4ef" w:val="clear"/>
          </w:tcPr>
          <w:p>
            <w:pPr>
              <w:spacing w:after="50" w:before="50"/>
            </w:pPr>
            <w:r>
              <w:rPr>
                <w:b/>
                <w:bCs/>
                <w:color w:val="1d3557"/>
                <w:sz w:val="19"/>
                <w:szCs w:val="19"/>
              </w:rPr>
              <w:t xml:space="preserve">Client:</w:t>
            </w:r>
          </w:p>
        </w:tc>
        <w:tc>
          <w:tcPr>
            <w:tcW w:type="dxa" w:w="6900"/>
            <w:tcBorders>
              <w:top w:val="none"/>
              <w:left w:val="none"/>
              <w:bottom w:val="none"/>
              <w:right w:val="none"/>
            </w:tcBorders>
          </w:tcPr>
          <w:p>
            <w:pPr>
              <w:spacing w:after="50" w:before="50"/>
            </w:pPr>
            <w:r>
              <w:rPr>
                <w:color w:val="111827"/>
                <w:sz w:val="19"/>
                <w:szCs w:val="19"/>
              </w:rPr>
              <w:t xml:space="preserve">Brian Walcott — Paradise Transportation of Central Florida, Inc. (d/b/a ABW Luxury Limousine Service), Orlando, FL</w:t>
            </w:r>
          </w:p>
        </w:tc>
      </w:tr>
      <w:tr>
        <w:tc>
          <w:tcPr>
            <w:tcW w:type="dxa" w:w="2800"/>
            <w:tcBorders>
              <w:top w:val="none"/>
              <w:left w:val="none"/>
              <w:bottom w:val="none"/>
              <w:right w:val="none"/>
            </w:tcBorders>
            <w:shd w:fill="f8f4ef" w:val="clear"/>
          </w:tcPr>
          <w:p>
            <w:pPr>
              <w:spacing w:after="50" w:before="50"/>
            </w:pPr>
            <w:r>
              <w:rPr>
                <w:b/>
                <w:bCs/>
                <w:color w:val="1d3557"/>
                <w:sz w:val="19"/>
                <w:szCs w:val="19"/>
              </w:rPr>
              <w:t xml:space="preserve">Effective Date:</w:t>
            </w:r>
          </w:p>
        </w:tc>
        <w:tc>
          <w:tcPr>
            <w:tcW w:type="dxa" w:w="6900"/>
            <w:tcBorders>
              <w:top w:val="none"/>
              <w:left w:val="none"/>
              <w:bottom w:val="none"/>
              <w:right w:val="none"/>
            </w:tcBorders>
          </w:tcPr>
          <w:p>
            <w:pPr>
              <w:spacing w:after="50" w:before="50"/>
            </w:pPr>
            <w:r>
              <w:rPr>
                <w:color w:val="111827"/>
                <w:sz w:val="19"/>
                <w:szCs w:val="19"/>
              </w:rPr>
              <w:t xml:space="preserve"/>
            </w:r>
          </w:p>
        </w:tc>
      </w:tr>
      <w:tr>
        <w:tc>
          <w:tcPr>
            <w:tcW w:type="dxa" w:w="2800"/>
            <w:tcBorders>
              <w:top w:val="none"/>
              <w:left w:val="none"/>
              <w:bottom w:val="none"/>
              <w:right w:val="none"/>
            </w:tcBorders>
            <w:shd w:fill="f8f4ef" w:val="clear"/>
          </w:tcPr>
          <w:p>
            <w:pPr>
              <w:spacing w:after="50" w:before="50"/>
            </w:pPr>
            <w:r>
              <w:rPr>
                <w:b/>
                <w:bCs/>
                <w:color w:val="1d3557"/>
                <w:sz w:val="19"/>
                <w:szCs w:val="19"/>
              </w:rPr>
              <w:t xml:space="preserve">SOW Version:</w:t>
            </w:r>
          </w:p>
        </w:tc>
        <w:tc>
          <w:tcPr>
            <w:tcW w:type="dxa" w:w="6900"/>
            <w:tcBorders>
              <w:top w:val="none"/>
              <w:left w:val="none"/>
              <w:bottom w:val="none"/>
              <w:right w:val="none"/>
            </w:tcBorders>
          </w:tcPr>
          <w:p>
            <w:pPr>
              <w:spacing w:after="50" w:before="50"/>
            </w:pPr>
            <w:r>
              <w:rPr>
                <w:color w:val="111827"/>
                <w:sz w:val="19"/>
                <w:szCs w:val="19"/>
              </w:rPr>
              <w:t xml:space="preserve">2.0 — Phase 1 Only</w:t>
            </w:r>
          </w:p>
        </w:tc>
      </w:tr>
    </w:tbl>
    <w:p>
      <w:pPr>
        <w:spacing w:after="80" w:before="0"/>
      </w:pPr>
    </w:p>
    <w:p>
      <w:pPr>
        <w:pBdr>
          <w:left w:val="single" w:color="cbb07b" w:sz="20"/>
        </w:pBdr>
        <w:shd w:fill="1d3557" w:val="clear"/>
        <w:spacing w:after="100" w:before="280"/>
      </w:pPr>
      <w:r>
        <w:rPr>
          <w:b/>
          <w:bCs/>
          <w:caps/>
          <w:color w:val="FFFFFF"/>
          <w:sz w:val="24"/>
          <w:szCs w:val="24"/>
        </w:rPr>
        <w:t xml:space="preserve">1.  Project Background</w:t>
      </w:r>
    </w:p>
    <w:p>
      <w:pPr>
        <w:spacing w:after="60" w:before="60"/>
        <w:pBdr>
          <w:left w:val="single" w:color="C9A84C" w:sz="6" w:space="4"/>
        </w:pBdr>
      </w:pPr>
      <w:r>
        <w:rPr>
          <w:i/>
          <w:iCs/>
          <w:color w:val="444444"/>
          <w:sz w:val="18"/>
          <w:szCs w:val="18"/>
        </w:rPr>
        <w:t xml:space="preserve">Name Clarification: For the purposes of this Statement of Work, “Pinky Floyd” is the professional and operating name of Casandra Riley. The names “Pinky Floyd” and “Casandra Riley” refer to the same individual. All rights, obligations, and representations attributed to “Pinky Floyd,” “AI GlamTech Empire™,” or “Provider” in this SOW are made by and are legally binding upon Casandra Riley.</w:t>
      </w:r>
    </w:p>
    <w:p>
      <w:pPr>
        <w:spacing w:after="60" w:before="60"/>
      </w:pPr>
      <w:r>
        <w:rPr>
          <w:color w:val="111827"/>
          <w:sz w:val="20"/>
          <w:szCs w:val="20"/>
        </w:rPr>
        <w:t xml:space="preserve">Paradise Transportation of Central Florida, Inc. ("Client") is a solo-operated luxury limousine service based in Orlando, Florida, operating under the trade name ABW Luxury Limousine Service. Brian Walcott, the owner-operator, personally drives every engagement and has historically managed all client communications manually — answering calls while in transit, collecting bookings by phone, and processing payments through a single method.</w:t>
      </w:r>
    </w:p>
    <w:p>
      <w:pPr>
        <w:spacing w:after="60" w:before="60"/>
      </w:pPr>
      <w:r>
        <w:rPr>
          <w:color w:val="111827"/>
          <w:sz w:val="20"/>
          <w:szCs w:val="20"/>
        </w:rPr>
        <w:t xml:space="preserve">AI GlamTech Empire™ ("Provider") was engaged to design and deploy a Phase 1 AI-powered business foundation: an AI voice receptionist, CRM pipeline, post-call booking automation, refund-approval workflow, and payment infrastructure — enabling Brian to deliver white-glove service while the technology manages client intake and follow-up in the background.</w:t>
      </w:r>
    </w:p>
    <w:p>
      <w:pPr>
        <w:spacing w:after="60" w:before="0"/>
      </w:pPr>
    </w:p>
    <w:p>
      <w:pPr>
        <w:pBdr>
          <w:left w:val="single" w:color="cbb07b" w:sz="20"/>
        </w:pBdr>
        <w:shd w:fill="1d3557" w:val="clear"/>
        <w:spacing w:after="100" w:before="280"/>
      </w:pPr>
      <w:r>
        <w:rPr>
          <w:b/>
          <w:bCs/>
          <w:caps/>
          <w:color w:val="FFFFFF"/>
          <w:sz w:val="24"/>
          <w:szCs w:val="24"/>
        </w:rPr>
        <w:t xml:space="preserve">2.  Scope of Work — Phase 1</w:t>
      </w:r>
    </w:p>
    <w:p>
      <w:pPr>
        <w:spacing w:after="40" w:before="0"/>
      </w:pPr>
    </w:p>
    <w:p>
      <w:pPr>
        <w:pBdr>
          <w:bottom w:val="single" w:color="cbb07b" w:sz="4"/>
        </w:pBdr>
        <w:spacing w:after="60" w:before="180"/>
      </w:pPr>
      <w:r>
        <w:rPr>
          <w:b/>
          <w:bCs/>
          <w:color w:val="1d3557"/>
          <w:sz w:val="22"/>
          <w:szCs w:val="22"/>
        </w:rPr>
        <w:t xml:space="preserve">2.1  AI Voice Receptionist — ADESINA™ (ElevenLabs)</w:t>
      </w:r>
    </w:p>
    <w:p>
      <w:pPr>
        <w:spacing w:after="40" w:before="40"/>
        <w:ind w:left="360"/>
      </w:pPr>
      <w:r>
        <w:rPr>
          <w:color w:val="111827"/>
          <w:sz w:val="20"/>
          <w:szCs w:val="20"/>
        </w:rPr>
        <w:t xml:space="preserve">•  Custom AI voice agent built on ElevenLabs ConvAI platform</w:t>
      </w:r>
    </w:p>
    <w:p>
      <w:pPr>
        <w:spacing w:after="40" w:before="40"/>
        <w:ind w:left="360"/>
      </w:pPr>
      <w:r>
        <w:rPr>
          <w:color w:val="111827"/>
          <w:sz w:val="20"/>
          <w:szCs w:val="20"/>
        </w:rPr>
        <w:t xml:space="preserve">•  Voice persona: ADESINA™ — professional luxury tone</w:t>
      </w:r>
    </w:p>
    <w:p>
      <w:pPr>
        <w:spacing w:after="40" w:before="40"/>
        <w:ind w:left="360"/>
      </w:pPr>
      <w:r>
        <w:rPr>
          <w:color w:val="111827"/>
          <w:sz w:val="20"/>
          <w:szCs w:val="20"/>
        </w:rPr>
        <w:t xml:space="preserve">•  Handles 100% of inbound calls while Brian is driving</w:t>
      </w:r>
    </w:p>
    <w:p>
      <w:pPr>
        <w:spacing w:after="40" w:before="40"/>
        <w:ind w:left="360"/>
      </w:pPr>
      <w:r>
        <w:rPr>
          <w:color w:val="111827"/>
          <w:sz w:val="20"/>
          <w:szCs w:val="20"/>
        </w:rPr>
        <w:t xml:space="preserve">•  Collects full ride intake: passenger name, pickup location, destination, date/time, special needs, number of passengers</w:t>
      </w:r>
    </w:p>
    <w:p>
      <w:pPr>
        <w:spacing w:after="40" w:before="40"/>
        <w:ind w:left="360"/>
      </w:pPr>
      <w:r>
        <w:rPr>
          <w:color w:val="111827"/>
          <w:sz w:val="20"/>
          <w:szCs w:val="20"/>
        </w:rPr>
        <w:t xml:space="preserve">•  Calculates accurate pickup times using worst-case Florida route travel times + 1-hour VIP buffer</w:t>
      </w:r>
    </w:p>
    <w:p>
      <w:pPr>
        <w:spacing w:after="40" w:before="40"/>
        <w:ind w:left="360"/>
      </w:pPr>
      <w:r>
        <w:rPr>
          <w:color w:val="111827"/>
          <w:sz w:val="20"/>
          <w:szCs w:val="20"/>
        </w:rPr>
        <w:t xml:space="preserve">•  Discloses multi-day and overnight fees automatically</w:t>
      </w:r>
    </w:p>
    <w:p>
      <w:pPr>
        <w:spacing w:after="40" w:before="40"/>
        <w:ind w:left="360"/>
      </w:pPr>
      <w:r>
        <w:rPr>
          <w:color w:val="111827"/>
          <w:sz w:val="20"/>
          <w:szCs w:val="20"/>
        </w:rPr>
        <w:t xml:space="preserve">•  Closing script: confirms reservation, notifies caller that text + email with agreement and payment link are on the way</w:t>
      </w:r>
    </w:p>
    <w:p>
      <w:pPr>
        <w:spacing w:after="40" w:before="40"/>
        <w:ind w:left="360"/>
      </w:pPr>
      <w:r>
        <w:rPr>
          <w:color w:val="111827"/>
          <w:sz w:val="20"/>
          <w:szCs w:val="20"/>
        </w:rPr>
        <w:t xml:space="preserve">•  Delivers updated agent versions after testing and Client approval</w:t>
      </w:r>
    </w:p>
    <w:p>
      <w:pPr>
        <w:spacing w:after="60" w:before="0"/>
      </w:pPr>
    </w:p>
    <w:p>
      <w:pPr>
        <w:pBdr>
          <w:bottom w:val="single" w:color="cbb07b" w:sz="4"/>
        </w:pBdr>
        <w:spacing w:after="60" w:before="180"/>
      </w:pPr>
      <w:r>
        <w:rPr>
          <w:b/>
          <w:bCs/>
          <w:color w:val="1d3557"/>
          <w:sz w:val="22"/>
          <w:szCs w:val="22"/>
        </w:rPr>
        <w:t xml:space="preserve">2.2  Phone Integration — Twilio</w:t>
      </w:r>
    </w:p>
    <w:p>
      <w:pPr>
        <w:spacing w:after="40" w:before="40"/>
        <w:ind w:left="360"/>
      </w:pPr>
      <w:r>
        <w:rPr>
          <w:color w:val="111827"/>
          <w:sz w:val="20"/>
          <w:szCs w:val="20"/>
        </w:rPr>
        <w:t xml:space="preserve">•  Set up Twilio account under Client's name</w:t>
      </w:r>
    </w:p>
    <w:p>
      <w:pPr>
        <w:spacing w:after="40" w:before="40"/>
        <w:ind w:left="360"/>
      </w:pPr>
      <w:r>
        <w:rPr>
          <w:color w:val="111827"/>
          <w:sz w:val="20"/>
          <w:szCs w:val="20"/>
        </w:rPr>
        <w:t xml:space="preserve">•  Provision Orlando-area phone number (407 or 321 area code)</w:t>
      </w:r>
    </w:p>
    <w:p>
      <w:pPr>
        <w:spacing w:after="40" w:before="40"/>
        <w:ind w:left="360"/>
      </w:pPr>
      <w:r>
        <w:rPr>
          <w:color w:val="111827"/>
          <w:sz w:val="20"/>
          <w:szCs w:val="20"/>
        </w:rPr>
        <w:t xml:space="preserve">•  Connect Twilio number to ADESINA so ADESINA receives all inbound calls</w:t>
      </w:r>
    </w:p>
    <w:p>
      <w:pPr>
        <w:spacing w:after="40" w:before="40"/>
        <w:ind w:left="360"/>
      </w:pPr>
      <w:r>
        <w:rPr>
          <w:color w:val="111827"/>
          <w:sz w:val="20"/>
          <w:szCs w:val="20"/>
        </w:rPr>
        <w:t xml:space="preserve">•  Provide Client with Account SID and Auth Token for records</w:t>
      </w:r>
    </w:p>
    <w:p>
      <w:pPr>
        <w:spacing w:after="60" w:before="0"/>
      </w:pPr>
    </w:p>
    <w:p>
      <w:pPr>
        <w:pBdr>
          <w:bottom w:val="single" w:color="cbb07b" w:sz="4"/>
        </w:pBdr>
        <w:spacing w:after="60" w:before="180"/>
      </w:pPr>
      <w:r>
        <w:rPr>
          <w:b/>
          <w:bCs/>
          <w:color w:val="1d3557"/>
          <w:sz w:val="22"/>
          <w:szCs w:val="22"/>
        </w:rPr>
        <w:t xml:space="preserve">2.3  CRM — GoHighLevel (GHL)</w:t>
      </w:r>
    </w:p>
    <w:p>
      <w:pPr>
        <w:spacing w:after="40" w:before="40"/>
        <w:ind w:left="360"/>
      </w:pPr>
      <w:r>
        <w:rPr>
          <w:color w:val="111827"/>
          <w:sz w:val="20"/>
          <w:szCs w:val="20"/>
        </w:rPr>
        <w:t xml:space="preserve">•  Create Client's dedicated GHL subaccount under AI GlamTech Empire™ parent account</w:t>
      </w:r>
    </w:p>
    <w:p>
      <w:pPr>
        <w:spacing w:after="40" w:before="40"/>
        <w:ind w:left="360"/>
      </w:pPr>
      <w:r>
        <w:rPr>
          <w:color w:val="111827"/>
          <w:sz w:val="20"/>
          <w:szCs w:val="20"/>
        </w:rPr>
        <w:t xml:space="preserve">•  Connect Client's Gmail account to GHL for email sending</w:t>
      </w:r>
    </w:p>
    <w:p>
      <w:pPr>
        <w:spacing w:after="40" w:before="40"/>
        <w:ind w:left="360"/>
      </w:pPr>
      <w:r>
        <w:rPr>
          <w:color w:val="111827"/>
          <w:sz w:val="20"/>
          <w:szCs w:val="20"/>
        </w:rPr>
        <w:t xml:space="preserve">•  Build contact pipeline: Lead → Inquiry → Booked → Confirmed → Completed</w:t>
      </w:r>
    </w:p>
    <w:p>
      <w:pPr>
        <w:spacing w:after="40" w:before="40"/>
        <w:ind w:left="360"/>
      </w:pPr>
      <w:r>
        <w:rPr>
          <w:color w:val="111827"/>
          <w:sz w:val="20"/>
          <w:szCs w:val="20"/>
        </w:rPr>
        <w:t xml:space="preserve">•  Configure automated SMS + email sequence triggered post-call by ADESINA</w:t>
      </w:r>
    </w:p>
    <w:p>
      <w:pPr>
        <w:spacing w:after="40" w:before="40"/>
        <w:ind w:left="360"/>
      </w:pPr>
      <w:r>
        <w:rPr>
          <w:color w:val="111827"/>
          <w:sz w:val="20"/>
          <w:szCs w:val="20"/>
        </w:rPr>
        <w:t xml:space="preserve">•  Load service agreement link and Stripe payment link into automation</w:t>
      </w:r>
    </w:p>
    <w:p>
      <w:pPr>
        <w:spacing w:after="60" w:before="0"/>
      </w:pPr>
    </w:p>
    <w:p>
      <w:pPr>
        <w:pBdr>
          <w:bottom w:val="single" w:color="cbb07b" w:sz="4"/>
        </w:pBdr>
        <w:spacing w:after="60" w:before="180"/>
      </w:pPr>
      <w:r>
        <w:rPr>
          <w:b/>
          <w:bCs/>
          <w:color w:val="1d3557"/>
          <w:sz w:val="22"/>
          <w:szCs w:val="22"/>
        </w:rPr>
        <w:t xml:space="preserve">2.4  Workflow Automation — N8N</w:t>
      </w:r>
    </w:p>
    <w:p>
      <w:pPr>
        <w:spacing w:after="60" w:before="60"/>
      </w:pPr>
      <w:r>
        <w:rPr>
          <w:color w:val="111827"/>
          <w:sz w:val="20"/>
          <w:szCs w:val="20"/>
        </w:rPr>
        <w:t xml:space="preserve">Workflow 1 — Post-Call Booking Automation:</w:t>
      </w:r>
    </w:p>
    <w:p>
      <w:pPr>
        <w:spacing w:after="40" w:before="40"/>
        <w:ind w:left="360"/>
      </w:pPr>
      <w:r>
        <w:rPr>
          <w:color w:val="111827"/>
          <w:sz w:val="20"/>
          <w:szCs w:val="20"/>
        </w:rPr>
        <w:t xml:space="preserve">•  ADESINA call ends → N8N webhook fires → GHL contact created → SMS + email sent to passenger with: (a) booking summary, (b) service agreement link, (c) Stripe secure payment link</w:t>
      </w:r>
    </w:p>
    <w:p>
      <w:pPr>
        <w:spacing w:after="40" w:before="0"/>
      </w:pPr>
    </w:p>
    <w:p>
      <w:pPr>
        <w:spacing w:after="60" w:before="60"/>
      </w:pPr>
      <w:r>
        <w:rPr>
          <w:color w:val="111827"/>
          <w:sz w:val="20"/>
          <w:szCs w:val="20"/>
        </w:rPr>
        <w:t xml:space="preserve">Workflow 2 — Refund Approval:</w:t>
      </w:r>
    </w:p>
    <w:p>
      <w:pPr>
        <w:spacing w:after="40" w:before="40"/>
        <w:ind w:left="360"/>
      </w:pPr>
      <w:r>
        <w:rPr>
          <w:color w:val="111827"/>
          <w:sz w:val="20"/>
          <w:szCs w:val="20"/>
        </w:rPr>
        <w:t xml:space="preserve">•  When a passenger refund request is received, N8N routes a notification to Brian via text and/or email with the refund details and an approve/deny prompt</w:t>
      </w:r>
    </w:p>
    <w:p>
      <w:pPr>
        <w:spacing w:after="40" w:before="40"/>
        <w:ind w:left="360"/>
      </w:pPr>
      <w:r>
        <w:rPr>
          <w:color w:val="111827"/>
          <w:sz w:val="20"/>
          <w:szCs w:val="20"/>
        </w:rPr>
        <w:t xml:space="preserve">•  Brian is the sole decision-maker; Provider never approves or denies refunds independently</w:t>
      </w:r>
    </w:p>
    <w:p>
      <w:pPr>
        <w:spacing w:after="60" w:before="0"/>
      </w:pPr>
    </w:p>
    <w:p>
      <w:pPr>
        <w:pBdr>
          <w:bottom w:val="single" w:color="cbb07b" w:sz="4"/>
        </w:pBdr>
        <w:spacing w:after="60" w:before="180"/>
      </w:pPr>
      <w:r>
        <w:rPr>
          <w:b/>
          <w:bCs/>
          <w:color w:val="1d3557"/>
          <w:sz w:val="22"/>
          <w:szCs w:val="22"/>
        </w:rPr>
        <w:t xml:space="preserve">2.5  Payments — Stripe</w:t>
      </w:r>
    </w:p>
    <w:p>
      <w:pPr>
        <w:spacing w:after="40" w:before="40"/>
        <w:ind w:left="360"/>
      </w:pPr>
      <w:r>
        <w:rPr>
          <w:color w:val="111827"/>
          <w:sz w:val="20"/>
          <w:szCs w:val="20"/>
        </w:rPr>
        <w:t xml:space="preserve">•  Set up Stripe account in Client's name</w:t>
      </w:r>
    </w:p>
    <w:p>
      <w:pPr>
        <w:spacing w:after="40" w:before="40"/>
        <w:ind w:left="360"/>
      </w:pPr>
      <w:r>
        <w:rPr>
          <w:color w:val="111827"/>
          <w:sz w:val="20"/>
          <w:szCs w:val="20"/>
        </w:rPr>
        <w:t xml:space="preserve">•  Enable card, Apple Pay, Google Pay, and ACH bank transfer</w:t>
      </w:r>
    </w:p>
    <w:p>
      <w:pPr>
        <w:spacing w:after="40" w:before="40"/>
        <w:ind w:left="360"/>
      </w:pPr>
      <w:r>
        <w:rPr>
          <w:color w:val="111827"/>
          <w:sz w:val="20"/>
          <w:szCs w:val="20"/>
        </w:rPr>
        <w:t xml:space="preserve">•  Create standard payment link for booking deposits (50%)</w:t>
      </w:r>
    </w:p>
    <w:p>
      <w:pPr>
        <w:spacing w:after="40" w:before="40"/>
        <w:ind w:left="360"/>
      </w:pPr>
      <w:r>
        <w:rPr>
          <w:color w:val="111827"/>
          <w:sz w:val="20"/>
          <w:szCs w:val="20"/>
        </w:rPr>
        <w:t xml:space="preserve">•  Connect Stripe payment link to GHL/N8N post-call automation</w:t>
      </w:r>
    </w:p>
    <w:p>
      <w:pPr>
        <w:spacing w:after="60" w:before="0"/>
      </w:pPr>
    </w:p>
    <w:p>
      <w:pPr>
        <w:pBdr>
          <w:bottom w:val="single" w:color="cbb07b" w:sz="4"/>
        </w:pBdr>
        <w:spacing w:after="60" w:before="180"/>
      </w:pPr>
      <w:r>
        <w:rPr>
          <w:b/>
          <w:bCs/>
          <w:color w:val="1d3557"/>
          <w:sz w:val="22"/>
          <w:szCs w:val="22"/>
        </w:rPr>
        <w:t xml:space="preserve">2.6  Digital Identity</w:t>
      </w:r>
    </w:p>
    <w:p>
      <w:pPr>
        <w:spacing w:after="40" w:before="40"/>
        <w:ind w:left="360"/>
      </w:pPr>
      <w:r>
        <w:rPr>
          <w:color w:val="111827"/>
          <w:sz w:val="20"/>
          <w:szCs w:val="20"/>
        </w:rPr>
        <w:t xml:space="preserve">•  Design and generate a branded QR code linking to Client's booking phone number or GHL form</w:t>
      </w:r>
    </w:p>
    <w:p>
      <w:pPr>
        <w:spacing w:after="40" w:before="40"/>
        <w:ind w:left="360"/>
      </w:pPr>
      <w:r>
        <w:rPr>
          <w:color w:val="111827"/>
          <w:sz w:val="20"/>
          <w:szCs w:val="20"/>
        </w:rPr>
        <w:t xml:space="preserve">•  Formatted for website display and printed business cards</w:t>
      </w:r>
    </w:p>
    <w:p>
      <w:pPr>
        <w:spacing w:after="40" w:before="40"/>
        <w:ind w:left="360"/>
      </w:pPr>
      <w:r>
        <w:rPr>
          <w:color w:val="111827"/>
          <w:sz w:val="20"/>
          <w:szCs w:val="20"/>
        </w:rPr>
        <w:t xml:space="preserve">•  Set up Dot Card (digital business card) linked to booking and contact info</w:t>
      </w:r>
    </w:p>
    <w:p>
      <w:pPr>
        <w:spacing w:after="40" w:before="40"/>
        <w:ind w:left="360"/>
      </w:pPr>
      <w:r>
        <w:rPr>
          <w:color w:val="111827"/>
          <w:sz w:val="20"/>
          <w:szCs w:val="20"/>
        </w:rPr>
        <w:t xml:space="preserve">•  Client is responsible for Dot Card subscription fees directly with Dot Card</w:t>
      </w:r>
    </w:p>
    <w:p>
      <w:pPr>
        <w:spacing w:after="80" w:before="0"/>
      </w:pPr>
    </w:p>
    <w:p>
      <w:pPr>
        <w:pBdr>
          <w:left w:val="single" w:color="cbb07b" w:sz="20"/>
        </w:pBdr>
        <w:shd w:fill="1d3557" w:val="clear"/>
        <w:spacing w:after="100" w:before="280"/>
      </w:pPr>
      <w:r>
        <w:rPr>
          <w:b/>
          <w:bCs/>
          <w:caps/>
          <w:color w:val="FFFFFF"/>
          <w:sz w:val="24"/>
          <w:szCs w:val="24"/>
        </w:rPr>
        <w:t xml:space="preserve">3.  Deliverables &amp; Timeline</w:t>
      </w:r>
    </w:p>
    <w:p>
      <w:pPr>
        <w:spacing w:after="60" w:before="60"/>
      </w:pPr>
      <w:r>
        <w:rPr>
          <w:i/>
          <w:iCs/>
          <w:color w:val="6b7280"/>
          <w:sz w:val="20"/>
          <w:szCs w:val="20"/>
        </w:rPr>
        <w:t xml:space="preserve">* Timeline estimates begin upon receipt of signed SOW and setup fee. Actual completion subject to Client's timely provision of required credentials and approvals.</w:t>
      </w:r>
    </w:p>
    <w:p>
      <w:pPr>
        <w:spacing w:after="6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800"/>
      </w:tblGrid>
      <w:tr>
        <w:tc>
          <w:tcPr>
            <w:tcW w:type="dxa" w:w="3800"/>
            <w:shd w:fill="1d3557" w:val="clear"/>
          </w:tcPr>
          <w:p>
            <w:pPr>
              <w:spacing w:after="60" w:before="60"/>
            </w:pPr>
            <w:r>
              <w:rPr>
                <w:b/>
                <w:bCs/>
                <w:color w:val="FFFFFF"/>
                <w:sz w:val="19"/>
                <w:szCs w:val="19"/>
              </w:rPr>
              <w:t xml:space="preserve">Deliverable</w:t>
            </w:r>
          </w:p>
        </w:tc>
        <w:tc>
          <w:tcPr>
            <w:tcW w:type="dxa" w:w="4200"/>
            <w:shd w:fill="1d3557" w:val="clear"/>
          </w:tcPr>
          <w:p>
            <w:pPr>
              <w:spacing w:after="60" w:before="60"/>
            </w:pPr>
            <w:r>
              <w:rPr>
                <w:b/>
                <w:bCs/>
                <w:color w:val="FFFFFF"/>
                <w:sz w:val="19"/>
                <w:szCs w:val="19"/>
              </w:rPr>
              <w:t xml:space="preserve">Description</w:t>
            </w:r>
          </w:p>
        </w:tc>
        <w:tc>
          <w:tcPr>
            <w:tcW w:type="dxa" w:w="1800"/>
            <w:shd w:fill="1d3557" w:val="clear"/>
          </w:tcPr>
          <w:p>
            <w:pPr>
              <w:spacing w:after="60" w:before="60"/>
            </w:pPr>
            <w:r>
              <w:rPr>
                <w:b/>
                <w:bCs/>
                <w:color w:val="FFFFFF"/>
                <w:sz w:val="19"/>
                <w:szCs w:val="19"/>
              </w:rPr>
              <w:t xml:space="preserve">Est. Timeline</w:t>
            </w:r>
          </w:p>
        </w:tc>
      </w:tr>
      <w:tr>
        <w:tc>
          <w:tcPr>
            <w:tcW w:type="dxa" w:w="3800"/>
            <w:shd w:fill="FFFFFF" w:val="clear"/>
          </w:tcPr>
          <w:p>
            <w:pPr>
              <w:spacing w:after="40" w:before="40"/>
            </w:pPr>
            <w:r>
              <w:rPr>
                <w:color w:val="111827"/>
                <w:sz w:val="19"/>
                <w:szCs w:val="19"/>
              </w:rPr>
              <w:t xml:space="preserve">AI Voice Receptionist (ADESINA™)</w:t>
            </w:r>
          </w:p>
        </w:tc>
        <w:tc>
          <w:tcPr>
            <w:tcW w:type="dxa" w:w="4200"/>
            <w:shd w:fill="FFFFFF" w:val="clear"/>
          </w:tcPr>
          <w:p>
            <w:pPr>
              <w:spacing w:after="40" w:before="40"/>
            </w:pPr>
            <w:r>
              <w:rPr>
                <w:color w:val="111827"/>
                <w:sz w:val="19"/>
                <w:szCs w:val="19"/>
              </w:rPr>
              <w:t xml:space="preserve">ElevenLabs ConvAI agent live and tested; Twilio phone number connected</w:t>
            </w:r>
          </w:p>
        </w:tc>
        <w:tc>
          <w:tcPr>
            <w:tcW w:type="dxa" w:w="1800"/>
            <w:shd w:fill="FFFFFF" w:val="clear"/>
          </w:tcPr>
          <w:p>
            <w:pPr>
              <w:spacing w:after="40" w:before="40"/>
            </w:pPr>
            <w:r>
              <w:rPr>
                <w:color w:val="111827"/>
                <w:sz w:val="19"/>
                <w:szCs w:val="19"/>
              </w:rPr>
              <w:t xml:space="preserve">Week 1–2</w:t>
            </w:r>
          </w:p>
        </w:tc>
      </w:tr>
      <w:tr>
        <w:tc>
          <w:tcPr>
            <w:tcW w:type="dxa" w:w="3800"/>
            <w:shd w:fill="f8f4ef" w:val="clear"/>
          </w:tcPr>
          <w:p>
            <w:pPr>
              <w:spacing w:after="40" w:before="40"/>
            </w:pPr>
            <w:r>
              <w:rPr>
                <w:color w:val="111827"/>
                <w:sz w:val="19"/>
                <w:szCs w:val="19"/>
              </w:rPr>
              <w:t xml:space="preserve">CRM — GoHighLevel</w:t>
            </w:r>
          </w:p>
        </w:tc>
        <w:tc>
          <w:tcPr>
            <w:tcW w:type="dxa" w:w="4200"/>
            <w:shd w:fill="f8f4ef" w:val="clear"/>
          </w:tcPr>
          <w:p>
            <w:pPr>
              <w:spacing w:after="40" w:before="40"/>
            </w:pPr>
            <w:r>
              <w:rPr>
                <w:color w:val="111827"/>
                <w:sz w:val="19"/>
                <w:szCs w:val="19"/>
              </w:rPr>
              <w:t xml:space="preserve">Subaccount created, Gmail connected, pipeline configured</w:t>
            </w:r>
          </w:p>
        </w:tc>
        <w:tc>
          <w:tcPr>
            <w:tcW w:type="dxa" w:w="1800"/>
            <w:shd w:fill="f8f4ef" w:val="clear"/>
          </w:tcPr>
          <w:p>
            <w:pPr>
              <w:spacing w:after="40" w:before="40"/>
            </w:pPr>
            <w:r>
              <w:rPr>
                <w:color w:val="111827"/>
                <w:sz w:val="19"/>
                <w:szCs w:val="19"/>
              </w:rPr>
              <w:t xml:space="preserve">Week 1–2</w:t>
            </w:r>
          </w:p>
        </w:tc>
      </w:tr>
      <w:tr>
        <w:tc>
          <w:tcPr>
            <w:tcW w:type="dxa" w:w="3800"/>
            <w:shd w:fill="FFFFFF" w:val="clear"/>
          </w:tcPr>
          <w:p>
            <w:pPr>
              <w:spacing w:after="40" w:before="40"/>
            </w:pPr>
            <w:r>
              <w:rPr>
                <w:color w:val="111827"/>
                <w:sz w:val="19"/>
                <w:szCs w:val="19"/>
              </w:rPr>
              <w:t xml:space="preserve">Post-Call Automation — N8N</w:t>
            </w:r>
          </w:p>
        </w:tc>
        <w:tc>
          <w:tcPr>
            <w:tcW w:type="dxa" w:w="4200"/>
            <w:shd w:fill="FFFFFF" w:val="clear"/>
          </w:tcPr>
          <w:p>
            <w:pPr>
              <w:spacing w:after="40" w:before="40"/>
            </w:pPr>
            <w:r>
              <w:rPr>
                <w:color w:val="111827"/>
                <w:sz w:val="19"/>
                <w:szCs w:val="19"/>
              </w:rPr>
              <w:t xml:space="preserve">Webhook fires on call end → GHL contact + SMS/email with booking summary + payment link</w:t>
            </w:r>
          </w:p>
        </w:tc>
        <w:tc>
          <w:tcPr>
            <w:tcW w:type="dxa" w:w="1800"/>
            <w:shd w:fill="FFFFFF" w:val="clear"/>
          </w:tcPr>
          <w:p>
            <w:pPr>
              <w:spacing w:after="40" w:before="40"/>
            </w:pPr>
            <w:r>
              <w:rPr>
                <w:color w:val="111827"/>
                <w:sz w:val="19"/>
                <w:szCs w:val="19"/>
              </w:rPr>
              <w:t xml:space="preserve">Week 2</w:t>
            </w:r>
          </w:p>
        </w:tc>
      </w:tr>
      <w:tr>
        <w:tc>
          <w:tcPr>
            <w:tcW w:type="dxa" w:w="3800"/>
            <w:shd w:fill="f8f4ef" w:val="clear"/>
          </w:tcPr>
          <w:p>
            <w:pPr>
              <w:spacing w:after="40" w:before="40"/>
            </w:pPr>
            <w:r>
              <w:rPr>
                <w:color w:val="111827"/>
                <w:sz w:val="19"/>
                <w:szCs w:val="19"/>
              </w:rPr>
              <w:t xml:space="preserve">Refund-Approval Workflow</w:t>
            </w:r>
          </w:p>
        </w:tc>
        <w:tc>
          <w:tcPr>
            <w:tcW w:type="dxa" w:w="4200"/>
            <w:shd w:fill="f8f4ef" w:val="clear"/>
          </w:tcPr>
          <w:p>
            <w:pPr>
              <w:spacing w:after="40" w:before="40"/>
            </w:pPr>
            <w:r>
              <w:rPr>
                <w:color w:val="111827"/>
                <w:sz w:val="19"/>
                <w:szCs w:val="19"/>
              </w:rPr>
              <w:t xml:space="preserve">N8N workflow routes refund requests to Brian via text/email for approval or denial</w:t>
            </w:r>
          </w:p>
        </w:tc>
        <w:tc>
          <w:tcPr>
            <w:tcW w:type="dxa" w:w="1800"/>
            <w:shd w:fill="f8f4ef" w:val="clear"/>
          </w:tcPr>
          <w:p>
            <w:pPr>
              <w:spacing w:after="40" w:before="40"/>
            </w:pPr>
            <w:r>
              <w:rPr>
                <w:color w:val="111827"/>
                <w:sz w:val="19"/>
                <w:szCs w:val="19"/>
              </w:rPr>
              <w:t xml:space="preserve">Week 2</w:t>
            </w:r>
          </w:p>
        </w:tc>
      </w:tr>
      <w:tr>
        <w:tc>
          <w:tcPr>
            <w:tcW w:type="dxa" w:w="3800"/>
            <w:shd w:fill="FFFFFF" w:val="clear"/>
          </w:tcPr>
          <w:p>
            <w:pPr>
              <w:spacing w:after="40" w:before="40"/>
            </w:pPr>
            <w:r>
              <w:rPr>
                <w:color w:val="111827"/>
                <w:sz w:val="19"/>
                <w:szCs w:val="19"/>
              </w:rPr>
              <w:t xml:space="preserve">Payments — Stripe</w:t>
            </w:r>
          </w:p>
        </w:tc>
        <w:tc>
          <w:tcPr>
            <w:tcW w:type="dxa" w:w="4200"/>
            <w:shd w:fill="FFFFFF" w:val="clear"/>
          </w:tcPr>
          <w:p>
            <w:pPr>
              <w:spacing w:after="40" w:before="40"/>
            </w:pPr>
            <w:r>
              <w:rPr>
                <w:color w:val="111827"/>
                <w:sz w:val="19"/>
                <w:szCs w:val="19"/>
              </w:rPr>
              <w:t xml:space="preserve">Account set up, payment links created, connected to automation</w:t>
            </w:r>
          </w:p>
        </w:tc>
        <w:tc>
          <w:tcPr>
            <w:tcW w:type="dxa" w:w="1800"/>
            <w:shd w:fill="FFFFFF" w:val="clear"/>
          </w:tcPr>
          <w:p>
            <w:pPr>
              <w:spacing w:after="40" w:before="40"/>
            </w:pPr>
            <w:r>
              <w:rPr>
                <w:color w:val="111827"/>
                <w:sz w:val="19"/>
                <w:szCs w:val="19"/>
              </w:rPr>
              <w:t xml:space="preserve">Week 2–3</w:t>
            </w:r>
          </w:p>
        </w:tc>
      </w:tr>
      <w:tr>
        <w:tc>
          <w:tcPr>
            <w:tcW w:type="dxa" w:w="3800"/>
            <w:shd w:fill="f8f4ef" w:val="clear"/>
          </w:tcPr>
          <w:p>
            <w:pPr>
              <w:spacing w:after="40" w:before="40"/>
            </w:pPr>
            <w:r>
              <w:rPr>
                <w:color w:val="111827"/>
                <w:sz w:val="19"/>
                <w:szCs w:val="19"/>
              </w:rPr>
              <w:t xml:space="preserve">QR Code</w:t>
            </w:r>
          </w:p>
        </w:tc>
        <w:tc>
          <w:tcPr>
            <w:tcW w:type="dxa" w:w="4200"/>
            <w:shd w:fill="f8f4ef" w:val="clear"/>
          </w:tcPr>
          <w:p>
            <w:pPr>
              <w:spacing w:after="40" w:before="40"/>
            </w:pPr>
            <w:r>
              <w:rPr>
                <w:color w:val="111827"/>
                <w:sz w:val="19"/>
                <w:szCs w:val="19"/>
              </w:rPr>
              <w:t xml:space="preserve">Branded QR code generated, formatted for print + web</w:t>
            </w:r>
          </w:p>
        </w:tc>
        <w:tc>
          <w:tcPr>
            <w:tcW w:type="dxa" w:w="1800"/>
            <w:shd w:fill="f8f4ef" w:val="clear"/>
          </w:tcPr>
          <w:p>
            <w:pPr>
              <w:spacing w:after="40" w:before="40"/>
            </w:pPr>
            <w:r>
              <w:rPr>
                <w:color w:val="111827"/>
                <w:sz w:val="19"/>
                <w:szCs w:val="19"/>
              </w:rPr>
              <w:t xml:space="preserve">Week 3</w:t>
            </w:r>
          </w:p>
        </w:tc>
      </w:tr>
      <w:tr>
        <w:tc>
          <w:tcPr>
            <w:tcW w:type="dxa" w:w="3800"/>
            <w:shd w:fill="FFFFFF" w:val="clear"/>
          </w:tcPr>
          <w:p>
            <w:pPr>
              <w:spacing w:after="40" w:before="40"/>
            </w:pPr>
            <w:r>
              <w:rPr>
                <w:color w:val="111827"/>
                <w:sz w:val="19"/>
                <w:szCs w:val="19"/>
              </w:rPr>
              <w:t xml:space="preserve">Dot Card</w:t>
            </w:r>
          </w:p>
        </w:tc>
        <w:tc>
          <w:tcPr>
            <w:tcW w:type="dxa" w:w="4200"/>
            <w:shd w:fill="FFFFFF" w:val="clear"/>
          </w:tcPr>
          <w:p>
            <w:pPr>
              <w:spacing w:after="40" w:before="40"/>
            </w:pPr>
            <w:r>
              <w:rPr>
                <w:color w:val="111827"/>
                <w:sz w:val="19"/>
                <w:szCs w:val="19"/>
              </w:rPr>
              <w:t xml:space="preserve">Digital business card live and linked</w:t>
            </w:r>
          </w:p>
        </w:tc>
        <w:tc>
          <w:tcPr>
            <w:tcW w:type="dxa" w:w="1800"/>
            <w:shd w:fill="FFFFFF" w:val="clear"/>
          </w:tcPr>
          <w:p>
            <w:pPr>
              <w:spacing w:after="40" w:before="40"/>
            </w:pPr>
            <w:r>
              <w:rPr>
                <w:color w:val="111827"/>
                <w:sz w:val="19"/>
                <w:szCs w:val="19"/>
              </w:rPr>
              <w:t xml:space="preserve">Week 3</w:t>
            </w:r>
          </w:p>
        </w:tc>
      </w:tr>
      <w:tr>
        <w:tc>
          <w:tcPr>
            <w:tcW w:type="dxa" w:w="3800"/>
            <w:shd w:fill="f8f4ef" w:val="clear"/>
          </w:tcPr>
          <w:p>
            <w:pPr>
              <w:spacing w:after="40" w:before="40"/>
            </w:pPr>
            <w:r>
              <w:rPr>
                <w:color w:val="111827"/>
                <w:sz w:val="19"/>
                <w:szCs w:val="19"/>
              </w:rPr>
              <w:t xml:space="preserve">Credentials Handoff</w:t>
            </w:r>
          </w:p>
        </w:tc>
        <w:tc>
          <w:tcPr>
            <w:tcW w:type="dxa" w:w="4200"/>
            <w:shd w:fill="f8f4ef" w:val="clear"/>
          </w:tcPr>
          <w:p>
            <w:pPr>
              <w:spacing w:after="40" w:before="40"/>
            </w:pPr>
            <w:r>
              <w:rPr>
                <w:color w:val="111827"/>
                <w:sz w:val="19"/>
                <w:szCs w:val="19"/>
              </w:rPr>
              <w:t xml:space="preserve">All account logins, API keys, and credentials delivered to Client</w:t>
            </w:r>
          </w:p>
        </w:tc>
        <w:tc>
          <w:tcPr>
            <w:tcW w:type="dxa" w:w="1800"/>
            <w:shd w:fill="f8f4ef" w:val="clear"/>
          </w:tcPr>
          <w:p>
            <w:pPr>
              <w:spacing w:after="40" w:before="40"/>
            </w:pPr>
            <w:r>
              <w:rPr>
                <w:color w:val="111827"/>
                <w:sz w:val="19"/>
                <w:szCs w:val="19"/>
              </w:rPr>
              <w:t xml:space="preserve">Week 3–4</w:t>
            </w:r>
          </w:p>
        </w:tc>
      </w:tr>
      <w:tr>
        <w:tc>
          <w:tcPr>
            <w:tcW w:type="dxa" w:w="3800"/>
            <w:shd w:fill="FFFFFF" w:val="clear"/>
          </w:tcPr>
          <w:p>
            <w:pPr>
              <w:spacing w:after="40" w:before="40"/>
            </w:pPr>
            <w:r>
              <w:rPr>
                <w:color w:val="111827"/>
                <w:sz w:val="19"/>
                <w:szCs w:val="19"/>
              </w:rPr>
              <w:t xml:space="preserve">Handoff Call</w:t>
            </w:r>
          </w:p>
        </w:tc>
        <w:tc>
          <w:tcPr>
            <w:tcW w:type="dxa" w:w="4200"/>
            <w:shd w:fill="FFFFFF" w:val="clear"/>
          </w:tcPr>
          <w:p>
            <w:pPr>
              <w:spacing w:after="40" w:before="40"/>
            </w:pPr>
            <w:r>
              <w:rPr>
                <w:color w:val="111827"/>
                <w:sz w:val="19"/>
                <w:szCs w:val="19"/>
              </w:rPr>
              <w:t xml:space="preserve">1-hour walkthrough with Client covering all systems</w:t>
            </w:r>
          </w:p>
        </w:tc>
        <w:tc>
          <w:tcPr>
            <w:tcW w:type="dxa" w:w="1800"/>
            <w:shd w:fill="FFFFFF" w:val="clear"/>
          </w:tcPr>
          <w:p>
            <w:pPr>
              <w:spacing w:after="40" w:before="40"/>
            </w:pPr>
            <w:r>
              <w:rPr>
                <w:color w:val="111827"/>
                <w:sz w:val="19"/>
                <w:szCs w:val="19"/>
              </w:rPr>
              <w:t xml:space="preserve">Week 4</w:t>
            </w:r>
          </w:p>
        </w:tc>
      </w:tr>
    </w:tbl>
    <w:p>
      <w:pPr>
        <w:spacing w:after="80" w:before="0"/>
      </w:pPr>
    </w:p>
    <w:p>
      <w:pPr>
        <w:pBdr>
          <w:left w:val="single" w:color="cbb07b" w:sz="20"/>
        </w:pBdr>
        <w:shd w:fill="1d3557" w:val="clear"/>
        <w:spacing w:after="100" w:before="280"/>
      </w:pPr>
      <w:r>
        <w:rPr>
          <w:b/>
          <w:bCs/>
          <w:caps/>
          <w:color w:val="FFFFFF"/>
          <w:sz w:val="24"/>
          <w:szCs w:val="24"/>
        </w:rPr>
        <w:t xml:space="preserve">4.  Client Responsibilities</w:t>
      </w:r>
    </w:p>
    <w:p>
      <w:pPr>
        <w:spacing w:after="60" w:before="60"/>
      </w:pPr>
      <w:r>
        <w:rPr>
          <w:color w:val="111827"/>
          <w:sz w:val="20"/>
          <w:szCs w:val="20"/>
        </w:rPr>
        <w:t xml:space="preserve">Timely completion of this project depends on Client providing the following:</w:t>
      </w:r>
    </w:p>
    <w:p>
      <w:pPr>
        <w:spacing w:after="40" w:before="40"/>
        <w:ind w:left="360"/>
      </w:pPr>
      <w:r>
        <w:rPr>
          <w:color w:val="111827"/>
          <w:sz w:val="20"/>
          <w:szCs w:val="20"/>
        </w:rPr>
        <w:t xml:space="preserve">•  Valid government-issued ID for account verification (Stripe, Twilio)</w:t>
      </w:r>
    </w:p>
    <w:p>
      <w:pPr>
        <w:spacing w:after="40" w:before="40"/>
        <w:ind w:left="360"/>
      </w:pPr>
      <w:r>
        <w:rPr>
          <w:color w:val="111827"/>
          <w:sz w:val="20"/>
          <w:szCs w:val="20"/>
        </w:rPr>
        <w:t xml:space="preserve">•  Business email address (Gmail or domain) for GHL connection</w:t>
      </w:r>
    </w:p>
    <w:p>
      <w:pPr>
        <w:spacing w:after="40" w:before="40"/>
        <w:ind w:left="360"/>
      </w:pPr>
      <w:r>
        <w:rPr>
          <w:color w:val="111827"/>
          <w:sz w:val="20"/>
          <w:szCs w:val="20"/>
        </w:rPr>
        <w:t xml:space="preserve">•  Approval of ADESINA voice scripts within 48 hours of submission</w:t>
      </w:r>
    </w:p>
    <w:p>
      <w:pPr>
        <w:spacing w:after="40" w:before="40"/>
        <w:ind w:left="360"/>
      </w:pPr>
      <w:r>
        <w:rPr>
          <w:color w:val="111827"/>
          <w:sz w:val="20"/>
          <w:szCs w:val="20"/>
        </w:rPr>
        <w:t xml:space="preserve">•  Response to Provider questions within 3 business days to avoid project delays</w:t>
      </w:r>
    </w:p>
    <w:p>
      <w:pPr>
        <w:spacing w:after="60" w:before="60"/>
      </w:pPr>
      <w:r>
        <w:rPr>
          <w:color w:val="111827"/>
          <w:sz w:val="20"/>
          <w:szCs w:val="20"/>
        </w:rPr>
        <w:t xml:space="preserve">Provider is not responsible for project delays attributable to Client's failure to respond or provide required materials.</w:t>
      </w:r>
    </w:p>
    <w:p>
      <w:pPr>
        <w:spacing w:after="80" w:before="0"/>
      </w:pPr>
    </w:p>
    <w:p>
      <w:pPr>
        <w:pBdr>
          <w:left w:val="single" w:color="cbb07b" w:sz="20"/>
        </w:pBdr>
        <w:shd w:fill="1d3557" w:val="clear"/>
        <w:spacing w:after="100" w:before="280"/>
      </w:pPr>
      <w:r>
        <w:rPr>
          <w:b/>
          <w:bCs/>
          <w:caps/>
          <w:color w:val="FFFFFF"/>
          <w:sz w:val="24"/>
          <w:szCs w:val="24"/>
        </w:rPr>
        <w:t xml:space="preserve">5.  Fees &amp; Payment Schedule</w:t>
      </w:r>
    </w:p>
    <w:p>
      <w:pPr>
        <w:spacing w:after="6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600"/>
      </w:tblGrid>
      <w:tr>
        <w:tc>
          <w:tcPr>
            <w:tcW w:type="dxa" w:w="4000"/>
            <w:shd w:fill="1d3557" w:val="clear"/>
          </w:tcPr>
          <w:p>
            <w:pPr>
              <w:spacing w:after="60" w:before="60"/>
            </w:pPr>
            <w:r>
              <w:rPr>
                <w:b/>
                <w:bCs/>
                <w:color w:val="FFFFFF"/>
                <w:sz w:val="19"/>
                <w:szCs w:val="19"/>
              </w:rPr>
              <w:t xml:space="preserve">Payment</w:t>
            </w:r>
          </w:p>
        </w:tc>
        <w:tc>
          <w:tcPr>
            <w:tcW w:type="dxa" w:w="3200"/>
            <w:shd w:fill="1d3557" w:val="clear"/>
          </w:tcPr>
          <w:p>
            <w:pPr>
              <w:spacing w:after="60" w:before="60"/>
            </w:pPr>
            <w:r>
              <w:rPr>
                <w:b/>
                <w:bCs/>
                <w:color w:val="FFFFFF"/>
                <w:sz w:val="19"/>
                <w:szCs w:val="19"/>
              </w:rPr>
              <w:t xml:space="preserve">Amount</w:t>
            </w:r>
          </w:p>
        </w:tc>
        <w:tc>
          <w:tcPr>
            <w:tcW w:type="dxa" w:w="2600"/>
            <w:shd w:fill="1d3557" w:val="clear"/>
          </w:tcPr>
          <w:p>
            <w:pPr>
              <w:spacing w:after="60" w:before="60"/>
            </w:pPr>
            <w:r>
              <w:rPr>
                <w:b/>
                <w:bCs/>
                <w:color w:val="FFFFFF"/>
                <w:sz w:val="19"/>
                <w:szCs w:val="19"/>
              </w:rPr>
              <w:t xml:space="preserve">When Due</w:t>
            </w:r>
          </w:p>
        </w:tc>
      </w:tr>
      <w:tr>
        <w:tc>
          <w:tcPr>
            <w:tcW w:type="dxa" w:w="4000"/>
            <w:shd w:fill="FFFFFF" w:val="clear"/>
          </w:tcPr>
          <w:p>
            <w:pPr>
              <w:spacing w:after="40" w:before="40"/>
            </w:pPr>
            <w:r>
              <w:rPr>
                <w:b w:val="false"/>
                <w:bCs w:val="false"/>
                <w:color w:val="111827"/>
                <w:sz w:val="19"/>
                <w:szCs w:val="19"/>
              </w:rPr>
              <w:t xml:space="preserve">Phase 1 Setup Fee (one-time)</w:t>
            </w:r>
          </w:p>
        </w:tc>
        <w:tc>
          <w:tcPr>
            <w:tcW w:type="dxa" w:w="3200"/>
            <w:shd w:fill="FFFFFF" w:val="clear"/>
          </w:tcPr>
          <w:p>
            <w:pPr>
              <w:spacing w:after="40" w:before="40"/>
            </w:pPr>
            <w:r>
              <w:rPr>
                <w:b/>
                <w:bCs/>
                <w:color w:val="111827"/>
                <w:sz w:val="19"/>
                <w:szCs w:val="19"/>
              </w:rPr>
              <w:t xml:space="preserve">$2,500.00</w:t>
            </w:r>
          </w:p>
        </w:tc>
        <w:tc>
          <w:tcPr>
            <w:tcW w:type="dxa" w:w="2600"/>
            <w:shd w:fill="FFFFFF" w:val="clear"/>
          </w:tcPr>
          <w:p>
            <w:pPr>
              <w:spacing w:after="40" w:before="40"/>
            </w:pPr>
            <w:r>
              <w:rPr>
                <w:b w:val="false"/>
                <w:bCs w:val="false"/>
                <w:color w:val="111827"/>
                <w:sz w:val="19"/>
                <w:szCs w:val="19"/>
              </w:rPr>
              <w:t xml:space="preserve">Before work begins</w:t>
            </w:r>
          </w:p>
        </w:tc>
      </w:tr>
      <w:tr>
        <w:tc>
          <w:tcPr>
            <w:tcW w:type="dxa" w:w="4000"/>
            <w:shd w:fill="f8f4ef" w:val="clear"/>
          </w:tcPr>
          <w:p>
            <w:pPr>
              <w:spacing w:after="40" w:before="40"/>
            </w:pPr>
            <w:r>
              <w:rPr>
                <w:color w:val="111827"/>
                <w:sz w:val="19"/>
                <w:szCs w:val="19"/>
              </w:rPr>
              <w:t xml:space="preserve">60-Day Complimentary Support Period</w:t>
            </w:r>
          </w:p>
        </w:tc>
        <w:tc>
          <w:tcPr>
            <w:tcW w:type="dxa" w:w="3200"/>
            <w:shd w:fill="f8f4ef" w:val="clear"/>
          </w:tcPr>
          <w:p>
            <w:pPr>
              <w:spacing w:after="40" w:before="40"/>
            </w:pPr>
            <w:r>
              <w:rPr>
                <w:color w:val="111827"/>
                <w:sz w:val="19"/>
                <w:szCs w:val="19"/>
              </w:rPr>
              <w:t xml:space="preserve">$0.00 (included)</w:t>
            </w:r>
          </w:p>
        </w:tc>
        <w:tc>
          <w:tcPr>
            <w:tcW w:type="dxa" w:w="2600"/>
            <w:shd w:fill="f8f4ef" w:val="clear"/>
          </w:tcPr>
          <w:p>
            <w:pPr>
              <w:spacing w:after="40" w:before="40"/>
            </w:pPr>
            <w:r>
              <w:rPr>
                <w:color w:val="111827"/>
                <w:sz w:val="19"/>
                <w:szCs w:val="19"/>
              </w:rPr>
              <w:t xml:space="preserve">Days 1–60 post-handoff</w:t>
            </w:r>
          </w:p>
        </w:tc>
      </w:tr>
      <w:tr>
        <w:tc>
          <w:tcPr>
            <w:tcW w:type="dxa" w:w="4000"/>
            <w:shd w:fill="FFFFFF" w:val="clear"/>
          </w:tcPr>
          <w:p>
            <w:pPr>
              <w:spacing w:after="40" w:before="40"/>
            </w:pPr>
            <w:r>
              <w:rPr>
                <w:b w:val="false"/>
                <w:bCs w:val="false"/>
                <w:color w:val="111827"/>
                <w:sz w:val="19"/>
                <w:szCs w:val="19"/>
              </w:rPr>
              <w:t xml:space="preserve">AI System Care (monthly retainer)</w:t>
            </w:r>
          </w:p>
        </w:tc>
        <w:tc>
          <w:tcPr>
            <w:tcW w:type="dxa" w:w="3200"/>
            <w:shd w:fill="FFFFFF" w:val="clear"/>
          </w:tcPr>
          <w:p>
            <w:pPr>
              <w:spacing w:after="40" w:before="40"/>
            </w:pPr>
            <w:r>
              <w:rPr>
                <w:b/>
                <w:bCs/>
                <w:color w:val="111827"/>
                <w:sz w:val="19"/>
                <w:szCs w:val="19"/>
              </w:rPr>
              <w:t xml:space="preserve">$350.00/month</w:t>
            </w:r>
          </w:p>
        </w:tc>
        <w:tc>
          <w:tcPr>
            <w:tcW w:type="dxa" w:w="2600"/>
            <w:shd w:fill="FFFFFF" w:val="clear"/>
          </w:tcPr>
          <w:p>
            <w:pPr>
              <w:spacing w:after="40" w:before="40"/>
            </w:pPr>
            <w:r>
              <w:rPr>
                <w:b w:val="false"/>
                <w:bCs w:val="false"/>
                <w:color w:val="111827"/>
                <w:sz w:val="19"/>
                <w:szCs w:val="19"/>
              </w:rPr>
              <w:t xml:space="preserve">Months 3–8 (6-month initial term, beginning Day 61); auto-renews monthly thereafter</w:t>
            </w:r>
          </w:p>
        </w:tc>
      </w:tr>
    </w:tbl>
    <w:p>
      <w:pPr>
        <w:spacing w:after="60" w:before="0"/>
      </w:pPr>
    </w:p>
    <w:p>
      <w:pPr>
        <w:spacing w:after="60" w:before="60"/>
      </w:pPr>
      <w:r>
        <w:rPr>
          <w:color w:val="111827"/>
          <w:sz w:val="20"/>
          <w:szCs w:val="20"/>
        </w:rPr>
        <w:t xml:space="preserve">All amounts in USD. Accepted methods: Stripe, Zelle, or other method agreed upon in writing.</w:t>
      </w:r>
    </w:p>
    <w:p>
      <w:pPr>
        <w:spacing w:after="80" w:before="0"/>
      </w:pPr>
    </w:p>
    <w:p>
      <w:pPr>
        <w:pBdr>
          <w:left w:val="single" w:color="cbb07b" w:sz="20"/>
        </w:pBdr>
        <w:shd w:fill="1d3557" w:val="clear"/>
        <w:spacing w:after="100" w:before="280"/>
      </w:pPr>
      <w:r>
        <w:rPr>
          <w:b/>
          <w:bCs/>
          <w:caps/>
          <w:color w:val="FFFFFF"/>
          <w:sz w:val="24"/>
          <w:szCs w:val="24"/>
        </w:rPr>
        <w:t xml:space="preserve">6.  Third-Party Platform Costs</w:t>
      </w:r>
    </w:p>
    <w:p>
      <w:pPr>
        <w:spacing w:after="60" w:before="60"/>
      </w:pPr>
      <w:r>
        <w:rPr>
          <w:color w:val="111827"/>
          <w:sz w:val="20"/>
          <w:szCs w:val="20"/>
        </w:rPr>
        <w:t xml:space="preserve">The following are third-party subscription costs billed directly by each platform. They are NOT included in Provider's setup fee or monthly retainer. Provider will advise on the most cost-effective plan for Client's usage:</w:t>
      </w:r>
    </w:p>
    <w:p>
      <w:pPr>
        <w:spacing w:after="60" w:before="160"/>
      </w:pPr>
      <w:r>
        <w:rPr>
          <w:b/>
          <w:bCs/>
          <w:color w:val="1A2A4A"/>
          <w:sz w:val="22"/>
          <w:szCs w:val="22"/>
        </w:rPr>
        <w:t xml:space="preserve">Phase 2 — Available After Month 8 (Not Active Under This SOW)</w:t>
      </w:r>
    </w:p>
    <w:p>
      <w:pPr>
        <w:spacing w:after="60" w:before="60"/>
      </w:pPr>
      <w:r>
        <w:rPr>
          <w:sz w:val="22"/>
          <w:szCs w:val="22"/>
        </w:rPr>
        <w:t xml:space="preserve">Phase 2 (AI System Care + Social Visibility + Lead Generation + FB Ads) is available at $1,394.00/month after the initial 6-month AI System Care term. FB ad spend is billed separately. Phase 2 is not active under this SOW.</w:t>
      </w:r>
    </w:p>
    <w:p>
      <w:pPr>
        <w:spacing w:after="6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800"/>
      </w:tblGrid>
      <w:tr>
        <w:tc>
          <w:tcPr>
            <w:tcW w:type="dxa" w:w="2800"/>
            <w:shd w:fill="1d3557" w:val="clear"/>
          </w:tcPr>
          <w:p>
            <w:pPr>
              <w:spacing w:after="50" w:before="50"/>
            </w:pPr>
            <w:r>
              <w:rPr>
                <w:b/>
                <w:bCs/>
                <w:color w:val="FFFFFF"/>
                <w:sz w:val="18"/>
                <w:szCs w:val="18"/>
              </w:rPr>
              <w:t xml:space="preserve">Platform</w:t>
            </w:r>
          </w:p>
        </w:tc>
        <w:tc>
          <w:tcPr>
            <w:tcW w:type="dxa" w:w="2800"/>
            <w:shd w:fill="1d3557" w:val="clear"/>
          </w:tcPr>
          <w:p>
            <w:pPr>
              <w:spacing w:after="50" w:before="50"/>
            </w:pPr>
            <w:r>
              <w:rPr>
                <w:b/>
                <w:bCs/>
                <w:color w:val="FFFFFF"/>
                <w:sz w:val="18"/>
                <w:szCs w:val="18"/>
              </w:rPr>
              <w:t xml:space="preserve">Purpose</w:t>
            </w:r>
          </w:p>
        </w:tc>
        <w:tc>
          <w:tcPr>
            <w:tcW w:type="dxa" w:w="2400"/>
            <w:shd w:fill="1d3557" w:val="clear"/>
          </w:tcPr>
          <w:p>
            <w:pPr>
              <w:spacing w:after="50" w:before="50"/>
            </w:pPr>
            <w:r>
              <w:rPr>
                <w:b/>
                <w:bCs/>
                <w:color w:val="FFFFFF"/>
                <w:sz w:val="18"/>
                <w:szCs w:val="18"/>
              </w:rPr>
              <w:t xml:space="preserve">Est. Monthly Cost</w:t>
            </w:r>
          </w:p>
        </w:tc>
        <w:tc>
          <w:tcPr>
            <w:tcW w:type="dxa" w:w="1800"/>
            <w:shd w:fill="1d3557" w:val="clear"/>
          </w:tcPr>
          <w:p>
            <w:pPr>
              <w:spacing w:after="50" w:before="50"/>
            </w:pPr>
            <w:r>
              <w:rPr>
                <w:b/>
                <w:bCs/>
                <w:color w:val="FFFFFF"/>
                <w:sz w:val="18"/>
                <w:szCs w:val="18"/>
              </w:rPr>
              <w:t xml:space="preserve">Paid By</w:t>
            </w:r>
          </w:p>
        </w:tc>
      </w:tr>
      <w:tr>
        <w:tc>
          <w:tcPr>
            <w:tcW w:type="dxa" w:w="2800"/>
            <w:shd w:fill="FFFFFF" w:val="clear"/>
          </w:tcPr>
          <w:p>
            <w:pPr>
              <w:spacing w:after="36" w:before="36"/>
            </w:pPr>
            <w:r>
              <w:rPr>
                <w:color w:val="111827"/>
                <w:sz w:val="18"/>
                <w:szCs w:val="18"/>
              </w:rPr>
              <w:t xml:space="preserve">Twilio</w:t>
            </w:r>
          </w:p>
        </w:tc>
        <w:tc>
          <w:tcPr>
            <w:tcW w:type="dxa" w:w="2800"/>
            <w:shd w:fill="FFFFFF" w:val="clear"/>
          </w:tcPr>
          <w:p>
            <w:pPr>
              <w:spacing w:after="36" w:before="36"/>
            </w:pPr>
            <w:r>
              <w:rPr>
                <w:color w:val="111827"/>
                <w:sz w:val="18"/>
                <w:szCs w:val="18"/>
              </w:rPr>
              <w:t xml:space="preserve">Phone number + call minutes</w:t>
            </w:r>
          </w:p>
        </w:tc>
        <w:tc>
          <w:tcPr>
            <w:tcW w:type="dxa" w:w="2400"/>
            <w:shd w:fill="FFFFFF" w:val="clear"/>
          </w:tcPr>
          <w:p>
            <w:pPr>
              <w:spacing w:after="36" w:before="36"/>
            </w:pPr>
            <w:r>
              <w:rPr>
                <w:color w:val="111827"/>
                <w:sz w:val="18"/>
                <w:szCs w:val="18"/>
              </w:rPr>
              <w:t xml:space="preserve">~$20–30/month</w:t>
            </w:r>
          </w:p>
        </w:tc>
        <w:tc>
          <w:tcPr>
            <w:tcW w:type="dxa" w:w="1800"/>
            <w:shd w:fill="FFFFFF" w:val="clear"/>
          </w:tcPr>
          <w:p>
            <w:pPr>
              <w:spacing w:after="36" w:before="36"/>
            </w:pPr>
            <w:r>
              <w:rPr>
                <w:color w:val="111827"/>
                <w:sz w:val="18"/>
                <w:szCs w:val="18"/>
              </w:rPr>
              <w:t xml:space="preserve">Client</w:t>
            </w:r>
          </w:p>
        </w:tc>
      </w:tr>
      <w:tr>
        <w:tc>
          <w:tcPr>
            <w:tcW w:type="dxa" w:w="2800"/>
            <w:shd w:fill="f8f4ef" w:val="clear"/>
          </w:tcPr>
          <w:p>
            <w:pPr>
              <w:spacing w:after="36" w:before="36"/>
            </w:pPr>
            <w:r>
              <w:rPr>
                <w:color w:val="111827"/>
                <w:sz w:val="18"/>
                <w:szCs w:val="18"/>
              </w:rPr>
              <w:t xml:space="preserve">11Labs (ElevenLabs)</w:t>
            </w:r>
          </w:p>
        </w:tc>
        <w:tc>
          <w:tcPr>
            <w:tcW w:type="dxa" w:w="2800"/>
            <w:shd w:fill="f8f4ef" w:val="clear"/>
          </w:tcPr>
          <w:p>
            <w:pPr>
              <w:spacing w:after="36" w:before="36"/>
            </w:pPr>
            <w:r>
              <w:rPr>
                <w:color w:val="111827"/>
                <w:sz w:val="18"/>
                <w:szCs w:val="18"/>
              </w:rPr>
              <w:t xml:space="preserve">ADESINA AI voice minutes</w:t>
            </w:r>
          </w:p>
        </w:tc>
        <w:tc>
          <w:tcPr>
            <w:tcW w:type="dxa" w:w="2400"/>
            <w:shd w:fill="f8f4ef" w:val="clear"/>
          </w:tcPr>
          <w:p>
            <w:pPr>
              <w:spacing w:after="36" w:before="36"/>
            </w:pPr>
            <w:r>
              <w:rPr>
                <w:color w:val="111827"/>
                <w:sz w:val="18"/>
                <w:szCs w:val="18"/>
              </w:rPr>
              <w:t xml:space="preserve">~$22/month (Starter)</w:t>
            </w:r>
          </w:p>
        </w:tc>
        <w:tc>
          <w:tcPr>
            <w:tcW w:type="dxa" w:w="1800"/>
            <w:shd w:fill="f8f4ef" w:val="clear"/>
          </w:tcPr>
          <w:p>
            <w:pPr>
              <w:spacing w:after="36" w:before="36"/>
            </w:pPr>
            <w:r>
              <w:rPr>
                <w:color w:val="111827"/>
                <w:sz w:val="18"/>
                <w:szCs w:val="18"/>
              </w:rPr>
              <w:t xml:space="preserve">Client</w:t>
            </w:r>
          </w:p>
        </w:tc>
      </w:tr>
      <w:tr>
        <w:tc>
          <w:tcPr>
            <w:tcW w:type="dxa" w:w="2800"/>
            <w:shd w:fill="FFFFFF" w:val="clear"/>
          </w:tcPr>
          <w:p>
            <w:pPr>
              <w:spacing w:after="36" w:before="36"/>
            </w:pPr>
            <w:r>
              <w:rPr>
                <w:color w:val="111827"/>
                <w:sz w:val="18"/>
                <w:szCs w:val="18"/>
              </w:rPr>
              <w:t xml:space="preserve">N8N</w:t>
            </w:r>
          </w:p>
        </w:tc>
        <w:tc>
          <w:tcPr>
            <w:tcW w:type="dxa" w:w="2800"/>
            <w:shd w:fill="FFFFFF" w:val="clear"/>
          </w:tcPr>
          <w:p>
            <w:pPr>
              <w:spacing w:after="36" w:before="36"/>
            </w:pPr>
            <w:r>
              <w:rPr>
                <w:color w:val="111827"/>
                <w:sz w:val="18"/>
                <w:szCs w:val="18"/>
              </w:rPr>
              <w:t xml:space="preserve">Workflow automation</w:t>
            </w:r>
          </w:p>
        </w:tc>
        <w:tc>
          <w:tcPr>
            <w:tcW w:type="dxa" w:w="2400"/>
            <w:shd w:fill="FFFFFF" w:val="clear"/>
          </w:tcPr>
          <w:p>
            <w:pPr>
              <w:spacing w:after="36" w:before="36"/>
            </w:pPr>
            <w:r>
              <w:rPr>
                <w:color w:val="111827"/>
                <w:sz w:val="18"/>
                <w:szCs w:val="18"/>
              </w:rPr>
              <w:t xml:space="preserve">~$20/month (Starter)</w:t>
            </w:r>
          </w:p>
        </w:tc>
        <w:tc>
          <w:tcPr>
            <w:tcW w:type="dxa" w:w="1800"/>
            <w:shd w:fill="FFFFFF" w:val="clear"/>
          </w:tcPr>
          <w:p>
            <w:pPr>
              <w:spacing w:after="36" w:before="36"/>
            </w:pPr>
            <w:r>
              <w:rPr>
                <w:color w:val="111827"/>
                <w:sz w:val="18"/>
                <w:szCs w:val="18"/>
              </w:rPr>
              <w:t xml:space="preserve">Client</w:t>
            </w:r>
          </w:p>
        </w:tc>
      </w:tr>
      <w:tr>
        <w:tc>
          <w:tcPr>
            <w:tcW w:type="dxa" w:w="2800"/>
            <w:shd w:fill="f8f4ef" w:val="clear"/>
          </w:tcPr>
          <w:p>
            <w:pPr>
              <w:spacing w:after="36" w:before="36"/>
            </w:pPr>
            <w:r>
              <w:rPr>
                <w:color w:val="111827"/>
                <w:sz w:val="18"/>
                <w:szCs w:val="18"/>
              </w:rPr>
              <w:t xml:space="preserve">GoHighLevel (GHL)</w:t>
            </w:r>
          </w:p>
        </w:tc>
        <w:tc>
          <w:tcPr>
            <w:tcW w:type="dxa" w:w="2800"/>
            <w:shd w:fill="f8f4ef" w:val="clear"/>
          </w:tcPr>
          <w:p>
            <w:pPr>
              <w:spacing w:after="36" w:before="36"/>
            </w:pPr>
            <w:r>
              <w:rPr>
                <w:color w:val="111827"/>
                <w:sz w:val="18"/>
                <w:szCs w:val="18"/>
              </w:rPr>
              <w:t xml:space="preserve">CRM subaccount access</w:t>
            </w:r>
          </w:p>
        </w:tc>
        <w:tc>
          <w:tcPr>
            <w:tcW w:type="dxa" w:w="2400"/>
            <w:shd w:fill="f8f4ef" w:val="clear"/>
          </w:tcPr>
          <w:p>
            <w:pPr>
              <w:spacing w:after="36" w:before="36"/>
            </w:pPr>
            <w:r>
              <w:rPr>
                <w:color w:val="111827"/>
                <w:sz w:val="18"/>
                <w:szCs w:val="18"/>
              </w:rPr>
              <w:t xml:space="preserve">Included under Provider account; covered in $350 retainer</w:t>
            </w:r>
          </w:p>
        </w:tc>
        <w:tc>
          <w:tcPr>
            <w:tcW w:type="dxa" w:w="1800"/>
            <w:shd w:fill="f8f4ef" w:val="clear"/>
          </w:tcPr>
          <w:p>
            <w:pPr>
              <w:spacing w:after="36" w:before="36"/>
            </w:pPr>
            <w:r>
              <w:rPr>
                <w:color w:val="111827"/>
                <w:sz w:val="18"/>
                <w:szCs w:val="18"/>
              </w:rPr>
              <w:t xml:space="preserve">Provider</w:t>
            </w:r>
          </w:p>
        </w:tc>
      </w:tr>
      <w:tr>
        <w:tc>
          <w:tcPr>
            <w:tcW w:type="dxa" w:w="2800"/>
            <w:shd w:fill="FFFFFF" w:val="clear"/>
          </w:tcPr>
          <w:p>
            <w:pPr>
              <w:spacing w:after="36" w:before="36"/>
            </w:pPr>
            <w:r>
              <w:rPr>
                <w:color w:val="111827"/>
                <w:sz w:val="18"/>
                <w:szCs w:val="18"/>
              </w:rPr>
              <w:t xml:space="preserve">Stripe</w:t>
            </w:r>
          </w:p>
        </w:tc>
        <w:tc>
          <w:tcPr>
            <w:tcW w:type="dxa" w:w="2800"/>
            <w:shd w:fill="FFFFFF" w:val="clear"/>
          </w:tcPr>
          <w:p>
            <w:pPr>
              <w:spacing w:after="36" w:before="36"/>
            </w:pPr>
            <w:r>
              <w:rPr>
                <w:color w:val="111827"/>
                <w:sz w:val="18"/>
                <w:szCs w:val="18"/>
              </w:rPr>
              <w:t xml:space="preserve">Payment processing</w:t>
            </w:r>
          </w:p>
        </w:tc>
        <w:tc>
          <w:tcPr>
            <w:tcW w:type="dxa" w:w="2400"/>
            <w:shd w:fill="FFFFFF" w:val="clear"/>
          </w:tcPr>
          <w:p>
            <w:pPr>
              <w:spacing w:after="36" w:before="36"/>
            </w:pPr>
            <w:r>
              <w:rPr>
                <w:color w:val="111827"/>
                <w:sz w:val="18"/>
                <w:szCs w:val="18"/>
              </w:rPr>
              <w:t xml:space="preserve">2.9% + $0.30 per transaction</w:t>
            </w:r>
          </w:p>
        </w:tc>
        <w:tc>
          <w:tcPr>
            <w:tcW w:type="dxa" w:w="1800"/>
            <w:shd w:fill="FFFFFF" w:val="clear"/>
          </w:tcPr>
          <w:p>
            <w:pPr>
              <w:spacing w:after="36" w:before="36"/>
            </w:pPr>
            <w:r>
              <w:rPr>
                <w:color w:val="111827"/>
                <w:sz w:val="18"/>
                <w:szCs w:val="18"/>
              </w:rPr>
              <w:t xml:space="preserve">Client</w:t>
            </w:r>
          </w:p>
        </w:tc>
      </w:tr>
      <w:tr>
        <w:tc>
          <w:tcPr>
            <w:tcW w:type="dxa" w:w="2800"/>
            <w:shd w:fill="f8f4ef" w:val="clear"/>
          </w:tcPr>
          <w:p>
            <w:pPr>
              <w:spacing w:after="36" w:before="36"/>
            </w:pPr>
            <w:r>
              <w:rPr>
                <w:color w:val="111827"/>
                <w:sz w:val="18"/>
                <w:szCs w:val="18"/>
              </w:rPr>
              <w:t xml:space="preserve">Dot Card</w:t>
            </w:r>
          </w:p>
        </w:tc>
        <w:tc>
          <w:tcPr>
            <w:tcW w:type="dxa" w:w="2800"/>
            <w:shd w:fill="f8f4ef" w:val="clear"/>
          </w:tcPr>
          <w:p>
            <w:pPr>
              <w:spacing w:after="36" w:before="36"/>
            </w:pPr>
            <w:r>
              <w:rPr>
                <w:color w:val="111827"/>
                <w:sz w:val="18"/>
                <w:szCs w:val="18"/>
              </w:rPr>
              <w:t xml:space="preserve">Digital business card</w:t>
            </w:r>
          </w:p>
        </w:tc>
        <w:tc>
          <w:tcPr>
            <w:tcW w:type="dxa" w:w="2400"/>
            <w:shd w:fill="f8f4ef" w:val="clear"/>
          </w:tcPr>
          <w:p>
            <w:pPr>
              <w:spacing w:after="36" w:before="36"/>
            </w:pPr>
            <w:r>
              <w:rPr>
                <w:color w:val="111827"/>
                <w:sz w:val="18"/>
                <w:szCs w:val="18"/>
              </w:rPr>
              <w:t xml:space="preserve">Per Dot Card's pricing</w:t>
            </w:r>
          </w:p>
        </w:tc>
        <w:tc>
          <w:tcPr>
            <w:tcW w:type="dxa" w:w="1800"/>
            <w:shd w:fill="f8f4ef" w:val="clear"/>
          </w:tcPr>
          <w:p>
            <w:pPr>
              <w:spacing w:after="36" w:before="36"/>
            </w:pPr>
            <w:r>
              <w:rPr>
                <w:color w:val="111827"/>
                <w:sz w:val="18"/>
                <w:szCs w:val="18"/>
              </w:rPr>
              <w:t xml:space="preserve">Client</w:t>
            </w:r>
          </w:p>
        </w:tc>
      </w:tr>
    </w:tbl>
    <w:p>
      <w:pPr>
        <w:spacing w:after="80" w:before="0"/>
      </w:pPr>
    </w:p>
    <w:p>
      <w:pPr>
        <w:pBdr>
          <w:left w:val="single" w:color="cbb07b" w:sz="20"/>
        </w:pBdr>
        <w:shd w:fill="1d3557" w:val="clear"/>
        <w:spacing w:after="100" w:before="280"/>
      </w:pPr>
      <w:r>
        <w:rPr>
          <w:b/>
          <w:bCs/>
          <w:caps/>
          <w:color w:val="FFFFFF"/>
          <w:sz w:val="24"/>
          <w:szCs w:val="24"/>
        </w:rPr>
        <w:t xml:space="preserve">7.  Out of Scope — Phase 1</w:t>
      </w:r>
    </w:p>
    <w:p>
      <w:pPr>
        <w:spacing w:after="60" w:before="60"/>
      </w:pPr>
      <w:r>
        <w:rPr>
          <w:color w:val="111827"/>
          <w:sz w:val="20"/>
          <w:szCs w:val="20"/>
        </w:rPr>
        <w:t xml:space="preserve">The following items are explicitly excluded from this Statement of Work. They are available as separate services or a Phase 2 engagement:</w:t>
      </w:r>
    </w:p>
    <w:p>
      <w:pPr>
        <w:spacing w:after="40" w:before="40"/>
        <w:ind w:left="360"/>
      </w:pPr>
      <w:r>
        <w:rPr>
          <w:color w:val="111827"/>
          <w:sz w:val="20"/>
          <w:szCs w:val="20"/>
        </w:rPr>
        <w:t xml:space="preserve">•  Social media content creation or management (any platform)</w:t>
      </w:r>
    </w:p>
    <w:p>
      <w:pPr>
        <w:spacing w:after="40" w:before="40"/>
        <w:ind w:left="360"/>
      </w:pPr>
      <w:r>
        <w:rPr>
          <w:color w:val="111827"/>
          <w:sz w:val="20"/>
          <w:szCs w:val="20"/>
        </w:rPr>
        <w:t xml:space="preserve">•  Lead generation, list building, or automated prospecting (scraping event venues, hotels, etc.)</w:t>
      </w:r>
    </w:p>
    <w:p>
      <w:pPr>
        <w:spacing w:after="40" w:before="40"/>
        <w:ind w:left="360"/>
      </w:pPr>
      <w:r>
        <w:rPr>
          <w:color w:val="111827"/>
          <w:sz w:val="20"/>
          <w:szCs w:val="20"/>
        </w:rPr>
        <w:t xml:space="preserve">•  Google Business Profile setup or optimization</w:t>
      </w:r>
    </w:p>
    <w:p>
      <w:pPr>
        <w:spacing w:after="40" w:before="40"/>
        <w:ind w:left="360"/>
      </w:pPr>
      <w:r>
        <w:rPr>
          <w:color w:val="111827"/>
          <w:sz w:val="20"/>
          <w:szCs w:val="20"/>
        </w:rPr>
        <w:t xml:space="preserve">•  Paid advertising management (Google Ads, Meta Ads, etc.)</w:t>
      </w:r>
    </w:p>
    <w:p>
      <w:pPr>
        <w:spacing w:after="40" w:before="40"/>
        <w:ind w:left="360"/>
      </w:pPr>
      <w:r>
        <w:rPr>
          <w:color w:val="111827"/>
          <w:sz w:val="20"/>
          <w:szCs w:val="20"/>
        </w:rPr>
        <w:t xml:space="preserve">•  Full website redesign or rebuild (targeted edits for QR code placement are included)</w:t>
      </w:r>
    </w:p>
    <w:p>
      <w:pPr>
        <w:spacing w:after="40" w:before="40"/>
        <w:ind w:left="360"/>
      </w:pPr>
      <w:r>
        <w:rPr>
          <w:color w:val="111827"/>
          <w:sz w:val="20"/>
          <w:szCs w:val="20"/>
        </w:rPr>
        <w:t xml:space="preserve">•  Graphic design beyond QR code and Dot Card setup</w:t>
      </w:r>
    </w:p>
    <w:p>
      <w:pPr>
        <w:spacing w:after="40" w:before="40"/>
        <w:ind w:left="360"/>
      </w:pPr>
      <w:r>
        <w:rPr>
          <w:color w:val="111827"/>
          <w:sz w:val="20"/>
          <w:szCs w:val="20"/>
        </w:rPr>
        <w:t xml:space="preserve">•  Legal, accounting, or tax advice</w:t>
      </w:r>
    </w:p>
    <w:p>
      <w:pPr>
        <w:spacing w:after="40" w:before="40"/>
        <w:ind w:left="360"/>
      </w:pPr>
      <w:r>
        <w:rPr>
          <w:color w:val="111827"/>
          <w:sz w:val="20"/>
          <w:szCs w:val="20"/>
        </w:rPr>
        <w:t xml:space="preserve">•  Driver staffing or fleet management software</w:t>
      </w:r>
    </w:p>
    <w:p>
      <w:pPr>
        <w:spacing w:after="40" w:before="40"/>
        <w:ind w:left="360"/>
      </w:pPr>
      <w:r>
        <w:rPr>
          <w:color w:val="111827"/>
          <w:sz w:val="20"/>
          <w:szCs w:val="20"/>
        </w:rPr>
        <w:t xml:space="preserve">•  Custom mobile app development</w:t>
      </w:r>
    </w:p>
    <w:p>
      <w:pPr>
        <w:spacing w:after="80" w:before="0"/>
      </w:pPr>
    </w:p>
    <w:p>
      <w:pPr>
        <w:pBdr>
          <w:left w:val="single" w:color="cbb07b" w:sz="20"/>
        </w:pBdr>
        <w:shd w:fill="1d3557" w:val="clear"/>
        <w:spacing w:after="100" w:before="280"/>
      </w:pPr>
      <w:r>
        <w:rPr>
          <w:b/>
          <w:bCs/>
          <w:caps/>
          <w:color w:val="FFFFFF"/>
          <w:sz w:val="24"/>
          <w:szCs w:val="24"/>
        </w:rPr>
        <w:t xml:space="preserve">8.  Intellectual Property</w:t>
      </w:r>
    </w:p>
    <w:p>
      <w:pPr>
        <w:spacing w:after="60" w:before="60"/>
      </w:pPr>
      <w:r>
        <w:rPr>
          <w:color w:val="111827"/>
          <w:sz w:val="20"/>
          <w:szCs w:val="20"/>
        </w:rPr>
        <w:t xml:space="preserve">All custom AI scripts, ADESINA™ voice persona configuration, N8N workflow builds, and GHL pipeline setups created by Provider for this project become the property of Client upon receipt of final payment. Provider retains the right to describe the project in its portfolio and case studies without disclosing Client's confidential business data. Third-party platform terms govern their respective tools.</w:t>
      </w:r>
    </w:p>
    <w:p>
      <w:pPr>
        <w:spacing w:after="80" w:before="0"/>
      </w:pPr>
    </w:p>
    <w:p>
      <w:pPr>
        <w:pBdr>
          <w:left w:val="single" w:color="cbb07b" w:sz="20"/>
        </w:pBdr>
        <w:shd w:fill="1d3557" w:val="clear"/>
        <w:spacing w:after="100" w:before="280"/>
      </w:pPr>
      <w:r>
        <w:rPr>
          <w:b/>
          <w:bCs/>
          <w:caps/>
          <w:color w:val="FFFFFF"/>
          <w:sz w:val="24"/>
          <w:szCs w:val="24"/>
        </w:rPr>
        <w:t xml:space="preserve">9.  Confidentiality</w:t>
      </w:r>
    </w:p>
    <w:p>
      <w:pPr>
        <w:spacing w:after="60" w:before="60"/>
      </w:pPr>
      <w:r>
        <w:rPr>
          <w:color w:val="111827"/>
          <w:sz w:val="20"/>
          <w:szCs w:val="20"/>
        </w:rPr>
        <w:t xml:space="preserve">Both parties agree to keep confidential any proprietary business information, client data, pricing, workflows, and trade secrets shared in connection with this engagement. This obligation survives termination for two (2) years.</w:t>
      </w:r>
    </w:p>
    <w:p>
      <w:pPr>
        <w:spacing w:after="80" w:before="0"/>
      </w:pPr>
    </w:p>
    <w:p>
      <w:pPr>
        <w:pBdr>
          <w:left w:val="single" w:color="cbb07b" w:sz="20"/>
        </w:pBdr>
        <w:shd w:fill="1d3557" w:val="clear"/>
        <w:spacing w:after="100" w:before="280"/>
      </w:pPr>
      <w:r>
        <w:rPr>
          <w:b/>
          <w:bCs/>
          <w:caps/>
          <w:color w:val="FFFFFF"/>
          <w:sz w:val="24"/>
          <w:szCs w:val="24"/>
        </w:rPr>
        <w:t xml:space="preserve">10.  Change Orders</w:t>
      </w:r>
    </w:p>
    <w:p>
      <w:pPr>
        <w:spacing w:after="60" w:before="60"/>
      </w:pPr>
      <w:r>
        <w:rPr>
          <w:color w:val="111827"/>
          <w:sz w:val="20"/>
          <w:szCs w:val="20"/>
        </w:rPr>
        <w:t xml:space="preserve">Any work outside the scope defined in Section 2 requires a written Change Order signed by both parties, specifying the additional work, timeline, and fee. No out-of-scope work will begin until the Change Order is executed and any required payment is received.</w:t>
      </w:r>
    </w:p>
    <w:p>
      <w:pPr>
        <w:spacing w:after="80" w:before="0"/>
      </w:pPr>
    </w:p>
    <w:p>
      <w:pPr>
        <w:pBdr>
          <w:left w:val="single" w:color="cbb07b" w:sz="20"/>
        </w:pBdr>
        <w:shd w:fill="1d3557" w:val="clear"/>
        <w:spacing w:after="100" w:before="280"/>
      </w:pPr>
      <w:r>
        <w:rPr>
          <w:b/>
          <w:bCs/>
          <w:caps/>
          <w:color w:val="FFFFFF"/>
          <w:sz w:val="24"/>
          <w:szCs w:val="24"/>
        </w:rPr>
        <w:t xml:space="preserve">11.  Termination</w:t>
      </w:r>
    </w:p>
    <w:p>
      <w:pPr>
        <w:spacing w:after="60" w:before="60"/>
      </w:pPr>
      <w:r>
        <w:rPr>
          <w:color w:val="111827"/>
          <w:sz w:val="20"/>
          <w:szCs w:val="20"/>
        </w:rPr>
        <w:t xml:space="preserve">Either party may terminate this SOW with fourteen (14) days written notice. Upon termination: (a) Client shall pay for all work completed through the termination date; (b) Provider shall deliver all work product completed to date; (c) the $2,500 setup fee is non-refundable. This SOW is governed by the AI GlamTech Empire™ Service Agreement.</w:t>
      </w:r>
    </w:p>
    <w:p>
      <w:pPr>
        <w:spacing w:after="80" w:before="0"/>
      </w:pPr>
    </w:p>
    <w:p>
      <w:pPr>
        <w:pBdr>
          <w:left w:val="single" w:color="cbb07b" w:sz="20"/>
        </w:pBdr>
        <w:shd w:fill="1d3557" w:val="clear"/>
        <w:spacing w:after="100" w:before="280"/>
      </w:pPr>
      <w:r>
        <w:rPr>
          <w:b/>
          <w:bCs/>
          <w:caps/>
          <w:color w:val="FFFFFF"/>
          <w:sz w:val="24"/>
          <w:szCs w:val="24"/>
        </w:rPr>
        <w:t xml:space="preserve">12.  Governing Law</w:t>
      </w:r>
    </w:p>
    <w:p>
      <w:pPr>
        <w:spacing w:after="60" w:before="60"/>
      </w:pPr>
      <w:r>
        <w:rPr>
          <w:color w:val="111827"/>
          <w:sz w:val="20"/>
          <w:szCs w:val="20"/>
        </w:rPr>
        <w:t xml:space="preserve">This Statement of Work is incorporated into and governed by the AI GlamTech Empire™ Service Agreement. Disputes shall be resolved under the laws of the State of Florida, with venue in Orange County, Florida.</w:t>
      </w:r>
    </w:p>
    <w:p>
      <w:pPr>
        <w:spacing w:after="120" w:before="0"/>
      </w:pPr>
    </w:p>
    <w:p>
      <w:r>
        <w:br w:type="page"/>
      </w:r>
    </w:p>
    <w:p>
      <w:pPr>
        <w:spacing w:after="120" w:before="200"/>
        <w:jc w:val="center"/>
      </w:pPr>
      <w:r>
        <w:rPr>
          <w:b/>
          <w:bCs/>
          <w:caps/>
          <w:color w:val="1d3557"/>
          <w:sz w:val="26"/>
          <w:szCs w:val="26"/>
        </w:rPr>
        <w:t xml:space="preserve">SIGNATURES</w:t>
      </w:r>
    </w:p>
    <w:p>
      <w:pPr>
        <w:spacing w:after="60" w:before="60"/>
      </w:pPr>
      <w:r>
        <w:rPr>
          <w:i/>
          <w:iCs/>
          <w:color w:val="111827"/>
          <w:sz w:val="20"/>
          <w:szCs w:val="20"/>
        </w:rPr>
        <w:t xml:space="preserve">By signing below, both parties agree to the terms of this Statement of Work and authorize work to commence upon receipt of the required setup fee.</w:t>
      </w:r>
    </w:p>
    <w:p>
      <w:pPr>
        <w:spacing w:after="100" w:before="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500"/>
        <w:gridCol w:w="800"/>
        <w:gridCol w:w="4500"/>
      </w:tblGrid>
      <w:tr>
        <w:tc>
          <w:tcPr>
            <w:tcW w:type="dxa" w:w="4500"/>
            <w:tcBorders>
              <w:top w:val="none"/>
              <w:left w:val="none"/>
              <w:bottom w:val="none"/>
              <w:right w:val="none"/>
            </w:tcBorders>
          </w:tcPr>
          <w:p>
            <w:pPr>
              <w:spacing w:after="60" w:before="60"/>
            </w:pPr>
            <w:r>
              <w:rPr>
                <w:b/>
                <w:bCs/>
                <w:color w:val="1d3557"/>
                <w:sz w:val="22"/>
                <w:szCs w:val="22"/>
              </w:rPr>
              <w:t xml:space="preserve">AI GlamTech Empire™</w:t>
            </w:r>
          </w:p>
          <w:p>
            <w:pPr>
              <w:spacing w:after="200" w:before="0"/>
            </w:pPr>
            <w:r>
              <w:rPr>
                <w:color w:val="6b7280"/>
                <w:sz w:val="19"/>
                <w:szCs w:val="19"/>
              </w:rPr>
              <w:t xml:space="preserve">Service Provider</w:t>
            </w:r>
          </w:p>
          <w:p>
            <w:pPr>
              <w:spacing w:after="80" w:before="80"/>
            </w:pPr>
            <w:r>
              <w:rPr>
                <w:sz w:val="20"/>
                <w:szCs w:val="20"/>
              </w:rPr>
              <w:t xml:space="preserve">Signature: ________________________</w:t>
            </w:r>
          </w:p>
          <w:p>
            <w:pPr>
              <w:spacing w:after="40" w:before="40"/>
            </w:pPr>
            <w:r>
              <w:rPr>
                <w:sz w:val="20"/>
                <w:szCs w:val="20"/>
              </w:rPr>
              <w:t xml:space="preserve">Printed Name: Pinky Floyd</w:t>
            </w:r>
          </w:p>
          <w:p>
            <w:pPr>
              <w:spacing w:after="40" w:before="40"/>
            </w:pPr>
            <w:r>
              <w:rPr>
                <w:sz w:val="20"/>
                <w:szCs w:val="20"/>
              </w:rPr>
              <w:t xml:space="preserve">Date: ____________________________</w:t>
            </w:r>
          </w:p>
        </w:tc>
        <w:tc>
          <w:tcPr>
            <w:tcW w:type="dxa" w:w="800"/>
            <w:tcBorders>
              <w:top w:val="none"/>
              <w:left w:val="none"/>
              <w:bottom w:val="none"/>
              <w:right w:val="none"/>
            </w:tcBorders>
          </w:tcPr>
          <w:p/>
        </w:tc>
        <w:tc>
          <w:tcPr>
            <w:tcW w:type="dxa" w:w="4500"/>
            <w:tcBorders>
              <w:top w:val="none"/>
              <w:left w:val="none"/>
              <w:bottom w:val="none"/>
              <w:right w:val="none"/>
            </w:tcBorders>
          </w:tcPr>
          <w:p>
            <w:pPr>
              <w:spacing w:after="60" w:before="60"/>
            </w:pPr>
            <w:r>
              <w:rPr>
                <w:b/>
                <w:bCs/>
                <w:color w:val="1d3557"/>
                <w:sz w:val="22"/>
                <w:szCs w:val="22"/>
              </w:rPr>
              <w:t xml:space="preserve">Brian Walcott</w:t>
            </w:r>
          </w:p>
          <w:p>
            <w:pPr>
              <w:spacing w:after="200" w:before="0"/>
            </w:pPr>
            <w:r>
              <w:rPr>
                <w:color w:val="6b7280"/>
                <w:sz w:val="19"/>
                <w:szCs w:val="19"/>
              </w:rPr>
              <w:t xml:space="preserve">Client — Paradise Transportation of Central Florida, Inc.</w:t>
            </w:r>
          </w:p>
          <w:p>
            <w:pPr>
              <w:spacing w:after="80" w:before="80"/>
            </w:pPr>
            <w:r>
              <w:rPr>
                <w:sz w:val="20"/>
                <w:szCs w:val="20"/>
              </w:rPr>
              <w:t xml:space="preserve">Signature: ________________________</w:t>
            </w:r>
          </w:p>
          <w:p>
            <w:pPr>
              <w:spacing w:after="40" w:before="40"/>
            </w:pPr>
            <w:r>
              <w:rPr>
                <w:sz w:val="20"/>
                <w:szCs w:val="20"/>
              </w:rPr>
              <w:t xml:space="preserve">Printed Name: ____________________</w:t>
            </w:r>
          </w:p>
          <w:p>
            <w:pPr>
              <w:spacing w:after="40" w:before="40"/>
            </w:pPr>
            <w:r>
              <w:rPr>
                <w:sz w:val="20"/>
                <w:szCs w:val="20"/>
              </w:rPr>
              <w:t xml:space="preserve">Date: ____________________________</w:t>
            </w:r>
          </w:p>
        </w:tc>
      </w:tr>
    </w:tbl>
    <w:p>
      <w:pPr>
        <w:spacing w:after="200" w:before="0"/>
      </w:pPr>
    </w:p>
    <w:p>
      <w:pPr>
        <w:pBdr>
          <w:top w:val="single" w:color="cbb07b" w:sz="6"/>
        </w:pBdr>
        <w:spacing w:after="0" w:before="80"/>
        <w:jc w:val="center"/>
      </w:pPr>
      <w:r>
        <w:rPr>
          <w:i/>
          <w:iCs/>
          <w:color w:val="6b7280"/>
          <w:sz w:val="18"/>
          <w:szCs w:val="18"/>
        </w:rPr>
        <w:t xml:space="preserve">AI GlamTech Empire™  |  Where AI meets the art of the experience.  |  pinky@aiglamtechempire.com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2026-08-04T05:09:04.318Z</dcterms:created>
  <dcterms:modified xsi:type="dcterms:W3CDTF">2026-08-04T05:09:04.319Z</dcterms:modified>
</cp:coreProperties>
</file>

<file path=docProps/custom.xml><?xml version="1.0" encoding="utf-8"?>
<Properties xmlns="http://schemas.openxmlformats.org/officeDocument/2006/custom-properties" xmlns:vt="http://schemas.openxmlformats.org/officeDocument/2006/docPropsVTypes"/>
</file>