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2A4A"/>
          <w:sz w:val="44"/>
          <w:szCs w:val="44"/>
        </w:rPr>
        <w:t xml:space="preserve">ABW LUXURY LIMOUSINE SERVICE</w:t>
      </w:r>
    </w:p>
    <w:p>
      <w:pPr>
        <w:spacing w:after="40" w:before="0"/>
        <w:jc w:val="center"/>
      </w:pPr>
      <w:r>
        <w:rPr>
          <w:rFonts w:ascii="Arial" w:cs="Arial" w:eastAsia="Arial" w:hAnsi="Arial"/>
          <w:i/>
          <w:iCs/>
          <w:color w:val="666666"/>
          <w:sz w:val="22"/>
          <w:szCs w:val="22"/>
        </w:rPr>
        <w:t xml:space="preserve">Brian Walcott, Owner/Operator  |  Orlando, Florida</w:t>
      </w:r>
    </w:p>
    <w:p>
      <w:pPr>
        <w:pBdr>
          <w:bottom w:val="single" w:color="C9A84C" w:sz="6" w:space="1"/>
        </w:pBdr>
        <w:spacing w:after="180" w:before="180"/>
      </w:pPr>
    </w:p>
    <w:p>
      <w:pPr>
        <w:spacing w:after="40" w:before="80"/>
        <w:jc w:val="center"/>
      </w:pPr>
      <w:r>
        <w:rPr>
          <w:rFonts w:ascii="Arial" w:cs="Arial" w:eastAsia="Arial" w:hAnsi="Arial"/>
          <w:b/>
          <w:bCs/>
          <w:color w:val="1A1A1A"/>
          <w:sz w:val="36"/>
          <w:szCs w:val="36"/>
        </w:rPr>
        <w:t xml:space="preserve">TERMS AND CONDITIONS OF SERVICE</w:t>
      </w:r>
    </w:p>
    <w:p>
      <w:pPr>
        <w:spacing w:after="40" w:before="0"/>
        <w:jc w:val="center"/>
      </w:pPr>
      <w:r>
        <w:rPr>
          <w:rFonts w:ascii="Arial" w:cs="Arial" w:eastAsia="Arial" w:hAnsi="Arial"/>
          <w:color w:val="1A1A1A"/>
          <w:sz w:val="22"/>
          <w:szCs w:val="22"/>
        </w:rPr>
        <w:t xml:space="preserve">Effective Date: _____________________</w:t>
      </w:r>
    </w:p>
    <w:p>
      <w:pPr>
        <w:spacing w:after="160" w:before="0"/>
        <w:jc w:val="center"/>
      </w:pPr>
      <w:r>
        <w:rPr>
          <w:rFonts w:ascii="Arial" w:cs="Arial" w:eastAsia="Arial" w:hAnsi="Arial"/>
          <w:i/>
          <w:iCs/>
          <w:color w:val="666666"/>
          <w:sz w:val="20"/>
          <w:szCs w:val="20"/>
        </w:rPr>
        <w:t xml:space="preserve">Jurisdiction: State of Florida | Orange County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A84C" w:sz="4"/>
              <w:left w:val="thick" w:color="C9A84C" w:sz="12"/>
              <w:bottom w:val="single" w:color="C9A84C" w:sz="4"/>
              <w:right w:val="none" w:color="FFFFFF" w:sz="0"/>
            </w:tcBorders>
            <w:shd w:fill="FFFBF0" w:val="clear"/>
            <w:tcMar>
              <w:top w:type="dxa" w:w="100"/>
              <w:left w:type="dxa" w:w="200"/>
              <w:bottom w:type="dxa" w:w="100"/>
              <w:right w:type="dxa" w:w="200"/>
            </w:tcMar>
          </w:tcPr>
          <w:p>
            <w:r>
              <w:rPr>
                <w:rFonts w:ascii="Arial" w:cs="Arial" w:eastAsia="Arial" w:hAnsi="Arial"/>
                <w:i/>
                <w:iCs/>
                <w:color w:val="1A1A1A"/>
                <w:sz w:val="20"/>
                <w:szCs w:val="20"/>
              </w:rPr>
              <w:t xml:space="preserve">NOTICE: These Terms &amp; Conditions constitute a legally binding contract between Client and ABW Luxury Limousine Service. By booking a service, Client acknowledges having read, understood, and agreed to all terms herein. These Terms have been prepared with reference to Black's Law Dictionary (11th ed.), Florida Statutes, American Jurisprudence 2d, the Restatement (Second) of Contracts, the Restatement (Second) of Torts, and applicable Florida case law. THIS DOCUMENT IS NOT A SUBSTITUTE FOR ADVICE FROM A LICENSED FLORIDA ATTORNEY.</w:t>
            </w:r>
          </w:p>
        </w:tc>
      </w:tr>
    </w:tbl>
    <w:p>
      <w:pPr>
        <w:spacing w:after="80" w:before="80"/>
      </w:pPr>
      <w:r>
        <w:rPr>
          <w:rFonts w:ascii="Arial" w:cs="Arial" w:eastAsia="Arial" w:hAnsi="Arial"/>
          <w:color w:val="1A1A1A"/>
          <w:sz w:val="22"/>
          <w:szCs w:val="22"/>
        </w:rPr>
        <w:t xml:space="preserve"/>
      </w:r>
    </w:p>
    <w:p>
      <w:pPr>
        <w:spacing w:after="100" w:before="280"/>
      </w:pPr>
      <w:r>
        <w:rPr>
          <w:rFonts w:ascii="Arial" w:cs="Arial" w:eastAsia="Arial" w:hAnsi="Arial"/>
          <w:b/>
          <w:bCs/>
          <w:color w:val="1A2A4A"/>
          <w:sz w:val="24"/>
          <w:szCs w:val="24"/>
        </w:rPr>
        <w:t xml:space="preserve">SECTION 1 — DEFINITIONS</w:t>
      </w:r>
    </w:p>
    <w:p>
      <w:pPr>
        <w:spacing w:after="80" w:before="80"/>
      </w:pPr>
      <w:r>
        <w:rPr>
          <w:rFonts w:ascii="Arial" w:cs="Arial" w:eastAsia="Arial" w:hAnsi="Arial"/>
          <w:color w:val="1A1A1A"/>
          <w:sz w:val="22"/>
          <w:szCs w:val="22"/>
        </w:rPr>
        <w:t xml:space="preserve">As used in these Terms and Conditions, the following terms shall have the meanings set forth below. Where applicable, definitions are drawn from Black's Law Dictionary, 11th Edition (Bryan A. Garner, ed., Thomson Reuters 2019), and Florida statutory law.</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2A4A"/>
          <w:sz w:val="22"/>
          <w:szCs w:val="22"/>
        </w:rPr>
        <w:t xml:space="preserve">"Agreement"</w:t>
      </w:r>
      <w:r>
        <w:rPr>
          <w:rFonts w:ascii="Arial" w:cs="Arial" w:eastAsia="Arial" w:hAnsi="Arial"/>
          <w:color w:val="1A1A1A"/>
          <w:sz w:val="22"/>
          <w:szCs w:val="22"/>
        </w:rPr>
        <w:t xml:space="preserve"> means these Terms and Conditions of Service, together with any Booking Confirmation issued by the Company, which together constitute the entire binding contract between the parties. See Restatement (Second) of Contracts § 1 (defining "contract" as a promise or set of promises for the breach of which the law gives a remedy).</w:t>
      </w:r>
    </w:p>
    <w:p>
      <w:pPr>
        <w:spacing w:after="80" w:before="80"/>
      </w:pPr>
      <w:r>
        <w:rPr>
          <w:rFonts w:ascii="Arial" w:cs="Arial" w:eastAsia="Arial" w:hAnsi="Arial"/>
          <w:b/>
          <w:bCs/>
          <w:color w:val="1A2A4A"/>
          <w:sz w:val="22"/>
          <w:szCs w:val="22"/>
        </w:rPr>
        <w:t xml:space="preserve">"Carrier"</w:t>
      </w:r>
      <w:r>
        <w:rPr>
          <w:rFonts w:ascii="Arial" w:cs="Arial" w:eastAsia="Arial" w:hAnsi="Arial"/>
          <w:color w:val="1A1A1A"/>
          <w:sz w:val="22"/>
          <w:szCs w:val="22"/>
        </w:rPr>
        <w:t xml:space="preserve"> means ABW Luxury Limousine Service, a private motor carrier providing pre-arranged, for-hire passenger transportation services in the State of Florida. See Black's Law Dictionary 249 (11th ed. 2019) (defining "carrier" as "one who transports persons or property for compensation").</w:t>
      </w:r>
    </w:p>
    <w:p>
      <w:pPr>
        <w:spacing w:after="80" w:before="80"/>
      </w:pPr>
      <w:r>
        <w:rPr>
          <w:rFonts w:ascii="Arial" w:cs="Arial" w:eastAsia="Arial" w:hAnsi="Arial"/>
          <w:b/>
          <w:bCs/>
          <w:color w:val="1A2A4A"/>
          <w:sz w:val="22"/>
          <w:szCs w:val="22"/>
        </w:rPr>
        <w:t xml:space="preserve">"Client"</w:t>
      </w:r>
      <w:r>
        <w:rPr>
          <w:rFonts w:ascii="Arial" w:cs="Arial" w:eastAsia="Arial" w:hAnsi="Arial"/>
          <w:color w:val="1A1A1A"/>
          <w:sz w:val="22"/>
          <w:szCs w:val="22"/>
        </w:rPr>
        <w:t xml:space="preserve"> means any individual, entity, or group that books or uses transportation services provided by the Company, including all passengers traveling in the vehicle during the service period.</w:t>
      </w:r>
    </w:p>
    <w:p>
      <w:pPr>
        <w:spacing w:after="80" w:before="80"/>
      </w:pPr>
      <w:r>
        <w:rPr>
          <w:rFonts w:ascii="Arial" w:cs="Arial" w:eastAsia="Arial" w:hAnsi="Arial"/>
          <w:b/>
          <w:bCs/>
          <w:color w:val="1A2A4A"/>
          <w:sz w:val="22"/>
          <w:szCs w:val="22"/>
        </w:rPr>
        <w:t xml:space="preserve">"Booking Confirmation"</w:t>
      </w:r>
      <w:r>
        <w:rPr>
          <w:rFonts w:ascii="Arial" w:cs="Arial" w:eastAsia="Arial" w:hAnsi="Arial"/>
          <w:color w:val="1A1A1A"/>
          <w:sz w:val="22"/>
          <w:szCs w:val="22"/>
        </w:rPr>
        <w:t xml:space="preserve"> means the written or electronic document issued by Carrier confirming the details of a reservation, including date, time, vehicle, route, and quoted fee.</w:t>
      </w:r>
    </w:p>
    <w:p>
      <w:pPr>
        <w:spacing w:after="80" w:before="80"/>
      </w:pPr>
      <w:r>
        <w:rPr>
          <w:rFonts w:ascii="Arial" w:cs="Arial" w:eastAsia="Arial" w:hAnsi="Arial"/>
          <w:b/>
          <w:bCs/>
          <w:color w:val="1A2A4A"/>
          <w:sz w:val="22"/>
          <w:szCs w:val="22"/>
        </w:rPr>
        <w:t xml:space="preserve">"Force Majeure"</w:t>
      </w:r>
      <w:r>
        <w:rPr>
          <w:rFonts w:ascii="Arial" w:cs="Arial" w:eastAsia="Arial" w:hAnsi="Arial"/>
          <w:color w:val="1A1A1A"/>
          <w:sz w:val="22"/>
          <w:szCs w:val="22"/>
        </w:rPr>
        <w:t xml:space="preserve"> means any event beyond the reasonable control of a party, including but not limited to acts of God, severe weather, natural disasters, acts of war, terrorism, governmental actions, pandemic, or traffic accidents not caused by Carrier's negligence. See Black's Law Dictionary 787 (11th ed. 2019).</w:t>
      </w:r>
    </w:p>
    <w:p>
      <w:pPr>
        <w:spacing w:after="80" w:before="80"/>
      </w:pPr>
      <w:r>
        <w:rPr>
          <w:rFonts w:ascii="Arial" w:cs="Arial" w:eastAsia="Arial" w:hAnsi="Arial"/>
          <w:b/>
          <w:bCs/>
          <w:color w:val="1A2A4A"/>
          <w:sz w:val="22"/>
          <w:szCs w:val="22"/>
        </w:rPr>
        <w:t xml:space="preserve">"Bailment"</w:t>
      </w:r>
      <w:r>
        <w:rPr>
          <w:rFonts w:ascii="Arial" w:cs="Arial" w:eastAsia="Arial" w:hAnsi="Arial"/>
          <w:color w:val="1A1A1A"/>
          <w:sz w:val="22"/>
          <w:szCs w:val="22"/>
        </w:rPr>
        <w:t xml:space="preserve"> means the lawful possession of personal property by Carrier for a limited purpose, without transfer of title. See Black's Law Dictionary 170 (11th ed. 2019); see also 8A AmJur 2d Bailments § 1. The relationship arises when Client places luggage or personal property in the vehicle.</w:t>
      </w:r>
    </w:p>
    <w:p>
      <w:pPr>
        <w:spacing w:after="80" w:before="80"/>
      </w:pPr>
      <w:r>
        <w:rPr>
          <w:rFonts w:ascii="Arial" w:cs="Arial" w:eastAsia="Arial" w:hAnsi="Arial"/>
          <w:b/>
          <w:bCs/>
          <w:color w:val="1A2A4A"/>
          <w:sz w:val="22"/>
          <w:szCs w:val="22"/>
        </w:rPr>
        <w:t xml:space="preserve">"Gratuitous Passenger"</w:t>
      </w:r>
      <w:r>
        <w:rPr>
          <w:rFonts w:ascii="Arial" w:cs="Arial" w:eastAsia="Arial" w:hAnsi="Arial"/>
          <w:color w:val="1A1A1A"/>
          <w:sz w:val="22"/>
          <w:szCs w:val="22"/>
        </w:rPr>
        <w:t xml:space="preserve"> means a passenger traveling without paying consideration. No gratuitous passengers shall be transported without the express written consent of Carrier and Client.</w:t>
      </w:r>
    </w:p>
    <w:p>
      <w:pPr>
        <w:spacing w:after="80" w:before="80"/>
      </w:pPr>
      <w:r>
        <w:rPr>
          <w:rFonts w:ascii="Arial" w:cs="Arial" w:eastAsia="Arial" w:hAnsi="Arial"/>
          <w:b/>
          <w:bCs/>
          <w:color w:val="1A2A4A"/>
          <w:sz w:val="22"/>
          <w:szCs w:val="22"/>
        </w:rPr>
        <w:t xml:space="preserve">"Contract Carrier"</w:t>
      </w:r>
      <w:r>
        <w:rPr>
          <w:rFonts w:ascii="Arial" w:cs="Arial" w:eastAsia="Arial" w:hAnsi="Arial"/>
          <w:color w:val="1A1A1A"/>
          <w:sz w:val="22"/>
          <w:szCs w:val="22"/>
        </w:rPr>
        <w:t xml:space="preserve"> means a carrier that transports passengers under individually negotiated contracts, as distinguished from a common carrier. See Fla. Stat. § 323.001 (2016) (exempting luxury limousine services from Public Service Commission regulation); see also 13 AmJur 2d Carriers § 2.</w:t>
      </w:r>
    </w:p>
    <w:p>
      <w:pPr>
        <w:spacing w:after="80" w:before="80"/>
      </w:pPr>
      <w:r>
        <w:rPr>
          <w:rFonts w:ascii="Arial" w:cs="Arial" w:eastAsia="Arial" w:hAnsi="Arial"/>
          <w:b/>
          <w:bCs/>
          <w:color w:val="1A2A4A"/>
          <w:sz w:val="22"/>
          <w:szCs w:val="22"/>
        </w:rPr>
        <w:t xml:space="preserve">"Limitation Period"</w:t>
      </w:r>
      <w:r>
        <w:rPr>
          <w:rFonts w:ascii="Arial" w:cs="Arial" w:eastAsia="Arial" w:hAnsi="Arial"/>
          <w:color w:val="1A1A1A"/>
          <w:sz w:val="22"/>
          <w:szCs w:val="22"/>
        </w:rPr>
        <w:t xml:space="preserve"> means the time within which a legal action must be commenced. See Fla. Stat. § 95.11(3)(a) (four-year statute of limitations for written contracts); Fla. Stat. § 95.11(3)(p) (two-year limitations period for negligence claims, as amended by 2023 Fla. Laws ch. 2023-15, eff. March 24, 2023).</w:t>
      </w:r>
    </w:p>
    <w:p>
      <w:pPr>
        <w:spacing w:after="80" w:before="80"/>
      </w:pPr>
      <w:r>
        <w:rPr>
          <w:rFonts w:ascii="Arial" w:cs="Arial" w:eastAsia="Arial" w:hAnsi="Arial"/>
          <w:b/>
          <w:bCs/>
          <w:color w:val="1A2A4A"/>
          <w:sz w:val="22"/>
          <w:szCs w:val="22"/>
        </w:rPr>
        <w:t xml:space="preserve">"Consequential Damages"</w:t>
      </w:r>
      <w:r>
        <w:rPr>
          <w:rFonts w:ascii="Arial" w:cs="Arial" w:eastAsia="Arial" w:hAnsi="Arial"/>
          <w:color w:val="1A1A1A"/>
          <w:sz w:val="22"/>
          <w:szCs w:val="22"/>
        </w:rPr>
        <w:t xml:space="preserve"> means indirect losses flowing from a breach, recoverable only where the breaching party had reason to know of the special circumstances at the time of contracting. See Restatement (Second) of Contracts § 351.</w:t>
      </w:r>
    </w:p>
    <w:p>
      <w:pPr>
        <w:spacing w:after="100" w:before="280"/>
      </w:pPr>
      <w:r>
        <w:rPr>
          <w:rFonts w:ascii="Arial" w:cs="Arial" w:eastAsia="Arial" w:hAnsi="Arial"/>
          <w:b/>
          <w:bCs/>
          <w:color w:val="1A2A4A"/>
          <w:sz w:val="24"/>
          <w:szCs w:val="24"/>
        </w:rPr>
        <w:t xml:space="preserve">SECTION 2 — NATURE OF SERVICE AND CARRIER STATUS</w:t>
      </w:r>
    </w:p>
    <w:p>
      <w:pPr>
        <w:spacing w:after="60" w:before="160"/>
      </w:pPr>
      <w:r>
        <w:rPr>
          <w:rFonts w:ascii="Arial" w:cs="Arial" w:eastAsia="Arial" w:hAnsi="Arial"/>
          <w:b/>
          <w:bCs/>
          <w:color w:val="1A1A1A"/>
          <w:sz w:val="22"/>
          <w:szCs w:val="22"/>
        </w:rPr>
        <w:t xml:space="preserve">A.  Classification as Contract Carrier</w:t>
      </w:r>
    </w:p>
    <w:p>
      <w:pPr>
        <w:spacing w:after="80" w:before="80"/>
      </w:pPr>
      <w:r>
        <w:rPr>
          <w:rFonts w:ascii="Arial" w:cs="Arial" w:eastAsia="Arial" w:hAnsi="Arial"/>
          <w:color w:val="1A1A1A"/>
          <w:sz w:val="22"/>
          <w:szCs w:val="22"/>
        </w:rPr>
        <w:t xml:space="preserve">ABW Luxury Limousine Service operates exclusively as a contract carrier under Florida law, providing pre-arranged, for-hire luxury transportation services. The Company does not hold itself out to transport all members of the general public indiscriminately, and is therefore not a common carrier as that term is defined at law.</w:t>
      </w:r>
    </w:p>
    <w:p>
      <w:pPr>
        <w:spacing w:after="40" w:before="40"/>
        <w:ind w:left="720"/>
      </w:pPr>
      <w:r>
        <w:rPr>
          <w:rFonts w:ascii="Arial" w:cs="Arial" w:eastAsia="Arial" w:hAnsi="Arial"/>
          <w:i/>
          <w:iCs/>
          <w:color w:val="555555"/>
          <w:sz w:val="19"/>
          <w:szCs w:val="19"/>
        </w:rPr>
        <w:t xml:space="preserve">Authority: Fla. Stat. § 323.001 (2016) (deregulating luxury limousine services from PSC oversight); 13 AmJur 2d Carriers § 2 (distinguishing contract carriers from common carriers); see also Yellow Cab Co. of St. Petersburg v. Sheridan, 96 So. 2d 148 (Fla. 2d DCA 1957).</w:t>
      </w:r>
    </w:p>
    <w:p>
      <w:pPr>
        <w:spacing w:after="60" w:before="160"/>
      </w:pPr>
      <w:r>
        <w:rPr>
          <w:rFonts w:ascii="Arial" w:cs="Arial" w:eastAsia="Arial" w:hAnsi="Arial"/>
          <w:b/>
          <w:bCs/>
          <w:color w:val="1A1A1A"/>
          <w:sz w:val="22"/>
          <w:szCs w:val="22"/>
        </w:rPr>
        <w:t xml:space="preserve">B.  Standard of Care</w:t>
      </w:r>
    </w:p>
    <w:p>
      <w:pPr>
        <w:spacing w:after="80" w:before="80"/>
      </w:pPr>
      <w:r>
        <w:rPr>
          <w:rFonts w:ascii="Arial" w:cs="Arial" w:eastAsia="Arial" w:hAnsi="Arial"/>
          <w:color w:val="1A1A1A"/>
          <w:sz w:val="22"/>
          <w:szCs w:val="22"/>
        </w:rPr>
        <w:t xml:space="preserve">As a contract carrier, the Company owes passengers the duty of reasonable care under the circumstances — specifically, the care that a reasonably prudent person engaged in the transportation of passengers for hire would exercise.</w:t>
      </w:r>
    </w:p>
    <w:p>
      <w:pPr>
        <w:spacing w:after="40" w:before="40"/>
        <w:ind w:left="720"/>
      </w:pPr>
      <w:r>
        <w:rPr>
          <w:rFonts w:ascii="Arial" w:cs="Arial" w:eastAsia="Arial" w:hAnsi="Arial"/>
          <w:i/>
          <w:iCs/>
          <w:color w:val="555555"/>
          <w:sz w:val="19"/>
          <w:szCs w:val="19"/>
        </w:rPr>
        <w:t xml:space="preserve">Authority: Restatement (Second) of Torts § 283 (reasonable person standard); 13 AmJur 2d Carriers § 217 (duty of care owed by private carriers for hire); Fla. Stat. § 768.81 (modified comparative negligence, as amended 2023).</w:t>
      </w:r>
    </w:p>
    <w:p>
      <w:pPr>
        <w:spacing w:after="60" w:before="160"/>
      </w:pPr>
      <w:r>
        <w:rPr>
          <w:rFonts w:ascii="Arial" w:cs="Arial" w:eastAsia="Arial" w:hAnsi="Arial"/>
          <w:b/>
          <w:bCs/>
          <w:color w:val="1A1A1A"/>
          <w:sz w:val="22"/>
          <w:szCs w:val="22"/>
        </w:rPr>
        <w:t xml:space="preserve">C.  Scope of Services</w:t>
      </w:r>
    </w:p>
    <w:p>
      <w:pPr>
        <w:spacing w:after="80" w:before="80"/>
      </w:pPr>
      <w:r>
        <w:rPr>
          <w:rFonts w:ascii="Arial" w:cs="Arial" w:eastAsia="Arial" w:hAnsi="Arial"/>
          <w:color w:val="1A1A1A"/>
          <w:sz w:val="22"/>
          <w:szCs w:val="22"/>
        </w:rPr>
        <w:t xml:space="preserve">Services are limited to pre-arranged ground transportation within the State of Florida. All bookings require advance reservation. The Company reserves the right to decline any booking request at its sole discretion, provided such declination is not based on a characteristic protected under applicable Florida or federal law.</w:t>
      </w:r>
    </w:p>
    <w:p>
      <w:pPr>
        <w:spacing w:after="40" w:before="40"/>
        <w:ind w:left="720"/>
      </w:pPr>
      <w:r>
        <w:rPr>
          <w:rFonts w:ascii="Arial" w:cs="Arial" w:eastAsia="Arial" w:hAnsi="Arial"/>
          <w:i/>
          <w:iCs/>
          <w:color w:val="555555"/>
          <w:sz w:val="19"/>
          <w:szCs w:val="19"/>
        </w:rPr>
        <w:t xml:space="preserve">Authority: Fla. Stat. § 760.08 (prohibiting discrimination in places of public accommodation); Title II of the Civil Rights Act of 1964.</w:t>
      </w:r>
    </w:p>
    <w:p>
      <w:pPr>
        <w:spacing w:after="100" w:before="280"/>
      </w:pPr>
      <w:r>
        <w:rPr>
          <w:rFonts w:ascii="Arial" w:cs="Arial" w:eastAsia="Arial" w:hAnsi="Arial"/>
          <w:b/>
          <w:bCs/>
          <w:color w:val="1A2A4A"/>
          <w:sz w:val="24"/>
          <w:szCs w:val="24"/>
        </w:rPr>
        <w:t xml:space="preserve">SECTION 3 — FORMATION OF CONTRACT</w:t>
      </w:r>
    </w:p>
    <w:p>
      <w:pPr>
        <w:spacing w:after="60" w:before="160"/>
      </w:pPr>
      <w:r>
        <w:rPr>
          <w:rFonts w:ascii="Arial" w:cs="Arial" w:eastAsia="Arial" w:hAnsi="Arial"/>
          <w:b/>
          <w:bCs/>
          <w:color w:val="1A1A1A"/>
          <w:sz w:val="22"/>
          <w:szCs w:val="22"/>
        </w:rPr>
        <w:t xml:space="preserve">A.  Offer and Acceptance</w:t>
      </w:r>
    </w:p>
    <w:p>
      <w:pPr>
        <w:spacing w:after="80" w:before="80"/>
      </w:pPr>
      <w:r>
        <w:rPr>
          <w:rFonts w:ascii="Arial" w:cs="Arial" w:eastAsia="Arial" w:hAnsi="Arial"/>
          <w:color w:val="1A1A1A"/>
          <w:sz w:val="22"/>
          <w:szCs w:val="22"/>
        </w:rPr>
        <w:t xml:space="preserve">A binding contract is formed when: (1) Client submits a booking request; and (2) Carrier issues a written Booking Confirmation. Client's payment of the required deposit constitutes acceptance of these Terms and Conditions in their entirety.</w:t>
      </w:r>
    </w:p>
    <w:p>
      <w:pPr>
        <w:spacing w:after="40" w:before="40"/>
        <w:ind w:left="720"/>
      </w:pPr>
      <w:r>
        <w:rPr>
          <w:rFonts w:ascii="Arial" w:cs="Arial" w:eastAsia="Arial" w:hAnsi="Arial"/>
          <w:i/>
          <w:iCs/>
          <w:color w:val="555555"/>
          <w:sz w:val="19"/>
          <w:szCs w:val="19"/>
        </w:rPr>
        <w:t xml:space="preserve">Authority: Restatement (Second) of Contracts §§ 22, 50 (defining offer and acceptance); Robbie v. City of Miami, 469 So. 2d 1384 (Fla. 1985) (contract formation requires offer, acceptance, and consideration).</w:t>
      </w:r>
    </w:p>
    <w:p>
      <w:pPr>
        <w:spacing w:after="60" w:before="160"/>
      </w:pPr>
      <w:r>
        <w:rPr>
          <w:rFonts w:ascii="Arial" w:cs="Arial" w:eastAsia="Arial" w:hAnsi="Arial"/>
          <w:b/>
          <w:bCs/>
          <w:color w:val="1A1A1A"/>
          <w:sz w:val="22"/>
          <w:szCs w:val="22"/>
        </w:rPr>
        <w:t xml:space="preserve">B.  Consideration</w:t>
      </w:r>
    </w:p>
    <w:p>
      <w:pPr>
        <w:spacing w:after="80" w:before="80"/>
      </w:pPr>
      <w:r>
        <w:rPr>
          <w:rFonts w:ascii="Arial" w:cs="Arial" w:eastAsia="Arial" w:hAnsi="Arial"/>
          <w:color w:val="1A1A1A"/>
          <w:sz w:val="22"/>
          <w:szCs w:val="22"/>
        </w:rPr>
        <w:t xml:space="preserve">Adequate consideration for this Agreement consists of Client's promise to pay the agreed fees and Carrier's promise to provide transportation services. The deposit paid at booking constitutes partial performance and is non-refundable upon Client's cancellation except as expressly provided in Section 5.</w:t>
      </w:r>
    </w:p>
    <w:p>
      <w:pPr>
        <w:spacing w:after="40" w:before="40"/>
        <w:ind w:left="720"/>
      </w:pPr>
      <w:r>
        <w:rPr>
          <w:rFonts w:ascii="Arial" w:cs="Arial" w:eastAsia="Arial" w:hAnsi="Arial"/>
          <w:i/>
          <w:iCs/>
          <w:color w:val="555555"/>
          <w:sz w:val="19"/>
          <w:szCs w:val="19"/>
        </w:rPr>
        <w:t xml:space="preserve">Authority: Restatement (Second) of Contracts § 71 (defining consideration); 17A AmJur 2d Contracts § 97.</w:t>
      </w:r>
    </w:p>
    <w:p>
      <w:pPr>
        <w:spacing w:after="60" w:before="160"/>
      </w:pPr>
      <w:r>
        <w:rPr>
          <w:rFonts w:ascii="Arial" w:cs="Arial" w:eastAsia="Arial" w:hAnsi="Arial"/>
          <w:b/>
          <w:bCs/>
          <w:color w:val="1A1A1A"/>
          <w:sz w:val="22"/>
          <w:szCs w:val="22"/>
        </w:rPr>
        <w:t xml:space="preserve">C.  Statute of Frauds</w:t>
      </w:r>
    </w:p>
    <w:p>
      <w:pPr>
        <w:spacing w:after="80" w:before="80"/>
      </w:pPr>
      <w:r>
        <w:rPr>
          <w:rFonts w:ascii="Arial" w:cs="Arial" w:eastAsia="Arial" w:hAnsi="Arial"/>
          <w:color w:val="1A1A1A"/>
          <w:sz w:val="22"/>
          <w:szCs w:val="22"/>
        </w:rPr>
        <w:t xml:space="preserve">Agreements for services valued at $500.00 or more shall be memorialized in writing and signed by the parties. Electronic signatures are deemed valid for purposes of this Agreement.</w:t>
      </w:r>
    </w:p>
    <w:p>
      <w:pPr>
        <w:spacing w:after="40" w:before="40"/>
        <w:ind w:left="720"/>
      </w:pPr>
      <w:r>
        <w:rPr>
          <w:rFonts w:ascii="Arial" w:cs="Arial" w:eastAsia="Arial" w:hAnsi="Arial"/>
          <w:i/>
          <w:iCs/>
          <w:color w:val="555555"/>
          <w:sz w:val="19"/>
          <w:szCs w:val="19"/>
        </w:rPr>
        <w:t xml:space="preserve">Authority: Fla. Stat. § 725.01 (statute of frauds); Fla. Stat. § 668.006 (Electronic Signature Act — electronic signatures have same legal force as written signatures).</w:t>
      </w:r>
    </w:p>
    <w:p>
      <w:pPr>
        <w:spacing w:after="100" w:before="280"/>
      </w:pPr>
      <w:r>
        <w:rPr>
          <w:rFonts w:ascii="Arial" w:cs="Arial" w:eastAsia="Arial" w:hAnsi="Arial"/>
          <w:b/>
          <w:bCs/>
          <w:color w:val="1A2A4A"/>
          <w:sz w:val="24"/>
          <w:szCs w:val="24"/>
        </w:rPr>
        <w:t xml:space="preserve">SECTION 4 — FEES, PRICING, AND PAYMENT</w:t>
      </w:r>
    </w:p>
    <w:p>
      <w:pPr>
        <w:spacing w:after="60" w:before="160"/>
      </w:pPr>
      <w:r>
        <w:rPr>
          <w:rFonts w:ascii="Arial" w:cs="Arial" w:eastAsia="Arial" w:hAnsi="Arial"/>
          <w:b/>
          <w:bCs/>
          <w:color w:val="1A1A1A"/>
          <w:sz w:val="22"/>
          <w:szCs w:val="22"/>
        </w:rPr>
        <w:t xml:space="preserve">A.  Quoted Rates</w:t>
      </w:r>
    </w:p>
    <w:p>
      <w:pPr>
        <w:spacing w:after="80" w:before="80"/>
      </w:pPr>
      <w:r>
        <w:rPr>
          <w:rFonts w:ascii="Arial" w:cs="Arial" w:eastAsia="Arial" w:hAnsi="Arial"/>
          <w:color w:val="1A1A1A"/>
          <w:sz w:val="22"/>
          <w:szCs w:val="22"/>
        </w:rPr>
        <w:t xml:space="preserve">All fees are set forth in the Booking Confirmation and represent the full agreed price for the described services. Rates are subject to change upon renewal of agreement. The quoted rate does not include gratuity for the driver; a suggested gratuity of 15–20% is standard in the luxury transportation industry.</w:t>
      </w:r>
    </w:p>
    <w:p>
      <w:pPr>
        <w:spacing w:after="60" w:before="160"/>
      </w:pPr>
      <w:r>
        <w:rPr>
          <w:rFonts w:ascii="Arial" w:cs="Arial" w:eastAsia="Arial" w:hAnsi="Arial"/>
          <w:b/>
          <w:bCs/>
          <w:color w:val="1A1A1A"/>
          <w:sz w:val="22"/>
          <w:szCs w:val="22"/>
        </w:rPr>
        <w:t xml:space="preserve">B.  Deposit Requirement</w:t>
      </w:r>
    </w:p>
    <w:p>
      <w:pPr>
        <w:spacing w:after="80" w:before="80"/>
      </w:pPr>
      <w:r>
        <w:rPr>
          <w:rFonts w:ascii="Arial" w:cs="Arial" w:eastAsia="Arial" w:hAnsi="Arial"/>
          <w:color w:val="1A1A1A"/>
          <w:sz w:val="22"/>
          <w:szCs w:val="22"/>
        </w:rPr>
        <w:t xml:space="preserve">A non-refundable deposit equal to fifty percent (50%) of the total booking fee is required to confirm and hold any reservation. No reservation is guaranteed without receipt of the deposit. The deposit constitutes liquidated damages to compensate Carrier for the opportunity cost of reserving the vehicle and driver.</w:t>
      </w:r>
    </w:p>
    <w:p>
      <w:pPr>
        <w:spacing w:after="40" w:before="40"/>
        <w:ind w:left="720"/>
      </w:pPr>
      <w:r>
        <w:rPr>
          <w:rFonts w:ascii="Arial" w:cs="Arial" w:eastAsia="Arial" w:hAnsi="Arial"/>
          <w:i/>
          <w:iCs/>
          <w:color w:val="555555"/>
          <w:sz w:val="19"/>
          <w:szCs w:val="19"/>
        </w:rPr>
        <w:t xml:space="preserve">Authority: Restatement (Second) of Contracts § 356 (liquidated damages must be a reasonable forecast of compensatory damages); 17A AmJur 2d Contracts § 570.</w:t>
      </w:r>
    </w:p>
    <w:p>
      <w:pPr>
        <w:spacing w:after="60" w:before="160"/>
      </w:pPr>
      <w:r>
        <w:rPr>
          <w:rFonts w:ascii="Arial" w:cs="Arial" w:eastAsia="Arial" w:hAnsi="Arial"/>
          <w:b/>
          <w:bCs/>
          <w:color w:val="1A1A1A"/>
          <w:sz w:val="22"/>
          <w:szCs w:val="22"/>
        </w:rPr>
        <w:t xml:space="preserve">C.  Balance Due</w:t>
      </w:r>
    </w:p>
    <w:p>
      <w:pPr>
        <w:spacing w:after="80" w:before="80"/>
      </w:pPr>
      <w:r>
        <w:rPr>
          <w:rFonts w:ascii="Arial" w:cs="Arial" w:eastAsia="Arial" w:hAnsi="Arial"/>
          <w:color w:val="1A1A1A"/>
          <w:sz w:val="22"/>
          <w:szCs w:val="22"/>
        </w:rPr>
        <w:t xml:space="preserve">The remaining balance is due no later than twenty-four (24) hours prior to the scheduled pickup time. Failure to remit the balance shall entitle Carrier to cancel the reservation without refund of the deposit.</w:t>
      </w:r>
    </w:p>
    <w:p>
      <w:pPr>
        <w:spacing w:after="60" w:before="160"/>
      </w:pPr>
      <w:r>
        <w:rPr>
          <w:rFonts w:ascii="Arial" w:cs="Arial" w:eastAsia="Arial" w:hAnsi="Arial"/>
          <w:b/>
          <w:bCs/>
          <w:color w:val="1A1A1A"/>
          <w:sz w:val="22"/>
          <w:szCs w:val="22"/>
        </w:rPr>
        <w:t xml:space="preserve">D.  Late Payment</w:t>
      </w:r>
    </w:p>
    <w:p>
      <w:pPr>
        <w:spacing w:after="80" w:before="80"/>
      </w:pPr>
      <w:r>
        <w:rPr>
          <w:rFonts w:ascii="Arial" w:cs="Arial" w:eastAsia="Arial" w:hAnsi="Arial"/>
          <w:color w:val="1A1A1A"/>
          <w:sz w:val="22"/>
          <w:szCs w:val="22"/>
        </w:rPr>
        <w:t xml:space="preserve">Invoices not paid within seven (7) days of the due date shall accrue interest at the rate of 1.5% per month (18% per annum) on the outstanding balance, which the parties acknowledge is a reasonable estimate of Carrier's cost of carrying unpaid accounts.</w:t>
      </w:r>
    </w:p>
    <w:p>
      <w:pPr>
        <w:spacing w:after="40" w:before="40"/>
        <w:ind w:left="720"/>
      </w:pPr>
      <w:r>
        <w:rPr>
          <w:rFonts w:ascii="Arial" w:cs="Arial" w:eastAsia="Arial" w:hAnsi="Arial"/>
          <w:i/>
          <w:iCs/>
          <w:color w:val="555555"/>
          <w:sz w:val="19"/>
          <w:szCs w:val="19"/>
        </w:rPr>
        <w:t xml:space="preserve">Authority: Fla. Stat. § 687.01 (legal rate of interest); Fla. Stat. § 55.03 (judgment interest rates).</w:t>
      </w:r>
    </w:p>
    <w:p>
      <w:pPr>
        <w:spacing w:after="60" w:before="160"/>
      </w:pPr>
      <w:r>
        <w:rPr>
          <w:rFonts w:ascii="Arial" w:cs="Arial" w:eastAsia="Arial" w:hAnsi="Arial"/>
          <w:b/>
          <w:bCs/>
          <w:color w:val="1A1A1A"/>
          <w:sz w:val="22"/>
          <w:szCs w:val="22"/>
        </w:rPr>
        <w:t xml:space="preserve">E.  Multi-Day and Standby Engagements</w:t>
      </w:r>
    </w:p>
    <w:p>
      <w:pPr>
        <w:spacing w:after="80" w:before="80"/>
      </w:pPr>
      <w:r>
        <w:rPr>
          <w:rFonts w:ascii="Arial" w:cs="Arial" w:eastAsia="Arial" w:hAnsi="Arial"/>
          <w:color w:val="1A1A1A"/>
          <w:sz w:val="22"/>
          <w:szCs w:val="22"/>
        </w:rPr>
        <w:t xml:space="preserve">For engagements requiring the driver to remain available over multiple days, Client shall be responsible for: (a) the agreed transportation fees; (b) reasonable overnight accommodation for the driver at a hotel of comparable standard to the venue; and (c) a daily per diem for meals and incidentals, all as stated in the Booking Confirmation. These charges constitute reimbursement of actual expenses and shall not be construed as additional compensation subject to dispute.</w:t>
      </w:r>
    </w:p>
    <w:p>
      <w:pPr>
        <w:spacing w:after="100" w:before="280"/>
      </w:pPr>
      <w:r>
        <w:rPr>
          <w:rFonts w:ascii="Arial" w:cs="Arial" w:eastAsia="Arial" w:hAnsi="Arial"/>
          <w:b/>
          <w:bCs/>
          <w:color w:val="1A2A4A"/>
          <w:sz w:val="24"/>
          <w:szCs w:val="24"/>
        </w:rPr>
        <w:t xml:space="preserve">SECTION 5 — CANCELLATION, RESCHEDULING, AND NO-SHOW POLICY</w:t>
      </w:r>
    </w:p>
    <w:p>
      <w:pPr>
        <w:spacing w:after="60" w:before="160"/>
      </w:pPr>
      <w:r>
        <w:rPr>
          <w:rFonts w:ascii="Arial" w:cs="Arial" w:eastAsia="Arial" w:hAnsi="Arial"/>
          <w:b/>
          <w:bCs/>
          <w:color w:val="1A1A1A"/>
          <w:sz w:val="22"/>
          <w:szCs w:val="22"/>
        </w:rPr>
        <w:t xml:space="preserve">A.  Client Cancellation</w:t>
      </w:r>
    </w:p>
    <w:p>
      <w:pPr>
        <w:spacing w:after="80" w:before="80"/>
      </w:pPr>
      <w:r>
        <w:rPr>
          <w:rFonts w:ascii="Arial" w:cs="Arial" w:eastAsia="Arial" w:hAnsi="Arial"/>
          <w:color w:val="1A1A1A"/>
          <w:sz w:val="22"/>
          <w:szCs w:val="22"/>
        </w:rPr>
        <w:t xml:space="preserve">The following cancellation fees apply and represent liquidated damages reflecting the difficulty of quantifying Carrier's actual losses from last-minute cancellations, consistent with Florida law:</w:t>
      </w:r>
    </w:p>
    <w:p>
      <w:pPr>
        <w:spacing w:after="80" w:before="80"/>
      </w:pPr>
      <w:r>
        <w:rPr>
          <w:rFonts w:ascii="Arial" w:cs="Arial" w:eastAsia="Arial" w:hAnsi="Arial"/>
          <w:color w:val="1A1A1A"/>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single" w:color="1A2A4A" w:sz="4"/>
              <w:left w:val="single" w:color="1A2A4A" w:sz="4"/>
              <w:bottom w:val="single" w:color="1A2A4A" w:sz="4"/>
              <w:right w:val="single" w:color="1A2A4A" w:sz="4"/>
            </w:tcBorders>
            <w:shd w:fill="1A2A4A" w:val="clear"/>
            <w:tcMar>
              <w:top w:type="dxa" w:w="100"/>
              <w:left w:type="dxa" w:w="160"/>
              <w:bottom w:type="dxa" w:w="100"/>
              <w:right w:type="dxa" w:w="160"/>
            </w:tcMar>
          </w:tcPr>
          <w:p>
            <w:r>
              <w:rPr>
                <w:rFonts w:ascii="Arial" w:cs="Arial" w:eastAsia="Arial" w:hAnsi="Arial"/>
                <w:b/>
                <w:bCs/>
                <w:color w:val="FFFFFF"/>
                <w:sz w:val="22"/>
                <w:szCs w:val="22"/>
              </w:rPr>
              <w:t xml:space="preserve">Notice Period</w:t>
            </w:r>
          </w:p>
        </w:tc>
        <w:tc>
          <w:tcPr>
            <w:tcW w:type="dxa" w:w="4320"/>
            <w:tcBorders>
              <w:top w:val="single" w:color="1A2A4A" w:sz="4"/>
              <w:left w:val="single" w:color="1A2A4A" w:sz="4"/>
              <w:bottom w:val="single" w:color="1A2A4A" w:sz="4"/>
              <w:right w:val="single" w:color="1A2A4A" w:sz="4"/>
            </w:tcBorders>
            <w:shd w:fill="1A2A4A" w:val="clear"/>
            <w:tcMar>
              <w:top w:type="dxa" w:w="100"/>
              <w:left w:type="dxa" w:w="160"/>
              <w:bottom w:type="dxa" w:w="100"/>
              <w:right w:type="dxa" w:w="160"/>
            </w:tcMar>
          </w:tcPr>
          <w:p>
            <w:r>
              <w:rPr>
                <w:rFonts w:ascii="Arial" w:cs="Arial" w:eastAsia="Arial" w:hAnsi="Arial"/>
                <w:b/>
                <w:bCs/>
                <w:color w:val="FFFFFF"/>
                <w:sz w:val="22"/>
                <w:szCs w:val="22"/>
              </w:rPr>
              <w:t xml:space="preserve">Cancellation Fee</w:t>
            </w:r>
          </w:p>
        </w:tc>
      </w:tr>
      <w:tr>
        <w:tc>
          <w:tcPr>
            <w:tcW w:type="dxa" w:w="5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1A1A1A"/>
                <w:sz w:val="22"/>
                <w:szCs w:val="22"/>
              </w:rPr>
              <w:t xml:space="preserve">More than 72 hours before scheduled pickup</w:t>
            </w:r>
          </w:p>
        </w:tc>
        <w:tc>
          <w:tcPr>
            <w:tcW w:type="dxa" w:w="43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1A1A1A"/>
                <w:sz w:val="22"/>
                <w:szCs w:val="22"/>
              </w:rPr>
              <w:t xml:space="preserve">Deposit forfeited; no additional charge</w:t>
            </w:r>
          </w:p>
        </w:tc>
      </w:tr>
      <w:tr>
        <w:tc>
          <w:tcPr>
            <w:tcW w:type="dxa" w:w="54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1A1A1A"/>
                <w:sz w:val="22"/>
                <w:szCs w:val="22"/>
              </w:rPr>
              <w:t xml:space="preserve">24 to 72 hours before scheduled pickup</w:t>
            </w:r>
          </w:p>
        </w:tc>
        <w:tc>
          <w:tcPr>
            <w:tcW w:type="dxa" w:w="432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1A1A1A"/>
                <w:sz w:val="22"/>
                <w:szCs w:val="22"/>
              </w:rPr>
              <w:t xml:space="preserve">50% of total booking fee</w:t>
            </w:r>
          </w:p>
        </w:tc>
      </w:tr>
      <w:tr>
        <w:tc>
          <w:tcPr>
            <w:tcW w:type="dxa" w:w="540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1A1A1A"/>
                <w:sz w:val="22"/>
                <w:szCs w:val="22"/>
              </w:rPr>
              <w:t xml:space="preserve">Less than 24 hours before scheduled pickup</w:t>
            </w:r>
          </w:p>
        </w:tc>
        <w:tc>
          <w:tcPr>
            <w:tcW w:type="dxa" w:w="4320"/>
            <w:tcBorders>
              <w:top w:val="single" w:color="CCCCCC" w:sz="2"/>
              <w:left w:val="single" w:color="CCCCCC" w:sz="2"/>
              <w:bottom w:val="single" w:color="CCCCCC" w:sz="2"/>
              <w:right w:val="single" w:color="CCCCCC" w:sz="2"/>
            </w:tcBorders>
            <w:shd w:fill="FFFFFF" w:val="clear"/>
            <w:tcMar>
              <w:top w:type="dxa" w:w="100"/>
              <w:left w:type="dxa" w:w="160"/>
              <w:bottom w:type="dxa" w:w="100"/>
              <w:right w:type="dxa" w:w="160"/>
            </w:tcMar>
          </w:tcPr>
          <w:p>
            <w:r>
              <w:rPr>
                <w:rFonts w:ascii="Arial" w:cs="Arial" w:eastAsia="Arial" w:hAnsi="Arial"/>
                <w:color w:val="1A1A1A"/>
                <w:sz w:val="22"/>
                <w:szCs w:val="22"/>
              </w:rPr>
              <w:t xml:space="preserve">100% of total booking fee</w:t>
            </w:r>
          </w:p>
        </w:tc>
      </w:tr>
      <w:tr>
        <w:tc>
          <w:tcPr>
            <w:tcW w:type="dxa" w:w="540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1A1A1A"/>
                <w:sz w:val="22"/>
                <w:szCs w:val="22"/>
              </w:rPr>
              <w:t xml:space="preserve">No-show (driver dispatched to location)</w:t>
            </w:r>
          </w:p>
        </w:tc>
        <w:tc>
          <w:tcPr>
            <w:tcW w:type="dxa" w:w="4320"/>
            <w:tcBorders>
              <w:top w:val="single" w:color="CCCCCC" w:sz="2"/>
              <w:left w:val="single" w:color="CCCCCC" w:sz="2"/>
              <w:bottom w:val="single" w:color="CCCCCC" w:sz="2"/>
              <w:right w:val="single" w:color="CCCCCC" w:sz="2"/>
            </w:tcBorders>
            <w:shd w:fill="F5F5F5" w:val="clear"/>
            <w:tcMar>
              <w:top w:type="dxa" w:w="100"/>
              <w:left w:type="dxa" w:w="160"/>
              <w:bottom w:type="dxa" w:w="100"/>
              <w:right w:type="dxa" w:w="160"/>
            </w:tcMar>
          </w:tcPr>
          <w:p>
            <w:r>
              <w:rPr>
                <w:rFonts w:ascii="Arial" w:cs="Arial" w:eastAsia="Arial" w:hAnsi="Arial"/>
                <w:color w:val="1A1A1A"/>
                <w:sz w:val="22"/>
                <w:szCs w:val="22"/>
              </w:rPr>
              <w:t xml:space="preserve">100% of total fee plus applicable wait time charges</w:t>
            </w:r>
          </w:p>
        </w:tc>
      </w:tr>
    </w:tbl>
    <w:p>
      <w:pPr>
        <w:spacing w:after="80" w:before="80"/>
      </w:pPr>
      <w:r>
        <w:rPr>
          <w:rFonts w:ascii="Arial" w:cs="Arial" w:eastAsia="Arial" w:hAnsi="Arial"/>
          <w:color w:val="1A1A1A"/>
          <w:sz w:val="22"/>
          <w:szCs w:val="22"/>
        </w:rPr>
        <w:t xml:space="preserve"/>
      </w:r>
    </w:p>
    <w:p>
      <w:pPr>
        <w:spacing w:after="40" w:before="40"/>
        <w:ind w:left="720"/>
      </w:pPr>
      <w:r>
        <w:rPr>
          <w:rFonts w:ascii="Arial" w:cs="Arial" w:eastAsia="Arial" w:hAnsi="Arial"/>
          <w:i/>
          <w:iCs/>
          <w:color w:val="555555"/>
          <w:sz w:val="19"/>
          <w:szCs w:val="19"/>
        </w:rPr>
        <w:t xml:space="preserve">Authority: Restatement (Second) of Contracts § 356 (liquidated damages enforceable where actual damages are difficult to estimate and the amount is reasonable); Lefemine v. Baron, 573 So. 2d 326 (Fla. 1991) (liquidated damages clauses enforceable under Florida law where conditions are met).</w:t>
      </w:r>
    </w:p>
    <w:p>
      <w:pPr>
        <w:spacing w:after="60" w:before="160"/>
      </w:pPr>
      <w:r>
        <w:rPr>
          <w:rFonts w:ascii="Arial" w:cs="Arial" w:eastAsia="Arial" w:hAnsi="Arial"/>
          <w:b/>
          <w:bCs/>
          <w:color w:val="1A1A1A"/>
          <w:sz w:val="22"/>
          <w:szCs w:val="22"/>
        </w:rPr>
        <w:t xml:space="preserve">B.  Carrier Cancellation</w:t>
      </w:r>
    </w:p>
    <w:p>
      <w:pPr>
        <w:spacing w:after="80" w:before="80"/>
      </w:pPr>
      <w:r>
        <w:rPr>
          <w:rFonts w:ascii="Arial" w:cs="Arial" w:eastAsia="Arial" w:hAnsi="Arial"/>
          <w:color w:val="1A1A1A"/>
          <w:sz w:val="22"/>
          <w:szCs w:val="22"/>
        </w:rPr>
        <w:t xml:space="preserve">In the event Carrier cancels due to causes within Carrier's control (excluding Force Majeure), Client shall receive a full refund of all amounts paid, which shall constitute Client's sole and exclusive remedy against Carrier for such cancellation.</w:t>
      </w:r>
    </w:p>
    <w:p>
      <w:pPr>
        <w:spacing w:after="60" w:before="160"/>
      </w:pPr>
      <w:r>
        <w:rPr>
          <w:rFonts w:ascii="Arial" w:cs="Arial" w:eastAsia="Arial" w:hAnsi="Arial"/>
          <w:b/>
          <w:bCs/>
          <w:color w:val="1A1A1A"/>
          <w:sz w:val="22"/>
          <w:szCs w:val="22"/>
        </w:rPr>
        <w:t xml:space="preserve">C.  Rescheduling</w:t>
      </w:r>
    </w:p>
    <w:p>
      <w:pPr>
        <w:spacing w:after="80" w:before="80"/>
      </w:pPr>
      <w:r>
        <w:rPr>
          <w:rFonts w:ascii="Arial" w:cs="Arial" w:eastAsia="Arial" w:hAnsi="Arial"/>
          <w:color w:val="1A1A1A"/>
          <w:sz w:val="22"/>
          <w:szCs w:val="22"/>
        </w:rPr>
        <w:t xml:space="preserve">Client may request to reschedule a booking without cancellation penalty provided that: (i) written notice is received at least 72 hours prior to the original pickup time; and (ii) the rescheduled date is within 90 days of the original booking. Rescheduling requests received with less than 72 hours' notice are subject to the cancellation fees in Section 5(A).</w:t>
      </w:r>
    </w:p>
    <w:p>
      <w:pPr>
        <w:spacing w:after="100" w:before="280"/>
      </w:pPr>
      <w:r>
        <w:rPr>
          <w:rFonts w:ascii="Arial" w:cs="Arial" w:eastAsia="Arial" w:hAnsi="Arial"/>
          <w:b/>
          <w:bCs/>
          <w:color w:val="1A2A4A"/>
          <w:sz w:val="24"/>
          <w:szCs w:val="24"/>
        </w:rPr>
        <w:t xml:space="preserve">SECTION 6 — PASSENGER CONDUCT AND CARRIER'S RIGHT TO REFUSE SERVICE</w:t>
      </w:r>
    </w:p>
    <w:p>
      <w:pPr>
        <w:spacing w:after="60" w:before="160"/>
      </w:pPr>
      <w:r>
        <w:rPr>
          <w:rFonts w:ascii="Arial" w:cs="Arial" w:eastAsia="Arial" w:hAnsi="Arial"/>
          <w:b/>
          <w:bCs/>
          <w:color w:val="1A1A1A"/>
          <w:sz w:val="22"/>
          <w:szCs w:val="22"/>
        </w:rPr>
        <w:t xml:space="preserve">A.  Code of Conduct</w:t>
      </w:r>
    </w:p>
    <w:p>
      <w:pPr>
        <w:spacing w:after="80" w:before="80"/>
      </w:pPr>
      <w:r>
        <w:rPr>
          <w:rFonts w:ascii="Arial" w:cs="Arial" w:eastAsia="Arial" w:hAnsi="Arial"/>
          <w:color w:val="1A1A1A"/>
          <w:sz w:val="22"/>
          <w:szCs w:val="22"/>
        </w:rPr>
        <w:t xml:space="preserve">All passengers agree to conduct themselves in a lawful, respectful manner during the service period. The vehicle is a private conveyance and extension of Carrier's business. Client accepts responsibility for the conduct of all passengers in Client's party.</w:t>
      </w:r>
    </w:p>
    <w:p>
      <w:pPr>
        <w:spacing w:after="60" w:before="160"/>
      </w:pPr>
      <w:r>
        <w:rPr>
          <w:rFonts w:ascii="Arial" w:cs="Arial" w:eastAsia="Arial" w:hAnsi="Arial"/>
          <w:b/>
          <w:bCs/>
          <w:color w:val="1A1A1A"/>
          <w:sz w:val="22"/>
          <w:szCs w:val="22"/>
        </w:rPr>
        <w:t xml:space="preserve">B.  Prohibited Conduct</w:t>
      </w:r>
    </w:p>
    <w:p>
      <w:pPr>
        <w:spacing w:after="80" w:before="80"/>
      </w:pPr>
      <w:r>
        <w:rPr>
          <w:rFonts w:ascii="Arial" w:cs="Arial" w:eastAsia="Arial" w:hAnsi="Arial"/>
          <w:color w:val="1A1A1A"/>
          <w:sz w:val="22"/>
          <w:szCs w:val="22"/>
        </w:rPr>
        <w:t xml:space="preserve">The following conduct is strictly prohibited and shall entitle Carrier to terminate service immediately without refund:</w:t>
      </w:r>
    </w:p>
    <w:p>
      <w:pPr>
        <w:pStyle w:val="ListParagraph"/>
        <w:numPr>
          <w:ilvl w:val="0"/>
          <w:numId w:val="2"/>
        </w:numPr>
        <w:spacing w:after="60" w:before="60"/>
      </w:pPr>
      <w:r>
        <w:rPr>
          <w:rFonts w:ascii="Arial" w:cs="Arial" w:eastAsia="Arial" w:hAnsi="Arial"/>
          <w:color w:val="1A1A1A"/>
          <w:sz w:val="22"/>
          <w:szCs w:val="22"/>
        </w:rPr>
        <w:t xml:space="preserve">Use, possession, or distribution of controlled substances not lawfully prescribed to the passenger</w:t>
      </w:r>
    </w:p>
    <w:p>
      <w:pPr>
        <w:pStyle w:val="ListParagraph"/>
        <w:numPr>
          <w:ilvl w:val="0"/>
          <w:numId w:val="2"/>
        </w:numPr>
        <w:spacing w:after="60" w:before="60"/>
      </w:pPr>
      <w:r>
        <w:rPr>
          <w:rFonts w:ascii="Arial" w:cs="Arial" w:eastAsia="Arial" w:hAnsi="Arial"/>
          <w:color w:val="1A1A1A"/>
          <w:sz w:val="22"/>
          <w:szCs w:val="22"/>
        </w:rPr>
        <w:t xml:space="preserve">Smoking, vaping, or use of tobacco products in or near the vehicle</w:t>
      </w:r>
    </w:p>
    <w:p>
      <w:pPr>
        <w:pStyle w:val="ListParagraph"/>
        <w:numPr>
          <w:ilvl w:val="0"/>
          <w:numId w:val="2"/>
        </w:numPr>
        <w:spacing w:after="60" w:before="60"/>
      </w:pPr>
      <w:r>
        <w:rPr>
          <w:rFonts w:ascii="Arial" w:cs="Arial" w:eastAsia="Arial" w:hAnsi="Arial"/>
          <w:color w:val="1A1A1A"/>
          <w:sz w:val="22"/>
          <w:szCs w:val="22"/>
        </w:rPr>
        <w:t xml:space="preserve">Verbal abuse, threats, or physical assault directed at the driver or any person</w:t>
      </w:r>
    </w:p>
    <w:p>
      <w:pPr>
        <w:pStyle w:val="ListParagraph"/>
        <w:numPr>
          <w:ilvl w:val="0"/>
          <w:numId w:val="2"/>
        </w:numPr>
        <w:spacing w:after="60" w:before="60"/>
      </w:pPr>
      <w:r>
        <w:rPr>
          <w:rFonts w:ascii="Arial" w:cs="Arial" w:eastAsia="Arial" w:hAnsi="Arial"/>
          <w:color w:val="1A1A1A"/>
          <w:sz w:val="22"/>
          <w:szCs w:val="22"/>
        </w:rPr>
        <w:t xml:space="preserve">Excessive intoxication posing a safety risk, as determined in the driver's sole discretion</w:t>
      </w:r>
    </w:p>
    <w:p>
      <w:pPr>
        <w:pStyle w:val="ListParagraph"/>
        <w:numPr>
          <w:ilvl w:val="0"/>
          <w:numId w:val="2"/>
        </w:numPr>
        <w:spacing w:after="60" w:before="60"/>
      </w:pPr>
      <w:r>
        <w:rPr>
          <w:rFonts w:ascii="Arial" w:cs="Arial" w:eastAsia="Arial" w:hAnsi="Arial"/>
          <w:color w:val="1A1A1A"/>
          <w:sz w:val="22"/>
          <w:szCs w:val="22"/>
        </w:rPr>
        <w:t xml:space="preserve">Tampering with the vehicle, including controls, safety equipment, or the driver's partition</w:t>
      </w:r>
    </w:p>
    <w:p>
      <w:pPr>
        <w:pStyle w:val="ListParagraph"/>
        <w:numPr>
          <w:ilvl w:val="0"/>
          <w:numId w:val="2"/>
        </w:numPr>
        <w:spacing w:after="60" w:before="60"/>
      </w:pPr>
      <w:r>
        <w:rPr>
          <w:rFonts w:ascii="Arial" w:cs="Arial" w:eastAsia="Arial" w:hAnsi="Arial"/>
          <w:color w:val="1A1A1A"/>
          <w:sz w:val="22"/>
          <w:szCs w:val="22"/>
        </w:rPr>
        <w:t xml:space="preserve">Conduct that would constitute a violation of any federal, state, or local law</w:t>
      </w:r>
    </w:p>
    <w:p>
      <w:pPr>
        <w:pStyle w:val="ListParagraph"/>
        <w:numPr>
          <w:ilvl w:val="0"/>
          <w:numId w:val="2"/>
        </w:numPr>
        <w:spacing w:after="60" w:before="60"/>
      </w:pPr>
      <w:r>
        <w:rPr>
          <w:rFonts w:ascii="Arial" w:cs="Arial" w:eastAsia="Arial" w:hAnsi="Arial"/>
          <w:color w:val="1A1A1A"/>
          <w:sz w:val="22"/>
          <w:szCs w:val="22"/>
        </w:rPr>
        <w:t xml:space="preserve">Recording or photographing the driver without express consent, except as permitted by Florida law</w:t>
      </w:r>
    </w:p>
    <w:p>
      <w:pPr>
        <w:spacing w:after="40" w:before="40"/>
        <w:ind w:left="720"/>
      </w:pPr>
      <w:r>
        <w:rPr>
          <w:rFonts w:ascii="Arial" w:cs="Arial" w:eastAsia="Arial" w:hAnsi="Arial"/>
          <w:i/>
          <w:iCs/>
          <w:color w:val="555555"/>
          <w:sz w:val="19"/>
          <w:szCs w:val="19"/>
        </w:rPr>
        <w:t xml:space="preserve">Authority: Fla. Stat. § 784.011 (assault); Fla. Stat. § 784.03 (battery); Fla. Stat. § 316.1937 (seatbelt requirements); Fla. Stat. § 569.002 (prohibition on smoking in certain vehicles).</w:t>
      </w:r>
    </w:p>
    <w:p>
      <w:pPr>
        <w:spacing w:after="60" w:before="160"/>
      </w:pPr>
      <w:r>
        <w:rPr>
          <w:rFonts w:ascii="Arial" w:cs="Arial" w:eastAsia="Arial" w:hAnsi="Arial"/>
          <w:b/>
          <w:bCs/>
          <w:color w:val="1A1A1A"/>
          <w:sz w:val="22"/>
          <w:szCs w:val="22"/>
        </w:rPr>
        <w:t xml:space="preserve">C.  Right to Refuse Service</w:t>
      </w:r>
    </w:p>
    <w:p>
      <w:pPr>
        <w:spacing w:after="80" w:before="80"/>
      </w:pPr>
      <w:r>
        <w:rPr>
          <w:rFonts w:ascii="Arial" w:cs="Arial" w:eastAsia="Arial" w:hAnsi="Arial"/>
          <w:color w:val="1A1A1A"/>
          <w:sz w:val="22"/>
          <w:szCs w:val="22"/>
        </w:rPr>
        <w:t xml:space="preserve">Carrier reserves the right to refuse transportation to any person who poses a safety risk or whose conduct violates Section 6(B). Such refusal shall not constitute a breach of this Agreement, and Client shall remain liable for all charges incurred up to the point of service termination.</w:t>
      </w:r>
    </w:p>
    <w:p>
      <w:pPr>
        <w:spacing w:after="40" w:before="40"/>
        <w:ind w:left="720"/>
      </w:pPr>
      <w:r>
        <w:rPr>
          <w:rFonts w:ascii="Arial" w:cs="Arial" w:eastAsia="Arial" w:hAnsi="Arial"/>
          <w:i/>
          <w:iCs/>
          <w:color w:val="555555"/>
          <w:sz w:val="19"/>
          <w:szCs w:val="19"/>
        </w:rPr>
        <w:t xml:space="preserve">Authority: 13 AmJur 2d Carriers § 83 (right of carrier to exclude disorderly passengers).</w:t>
      </w:r>
    </w:p>
    <w:p>
      <w:pPr>
        <w:spacing w:after="100" w:before="280"/>
      </w:pPr>
      <w:r>
        <w:rPr>
          <w:rFonts w:ascii="Arial" w:cs="Arial" w:eastAsia="Arial" w:hAnsi="Arial"/>
          <w:b/>
          <w:bCs/>
          <w:color w:val="1A2A4A"/>
          <w:sz w:val="24"/>
          <w:szCs w:val="24"/>
        </w:rPr>
        <w:t xml:space="preserve">SECTION 7 — VEHICLE DAMAGE AND CLIENT PROPERTY</w:t>
      </w:r>
    </w:p>
    <w:p>
      <w:pPr>
        <w:spacing w:after="60" w:before="160"/>
      </w:pPr>
      <w:r>
        <w:rPr>
          <w:rFonts w:ascii="Arial" w:cs="Arial" w:eastAsia="Arial" w:hAnsi="Arial"/>
          <w:b/>
          <w:bCs/>
          <w:color w:val="1A1A1A"/>
          <w:sz w:val="22"/>
          <w:szCs w:val="22"/>
        </w:rPr>
        <w:t xml:space="preserve">A.  Vehicle Damage</w:t>
      </w:r>
    </w:p>
    <w:p>
      <w:pPr>
        <w:spacing w:after="80" w:before="80"/>
      </w:pPr>
      <w:r>
        <w:rPr>
          <w:rFonts w:ascii="Arial" w:cs="Arial" w:eastAsia="Arial" w:hAnsi="Arial"/>
          <w:color w:val="1A1A1A"/>
          <w:sz w:val="22"/>
          <w:szCs w:val="22"/>
        </w:rPr>
        <w:t xml:space="preserve">Client shall be liable for any physical damage to the vehicle, its interior, or its equipment caused by Client or any passenger in Client's party during the service period. Damage fees shall be assessed at Carrier's actual cost of repair or replacement, as documented by a licensed repair facility.</w:t>
      </w:r>
    </w:p>
    <w:p>
      <w:pPr>
        <w:pStyle w:val="ListParagraph"/>
        <w:numPr>
          <w:ilvl w:val="0"/>
          <w:numId w:val="2"/>
        </w:numPr>
        <w:spacing w:after="60" w:before="60"/>
      </w:pPr>
      <w:r>
        <w:rPr>
          <w:rFonts w:ascii="Arial" w:cs="Arial" w:eastAsia="Arial" w:hAnsi="Arial"/>
          <w:color w:val="1A1A1A"/>
          <w:sz w:val="22"/>
          <w:szCs w:val="22"/>
        </w:rPr>
        <w:t xml:space="preserve">Interior cleaning fee (spills, soiling, vomit): $150.00 minimum</w:t>
      </w:r>
    </w:p>
    <w:p>
      <w:pPr>
        <w:pStyle w:val="ListParagraph"/>
        <w:numPr>
          <w:ilvl w:val="0"/>
          <w:numId w:val="2"/>
        </w:numPr>
        <w:spacing w:after="60" w:before="60"/>
      </w:pPr>
      <w:r>
        <w:rPr>
          <w:rFonts w:ascii="Arial" w:cs="Arial" w:eastAsia="Arial" w:hAnsi="Arial"/>
          <w:color w:val="1A1A1A"/>
          <w:sz w:val="22"/>
          <w:szCs w:val="22"/>
        </w:rPr>
        <w:t xml:space="preserve">Upholstery damage: actual cost of professional repair or replacement</w:t>
      </w:r>
    </w:p>
    <w:p>
      <w:pPr>
        <w:pStyle w:val="ListParagraph"/>
        <w:numPr>
          <w:ilvl w:val="0"/>
          <w:numId w:val="2"/>
        </w:numPr>
        <w:spacing w:after="60" w:before="60"/>
      </w:pPr>
      <w:r>
        <w:rPr>
          <w:rFonts w:ascii="Arial" w:cs="Arial" w:eastAsia="Arial" w:hAnsi="Arial"/>
          <w:color w:val="1A1A1A"/>
          <w:sz w:val="22"/>
          <w:szCs w:val="22"/>
        </w:rPr>
        <w:t xml:space="preserve">Mechanical or structural damage: actual repair cost per licensed mechanic's estimate</w:t>
      </w:r>
    </w:p>
    <w:p>
      <w:pPr>
        <w:spacing w:after="40" w:before="40"/>
        <w:ind w:left="720"/>
      </w:pPr>
      <w:r>
        <w:rPr>
          <w:rFonts w:ascii="Arial" w:cs="Arial" w:eastAsia="Arial" w:hAnsi="Arial"/>
          <w:i/>
          <w:iCs/>
          <w:color w:val="555555"/>
          <w:sz w:val="19"/>
          <w:szCs w:val="19"/>
        </w:rPr>
        <w:t xml:space="preserve">Authority: Restatement (Second) of Torts § 217 (liability for intentional interference with chattel); 13 AmJur 2d Carriers § 371.</w:t>
      </w:r>
    </w:p>
    <w:p>
      <w:pPr>
        <w:spacing w:after="60" w:before="160"/>
      </w:pPr>
      <w:r>
        <w:rPr>
          <w:rFonts w:ascii="Arial" w:cs="Arial" w:eastAsia="Arial" w:hAnsi="Arial"/>
          <w:b/>
          <w:bCs/>
          <w:color w:val="1A1A1A"/>
          <w:sz w:val="22"/>
          <w:szCs w:val="22"/>
        </w:rPr>
        <w:t xml:space="preserve">B.  Bailment of Personal Property — Limitation of Liability</w:t>
      </w:r>
    </w:p>
    <w:p>
      <w:pPr>
        <w:spacing w:after="80" w:before="80"/>
      </w:pPr>
      <w:r>
        <w:rPr>
          <w:rFonts w:ascii="Arial" w:cs="Arial" w:eastAsia="Arial" w:hAnsi="Arial"/>
          <w:color w:val="1A1A1A"/>
          <w:sz w:val="22"/>
          <w:szCs w:val="22"/>
        </w:rPr>
        <w:t xml:space="preserve">A gratuitous bailment is created when Client places luggage, instruments, equipment, or other personal property in the vehicle. Carrier shall exercise reasonable care over bailed property but is not an insurer thereof. Carrier's liability for loss or damage to personal property shall not exceed $250.00 per item unless Client has disclosed the item's value in writing prior to service and Carrier has accepted liability in writing.</w:t>
      </w:r>
    </w:p>
    <w:p>
      <w:pPr>
        <w:spacing w:after="40" w:before="40"/>
        <w:ind w:left="720"/>
      </w:pPr>
      <w:r>
        <w:rPr>
          <w:rFonts w:ascii="Arial" w:cs="Arial" w:eastAsia="Arial" w:hAnsi="Arial"/>
          <w:i/>
          <w:iCs/>
          <w:color w:val="555555"/>
          <w:sz w:val="19"/>
          <w:szCs w:val="19"/>
        </w:rPr>
        <w:t xml:space="preserve">Authority: 8A AmJur 2d Bailments § 176 (bailee's duty of care); Fla. Stat. § 715.001 et seq. (disposition of property); Zurstrassen v. Stonier, 786 So. 2d 65 (Fla. 4th DCA 2001) (bailment requires delivery, acceptance, and duty to return).</w:t>
      </w:r>
    </w:p>
    <w:p>
      <w:pPr>
        <w:spacing w:after="60" w:before="160"/>
      </w:pPr>
      <w:r>
        <w:rPr>
          <w:rFonts w:ascii="Arial" w:cs="Arial" w:eastAsia="Arial" w:hAnsi="Arial"/>
          <w:b/>
          <w:bCs/>
          <w:color w:val="1A1A1A"/>
          <w:sz w:val="22"/>
          <w:szCs w:val="22"/>
        </w:rPr>
        <w:t xml:space="preserve">C.  Lost Property</w:t>
      </w:r>
    </w:p>
    <w:p>
      <w:pPr>
        <w:spacing w:after="80" w:before="80"/>
      </w:pPr>
      <w:r>
        <w:rPr>
          <w:rFonts w:ascii="Arial" w:cs="Arial" w:eastAsia="Arial" w:hAnsi="Arial"/>
          <w:color w:val="1A1A1A"/>
          <w:sz w:val="22"/>
          <w:szCs w:val="22"/>
        </w:rPr>
        <w:t xml:space="preserve">Carrier is not responsible for personal property left in the vehicle following service completion. Lost items will be held for a period of thirty (30) days. Client must arrange retrieval at Client's expense. After 30 days, unclaimed property may be disposed of in accordance with Florida law.</w:t>
      </w:r>
    </w:p>
    <w:p>
      <w:pPr>
        <w:spacing w:after="40" w:before="40"/>
        <w:ind w:left="720"/>
      </w:pPr>
      <w:r>
        <w:rPr>
          <w:rFonts w:ascii="Arial" w:cs="Arial" w:eastAsia="Arial" w:hAnsi="Arial"/>
          <w:i/>
          <w:iCs/>
          <w:color w:val="555555"/>
          <w:sz w:val="19"/>
          <w:szCs w:val="19"/>
        </w:rPr>
        <w:t xml:space="preserve">Authority: Fla. Stat. § 705.101 et seq. (lost or abandoned property).</w:t>
      </w:r>
    </w:p>
    <w:p>
      <w:pPr>
        <w:spacing w:after="100" w:before="280"/>
      </w:pPr>
      <w:r>
        <w:rPr>
          <w:rFonts w:ascii="Arial" w:cs="Arial" w:eastAsia="Arial" w:hAnsi="Arial"/>
          <w:b/>
          <w:bCs/>
          <w:color w:val="1A2A4A"/>
          <w:sz w:val="24"/>
          <w:szCs w:val="24"/>
        </w:rPr>
        <w:t xml:space="preserve">SECTION 8 — OVERTIME, WAIT TIME, AND ROUTE MODIFICATIONS</w:t>
      </w:r>
    </w:p>
    <w:p>
      <w:pPr>
        <w:spacing w:after="60" w:before="160"/>
      </w:pPr>
      <w:r>
        <w:rPr>
          <w:rFonts w:ascii="Arial" w:cs="Arial" w:eastAsia="Arial" w:hAnsi="Arial"/>
          <w:b/>
          <w:bCs/>
          <w:color w:val="1A1A1A"/>
          <w:sz w:val="22"/>
          <w:szCs w:val="22"/>
        </w:rPr>
        <w:t xml:space="preserve">A.  Overtime</w:t>
      </w:r>
    </w:p>
    <w:p>
      <w:pPr>
        <w:spacing w:after="80" w:before="80"/>
      </w:pPr>
      <w:r>
        <w:rPr>
          <w:rFonts w:ascii="Arial" w:cs="Arial" w:eastAsia="Arial" w:hAnsi="Arial"/>
          <w:color w:val="1A1A1A"/>
          <w:sz w:val="22"/>
          <w:szCs w:val="22"/>
        </w:rPr>
        <w:t xml:space="preserve">The quoted rate covers services within the agreed schedule and route. Service time exceeding the booked period will be charged at the overtime rate stated in the Booking Confirmation, billed in 30-minute increments.</w:t>
      </w:r>
    </w:p>
    <w:p>
      <w:pPr>
        <w:spacing w:after="60" w:before="160"/>
      </w:pPr>
      <w:r>
        <w:rPr>
          <w:rFonts w:ascii="Arial" w:cs="Arial" w:eastAsia="Arial" w:hAnsi="Arial"/>
          <w:b/>
          <w:bCs/>
          <w:color w:val="1A1A1A"/>
          <w:sz w:val="22"/>
          <w:szCs w:val="22"/>
        </w:rPr>
        <w:t xml:space="preserve">B.  Driver Wait Time</w:t>
      </w:r>
    </w:p>
    <w:p>
      <w:pPr>
        <w:spacing w:after="80" w:before="80"/>
      </w:pPr>
      <w:r>
        <w:rPr>
          <w:rFonts w:ascii="Arial" w:cs="Arial" w:eastAsia="Arial" w:hAnsi="Arial"/>
          <w:color w:val="1A1A1A"/>
          <w:sz w:val="22"/>
          <w:szCs w:val="22"/>
        </w:rPr>
        <w:t xml:space="preserve">Where the driver is required to wait beyond fifteen (15) minutes from the agreed pickup time due to circumstances attributable to Client, a wait time fee as stated in the Booking Confirmation shall apply, billed per 15-minute increment.</w:t>
      </w:r>
    </w:p>
    <w:p>
      <w:pPr>
        <w:spacing w:after="60" w:before="160"/>
      </w:pPr>
      <w:r>
        <w:rPr>
          <w:rFonts w:ascii="Arial" w:cs="Arial" w:eastAsia="Arial" w:hAnsi="Arial"/>
          <w:b/>
          <w:bCs/>
          <w:color w:val="1A1A1A"/>
          <w:sz w:val="22"/>
          <w:szCs w:val="22"/>
        </w:rPr>
        <w:t xml:space="preserve">C.  Route Changes</w:t>
      </w:r>
    </w:p>
    <w:p>
      <w:pPr>
        <w:spacing w:after="80" w:before="80"/>
      </w:pPr>
      <w:r>
        <w:rPr>
          <w:rFonts w:ascii="Arial" w:cs="Arial" w:eastAsia="Arial" w:hAnsi="Arial"/>
          <w:color w:val="1A1A1A"/>
          <w:sz w:val="22"/>
          <w:szCs w:val="22"/>
        </w:rPr>
        <w:t xml:space="preserve">Significant route modifications requested by Client during the service period that result in increased time or distance may result in additional charges, to be communicated to Client at the time of the modification request.</w:t>
      </w:r>
    </w:p>
    <w:p>
      <w:pPr>
        <w:spacing w:after="100" w:before="280"/>
      </w:pPr>
      <w:r>
        <w:rPr>
          <w:rFonts w:ascii="Arial" w:cs="Arial" w:eastAsia="Arial" w:hAnsi="Arial"/>
          <w:b/>
          <w:bCs/>
          <w:color w:val="1A2A4A"/>
          <w:sz w:val="24"/>
          <w:szCs w:val="24"/>
        </w:rPr>
        <w:t xml:space="preserve">SECTION 9 — LIMITATION OF CARRIER'S LIABILITY</w:t>
      </w:r>
    </w:p>
    <w:p>
      <w:pPr>
        <w:spacing w:after="60" w:before="160"/>
      </w:pPr>
      <w:r>
        <w:rPr>
          <w:rFonts w:ascii="Arial" w:cs="Arial" w:eastAsia="Arial" w:hAnsi="Arial"/>
          <w:b/>
          <w:bCs/>
          <w:color w:val="1A1A1A"/>
          <w:sz w:val="22"/>
          <w:szCs w:val="22"/>
        </w:rPr>
        <w:t xml:space="preserve">A.  General Limitation</w:t>
      </w:r>
    </w:p>
    <w:p>
      <w:pPr>
        <w:spacing w:after="80" w:before="80"/>
      </w:pPr>
      <w:r>
        <w:rPr>
          <w:rFonts w:ascii="Arial" w:cs="Arial" w:eastAsia="Arial" w:hAnsi="Arial"/>
          <w:color w:val="1A1A1A"/>
          <w:sz w:val="22"/>
          <w:szCs w:val="22"/>
        </w:rPr>
        <w:t xml:space="preserve">TO THE MAXIMUM EXTENT PERMITTED BY APPLICABLE FLORIDA LAW, CARRIER'S TOTAL LIABILITY TO CLIENT FOR ANY CAUSE OF ACTION ARISING OUT OF OR RELATED TO THESE TERMS OR THE SERVICES PROVIDED — WHETHER IN CONTRACT, TORT, NEGLIGENCE, STRICT LIABILITY, OR OTHERWISE — SHALL NOT EXCEED THE TOTAL FEES PAID BY CLIENT FOR THE SPECIFIC TRIP GIVING RISE TO THE CLAIM.</w:t>
      </w:r>
    </w:p>
    <w:p>
      <w:pPr>
        <w:spacing w:after="40" w:before="40"/>
        <w:ind w:left="720"/>
      </w:pPr>
      <w:r>
        <w:rPr>
          <w:rFonts w:ascii="Arial" w:cs="Arial" w:eastAsia="Arial" w:hAnsi="Arial"/>
          <w:i/>
          <w:iCs/>
          <w:color w:val="555555"/>
          <w:sz w:val="19"/>
          <w:szCs w:val="19"/>
        </w:rPr>
        <w:t xml:space="preserve">Authority: 13 AmJur 2d Carriers § 373 (private carriers may limit liability by contract where not prohibited by statute); Fla. Stat. § 768.81 (modified comparative negligence — plaintiff barred from recovery if more than 50% at fault, as amended 2023, Fla. Laws ch. 2023-15).</w:t>
      </w:r>
    </w:p>
    <w:p>
      <w:pPr>
        <w:spacing w:after="60" w:before="160"/>
      </w:pPr>
      <w:r>
        <w:rPr>
          <w:rFonts w:ascii="Arial" w:cs="Arial" w:eastAsia="Arial" w:hAnsi="Arial"/>
          <w:b/>
          <w:bCs/>
          <w:color w:val="1A1A1A"/>
          <w:sz w:val="22"/>
          <w:szCs w:val="22"/>
        </w:rPr>
        <w:t xml:space="preserve">B.  Exclusion of Consequential Damages</w:t>
      </w:r>
    </w:p>
    <w:p>
      <w:pPr>
        <w:spacing w:after="80" w:before="80"/>
      </w:pPr>
      <w:r>
        <w:rPr>
          <w:rFonts w:ascii="Arial" w:cs="Arial" w:eastAsia="Arial" w:hAnsi="Arial"/>
          <w:color w:val="1A1A1A"/>
          <w:sz w:val="22"/>
          <w:szCs w:val="22"/>
        </w:rPr>
        <w:t xml:space="preserve">IN NO EVENT SHALL CARRIER BE LIABLE FOR ANY INDIRECT, INCIDENTAL, SPECIAL, CONSEQUENTIAL, OR PUNITIVE DAMAGES, INCLUDING BUT NOT LIMITED TO LOST PROFITS, LOST BUSINESS OPPORTUNITY, REPUTATIONAL HARM, OR EMOTIONAL DISTRESS ARISING FROM DELAYS, CANCELLATIONS, OR SERVICE INTERRUPTIONS, EXCEPT WHERE CAUSED BY CARRIER'S GROSS NEGLIGENCE OR WILLFUL MISCONDUCT.</w:t>
      </w:r>
    </w:p>
    <w:p>
      <w:pPr>
        <w:spacing w:after="40" w:before="40"/>
        <w:ind w:left="720"/>
      </w:pPr>
      <w:r>
        <w:rPr>
          <w:rFonts w:ascii="Arial" w:cs="Arial" w:eastAsia="Arial" w:hAnsi="Arial"/>
          <w:i/>
          <w:iCs/>
          <w:color w:val="555555"/>
          <w:sz w:val="19"/>
          <w:szCs w:val="19"/>
        </w:rPr>
        <w:t xml:space="preserve">Authority: Restatement (Second) of Contracts § 351 (consequential damages limited to reasonably foreseeable losses at time of contracting); Morey's Piers v. Hess, 769 A.2d 1098; Globe &amp; Mail, Inc. v. Shapiro, 36 Fla. L. Weekly D2543 (Fla. 1st DCA 2011).</w:t>
      </w:r>
    </w:p>
    <w:p>
      <w:pPr>
        <w:spacing w:after="60" w:before="160"/>
      </w:pPr>
      <w:r>
        <w:rPr>
          <w:rFonts w:ascii="Arial" w:cs="Arial" w:eastAsia="Arial" w:hAnsi="Arial"/>
          <w:b/>
          <w:bCs/>
          <w:color w:val="1A1A1A"/>
          <w:sz w:val="22"/>
          <w:szCs w:val="22"/>
        </w:rPr>
        <w:t xml:space="preserve">C.  Delay and Traffic</w:t>
      </w:r>
    </w:p>
    <w:p>
      <w:pPr>
        <w:spacing w:after="80" w:before="80"/>
      </w:pPr>
      <w:r>
        <w:rPr>
          <w:rFonts w:ascii="Arial" w:cs="Arial" w:eastAsia="Arial" w:hAnsi="Arial"/>
          <w:color w:val="1A1A1A"/>
          <w:sz w:val="22"/>
          <w:szCs w:val="22"/>
        </w:rPr>
        <w:t xml:space="preserve">Carrier is not liable for delays caused by traffic congestion, road closures, accidents, weather conditions, or other circumstances beyond Carrier's reasonable control. Carrier will make commercially reasonable efforts to ensure timely service. Client is advised to allow adequate travel time for all engagements.</w:t>
      </w:r>
    </w:p>
    <w:p>
      <w:pPr>
        <w:spacing w:after="40" w:before="40"/>
        <w:ind w:left="720"/>
      </w:pPr>
      <w:r>
        <w:rPr>
          <w:rFonts w:ascii="Arial" w:cs="Arial" w:eastAsia="Arial" w:hAnsi="Arial"/>
          <w:i/>
          <w:iCs/>
          <w:color w:val="555555"/>
          <w:sz w:val="19"/>
          <w:szCs w:val="19"/>
        </w:rPr>
        <w:t xml:space="preserve">Authority: Restatement (Second) of Contracts § 261 (discharge by supervening impracticability); 13 AmJur 2d Carriers § 315.</w:t>
      </w:r>
    </w:p>
    <w:p>
      <w:pPr>
        <w:spacing w:after="60" w:before="160"/>
      </w:pPr>
      <w:r>
        <w:rPr>
          <w:rFonts w:ascii="Arial" w:cs="Arial" w:eastAsia="Arial" w:hAnsi="Arial"/>
          <w:b/>
          <w:bCs/>
          <w:color w:val="1A1A1A"/>
          <w:sz w:val="22"/>
          <w:szCs w:val="22"/>
        </w:rPr>
        <w:t xml:space="preserve">D.  Insurance</w:t>
      </w:r>
    </w:p>
    <w:p>
      <w:pPr>
        <w:spacing w:after="80" w:before="80"/>
      </w:pPr>
      <w:r>
        <w:rPr>
          <w:rFonts w:ascii="Arial" w:cs="Arial" w:eastAsia="Arial" w:hAnsi="Arial"/>
          <w:color w:val="1A1A1A"/>
          <w:sz w:val="22"/>
          <w:szCs w:val="22"/>
        </w:rPr>
        <w:t xml:space="preserve">Carrier maintains commercial automobile liability insurance as required by Florida law. Carrier's insurance does not cover Client's personal property, instruments, or luggage beyond the bailment limitation in Section 7(B).</w:t>
      </w:r>
    </w:p>
    <w:p>
      <w:pPr>
        <w:spacing w:after="40" w:before="40"/>
        <w:ind w:left="720"/>
      </w:pPr>
      <w:r>
        <w:rPr>
          <w:rFonts w:ascii="Arial" w:cs="Arial" w:eastAsia="Arial" w:hAnsi="Arial"/>
          <w:i/>
          <w:iCs/>
          <w:color w:val="555555"/>
          <w:sz w:val="19"/>
          <w:szCs w:val="19"/>
        </w:rPr>
        <w:t xml:space="preserve">Authority: Fla. Stat. § 627.733 (mandatory motor vehicle insurance requirements); Fla. Stat. § 324.022 (financial responsibility limits).</w:t>
      </w:r>
    </w:p>
    <w:p>
      <w:pPr>
        <w:spacing w:after="100" w:before="280"/>
      </w:pPr>
      <w:r>
        <w:rPr>
          <w:rFonts w:ascii="Arial" w:cs="Arial" w:eastAsia="Arial" w:hAnsi="Arial"/>
          <w:b/>
          <w:bCs/>
          <w:color w:val="1A2A4A"/>
          <w:sz w:val="24"/>
          <w:szCs w:val="24"/>
        </w:rPr>
        <w:t xml:space="preserve">SECTION 10 — ASSUMPTION OF RISK AND RELEASE</w:t>
      </w:r>
    </w:p>
    <w:p>
      <w:pPr>
        <w:spacing w:after="60" w:before="160"/>
      </w:pPr>
      <w:r>
        <w:rPr>
          <w:rFonts w:ascii="Arial" w:cs="Arial" w:eastAsia="Arial" w:hAnsi="Arial"/>
          <w:b/>
          <w:bCs/>
          <w:color w:val="1A1A1A"/>
          <w:sz w:val="22"/>
          <w:szCs w:val="22"/>
        </w:rPr>
        <w:t xml:space="preserve">A.  Assumption of Risk</w:t>
      </w:r>
    </w:p>
    <w:p>
      <w:pPr>
        <w:spacing w:after="80" w:before="80"/>
      </w:pPr>
      <w:r>
        <w:rPr>
          <w:rFonts w:ascii="Arial" w:cs="Arial" w:eastAsia="Arial" w:hAnsi="Arial"/>
          <w:color w:val="1A1A1A"/>
          <w:sz w:val="22"/>
          <w:szCs w:val="22"/>
        </w:rPr>
        <w:t xml:space="preserve">By booking and accepting service, Client and all passengers knowingly and voluntarily assume all inherent risks associated with ground transportation, including those risks that are unavoidable through the exercise of reasonable care.</w:t>
      </w:r>
    </w:p>
    <w:p>
      <w:pPr>
        <w:spacing w:after="40" w:before="40"/>
        <w:ind w:left="720"/>
      </w:pPr>
      <w:r>
        <w:rPr>
          <w:rFonts w:ascii="Arial" w:cs="Arial" w:eastAsia="Arial" w:hAnsi="Arial"/>
          <w:i/>
          <w:iCs/>
          <w:color w:val="555555"/>
          <w:sz w:val="19"/>
          <w:szCs w:val="19"/>
        </w:rPr>
        <w:t xml:space="preserve">Authority: Restatement (Second) of Torts § 496A (express assumption of risk); Kuehner v. Green, 436 So. 2d 78 (Fla. 1983) (recognizing express assumption of risk as complete bar to recovery).</w:t>
      </w:r>
    </w:p>
    <w:p>
      <w:pPr>
        <w:spacing w:after="60" w:before="160"/>
      </w:pPr>
      <w:r>
        <w:rPr>
          <w:rFonts w:ascii="Arial" w:cs="Arial" w:eastAsia="Arial" w:hAnsi="Arial"/>
          <w:b/>
          <w:bCs/>
          <w:color w:val="1A1A1A"/>
          <w:sz w:val="22"/>
          <w:szCs w:val="22"/>
        </w:rPr>
        <w:t xml:space="preserve">B.  Alcohol and Controlled Substances</w:t>
      </w:r>
    </w:p>
    <w:p>
      <w:pPr>
        <w:spacing w:after="80" w:before="80"/>
      </w:pPr>
      <w:r>
        <w:rPr>
          <w:rFonts w:ascii="Arial" w:cs="Arial" w:eastAsia="Arial" w:hAnsi="Arial"/>
          <w:color w:val="1A1A1A"/>
          <w:sz w:val="22"/>
          <w:szCs w:val="22"/>
        </w:rPr>
        <w:t xml:space="preserve">If Client or any passenger elects to consume alcohol or other legal substances during the service, Client assumes all risks associated with such consumption and expressly releases Carrier from any claim arising from impairment during or after the service.</w:t>
      </w:r>
    </w:p>
    <w:p>
      <w:pPr>
        <w:spacing w:after="40" w:before="40"/>
        <w:ind w:left="720"/>
      </w:pPr>
      <w:r>
        <w:rPr>
          <w:rFonts w:ascii="Arial" w:cs="Arial" w:eastAsia="Arial" w:hAnsi="Arial"/>
          <w:i/>
          <w:iCs/>
          <w:color w:val="555555"/>
          <w:sz w:val="19"/>
          <w:szCs w:val="19"/>
        </w:rPr>
        <w:t xml:space="preserve">Authority: Fla. Stat. § 768.36 (alcohol or drug defense in civil actions — plaintiff's intoxication reduces or eliminates recovery).</w:t>
      </w:r>
    </w:p>
    <w:p>
      <w:pPr>
        <w:spacing w:after="100" w:before="280"/>
      </w:pPr>
      <w:r>
        <w:rPr>
          <w:rFonts w:ascii="Arial" w:cs="Arial" w:eastAsia="Arial" w:hAnsi="Arial"/>
          <w:b/>
          <w:bCs/>
          <w:color w:val="1A2A4A"/>
          <w:sz w:val="24"/>
          <w:szCs w:val="24"/>
        </w:rPr>
        <w:t xml:space="preserve">SECTION 11 — INDEMNIFICATION</w:t>
      </w:r>
    </w:p>
    <w:p>
      <w:pPr>
        <w:spacing w:after="80" w:before="80"/>
      </w:pPr>
      <w:r>
        <w:rPr>
          <w:rFonts w:ascii="Arial" w:cs="Arial" w:eastAsia="Arial" w:hAnsi="Arial"/>
          <w:color w:val="1A1A1A"/>
          <w:sz w:val="22"/>
          <w:szCs w:val="22"/>
        </w:rPr>
        <w:t xml:space="preserve">Client agrees to defend, indemnify, and hold harmless ABW Luxury Limousine Service and Brian Walcott (collectively, "Indemnified Parties") from and against any and all claims, damages, losses, costs, and expenses — including reasonable attorneys' fees — arising out of or relating to: (a) Client's or any passenger's breach of these Terms; (b) the conduct, acts, or omissions of Client or Client's guests; (c) damage to the vehicle caused by Client's party; or (d) any third-party claims arising from events within Client's party's control during the service period.</w:t>
      </w:r>
    </w:p>
    <w:p>
      <w:pPr>
        <w:spacing w:after="40" w:before="40"/>
        <w:ind w:left="720"/>
      </w:pPr>
      <w:r>
        <w:rPr>
          <w:rFonts w:ascii="Arial" w:cs="Arial" w:eastAsia="Arial" w:hAnsi="Arial"/>
          <w:i/>
          <w:iCs/>
          <w:color w:val="555555"/>
          <w:sz w:val="19"/>
          <w:szCs w:val="19"/>
        </w:rPr>
        <w:t xml:space="preserve">Authority: 41 AmJur 2d Indemnity § 1; Dade County School Board v. Radio Station WQBA, 731 So. 2d 638 (Fla. 1999) (indemnity agreements enforceable in Florida when clear and unequivocal).</w:t>
      </w:r>
    </w:p>
    <w:p>
      <w:pPr>
        <w:spacing w:after="100" w:before="280"/>
      </w:pPr>
      <w:r>
        <w:rPr>
          <w:rFonts w:ascii="Arial" w:cs="Arial" w:eastAsia="Arial" w:hAnsi="Arial"/>
          <w:b/>
          <w:bCs/>
          <w:color w:val="1A2A4A"/>
          <w:sz w:val="24"/>
          <w:szCs w:val="24"/>
        </w:rPr>
        <w:t xml:space="preserve">SECTION 12 — FORCE MAJEURE</w:t>
      </w:r>
    </w:p>
    <w:p>
      <w:pPr>
        <w:spacing w:after="80" w:before="80"/>
      </w:pPr>
      <w:r>
        <w:rPr>
          <w:rFonts w:ascii="Arial" w:cs="Arial" w:eastAsia="Arial" w:hAnsi="Arial"/>
          <w:color w:val="1A1A1A"/>
          <w:sz w:val="22"/>
          <w:szCs w:val="22"/>
        </w:rPr>
        <w:t xml:space="preserve">Neither party shall be in default or liable for delays or failure to perform resulting from a Force Majeure event as defined in Section 1. In the event of a Force Majeure affecting Carrier's ability to perform, Carrier shall promptly notify Client and attempt to reschedule the service. If rescheduling is not possible, Carrier shall refund all amounts paid less any out-of-pocket expenses already incurred.</w:t>
      </w:r>
    </w:p>
    <w:p>
      <w:pPr>
        <w:spacing w:after="40" w:before="40"/>
        <w:ind w:left="720"/>
      </w:pPr>
      <w:r>
        <w:rPr>
          <w:rFonts w:ascii="Arial" w:cs="Arial" w:eastAsia="Arial" w:hAnsi="Arial"/>
          <w:i/>
          <w:iCs/>
          <w:color w:val="555555"/>
          <w:sz w:val="19"/>
          <w:szCs w:val="19"/>
        </w:rPr>
        <w:t xml:space="preserve">Authority: Restatement (Second) of Contracts § 261 (impracticability of performance); 17A AmJur 2d Contracts § 641; Florida Power &amp; Light Co. v. Westinghouse Electric Corp., 517 F. Supp. 440 (S.D. Fla. 1981) (applying Florida law to force majeure analysis).</w:t>
      </w:r>
    </w:p>
    <w:p>
      <w:pPr>
        <w:spacing w:after="100" w:before="280"/>
      </w:pPr>
      <w:r>
        <w:rPr>
          <w:rFonts w:ascii="Arial" w:cs="Arial" w:eastAsia="Arial" w:hAnsi="Arial"/>
          <w:b/>
          <w:bCs/>
          <w:color w:val="1A2A4A"/>
          <w:sz w:val="24"/>
          <w:szCs w:val="24"/>
        </w:rPr>
        <w:t xml:space="preserve">SECTION 13 — DISPUTE RESOLUTION</w:t>
      </w:r>
    </w:p>
    <w:p>
      <w:pPr>
        <w:spacing w:after="60" w:before="160"/>
      </w:pPr>
      <w:r>
        <w:rPr>
          <w:rFonts w:ascii="Arial" w:cs="Arial" w:eastAsia="Arial" w:hAnsi="Arial"/>
          <w:b/>
          <w:bCs/>
          <w:color w:val="1A1A1A"/>
          <w:sz w:val="22"/>
          <w:szCs w:val="22"/>
        </w:rPr>
        <w:t xml:space="preserve">A.  Negotiation</w:t>
      </w:r>
    </w:p>
    <w:p>
      <w:pPr>
        <w:spacing w:after="80" w:before="80"/>
      </w:pPr>
      <w:r>
        <w:rPr>
          <w:rFonts w:ascii="Arial" w:cs="Arial" w:eastAsia="Arial" w:hAnsi="Arial"/>
          <w:color w:val="1A1A1A"/>
          <w:sz w:val="22"/>
          <w:szCs w:val="22"/>
        </w:rPr>
        <w:t xml:space="preserve">The parties agree to attempt to resolve any dispute arising under this Agreement through good-faith negotiation before pursuing formal legal remedies. The complaining party shall provide written notice identifying the dispute and the relief sought. The parties shall have thirty (30) days to resolve the dispute informally.</w:t>
      </w:r>
    </w:p>
    <w:p>
      <w:pPr>
        <w:spacing w:after="60" w:before="160"/>
      </w:pPr>
      <w:r>
        <w:rPr>
          <w:rFonts w:ascii="Arial" w:cs="Arial" w:eastAsia="Arial" w:hAnsi="Arial"/>
          <w:b/>
          <w:bCs/>
          <w:color w:val="1A1A1A"/>
          <w:sz w:val="22"/>
          <w:szCs w:val="22"/>
        </w:rPr>
        <w:t xml:space="preserve">B.  Governing Law and Venue</w:t>
      </w:r>
    </w:p>
    <w:p>
      <w:pPr>
        <w:spacing w:after="80" w:before="80"/>
      </w:pPr>
      <w:r>
        <w:rPr>
          <w:rFonts w:ascii="Arial" w:cs="Arial" w:eastAsia="Arial" w:hAnsi="Arial"/>
          <w:color w:val="1A1A1A"/>
          <w:sz w:val="22"/>
          <w:szCs w:val="22"/>
        </w:rPr>
        <w:t xml:space="preserve">This Agreement shall be governed by and construed in accordance with the laws of the State of Florida, without regard to conflict-of-law principles. The exclusive venue for any legal action shall be the courts of Orange County, Florida.</w:t>
      </w:r>
    </w:p>
    <w:p>
      <w:pPr>
        <w:spacing w:after="40" w:before="40"/>
        <w:ind w:left="720"/>
      </w:pPr>
      <w:r>
        <w:rPr>
          <w:rFonts w:ascii="Arial" w:cs="Arial" w:eastAsia="Arial" w:hAnsi="Arial"/>
          <w:i/>
          <w:iCs/>
          <w:color w:val="555555"/>
          <w:sz w:val="19"/>
          <w:szCs w:val="19"/>
        </w:rPr>
        <w:t xml:space="preserve">Authority: Fla. Stat. § 47.011 (venue); Fla. R. Civ. P. 1.060.</w:t>
      </w:r>
    </w:p>
    <w:p>
      <w:pPr>
        <w:spacing w:after="60" w:before="160"/>
      </w:pPr>
      <w:r>
        <w:rPr>
          <w:rFonts w:ascii="Arial" w:cs="Arial" w:eastAsia="Arial" w:hAnsi="Arial"/>
          <w:b/>
          <w:bCs/>
          <w:color w:val="1A1A1A"/>
          <w:sz w:val="22"/>
          <w:szCs w:val="22"/>
        </w:rPr>
        <w:t xml:space="preserve">C.  Waiver of Class Action</w:t>
      </w:r>
    </w:p>
    <w:p>
      <w:pPr>
        <w:spacing w:after="80" w:before="80"/>
      </w:pPr>
      <w:r>
        <w:rPr>
          <w:rFonts w:ascii="Arial" w:cs="Arial" w:eastAsia="Arial" w:hAnsi="Arial"/>
          <w:color w:val="1A1A1A"/>
          <w:sz w:val="22"/>
          <w:szCs w:val="22"/>
        </w:rPr>
        <w:t xml:space="preserve">Client waives any right to bring or participate in any class action or representative proceeding against Carrier. All claims must be brought in Client's individual capacity.</w:t>
      </w:r>
    </w:p>
    <w:p>
      <w:pPr>
        <w:spacing w:after="60" w:before="160"/>
      </w:pPr>
      <w:r>
        <w:rPr>
          <w:rFonts w:ascii="Arial" w:cs="Arial" w:eastAsia="Arial" w:hAnsi="Arial"/>
          <w:b/>
          <w:bCs/>
          <w:color w:val="1A1A1A"/>
          <w:sz w:val="22"/>
          <w:szCs w:val="22"/>
        </w:rPr>
        <w:t xml:space="preserve">D.  Attorneys' Fees</w:t>
      </w:r>
    </w:p>
    <w:p>
      <w:pPr>
        <w:spacing w:after="80" w:before="80"/>
      </w:pPr>
      <w:r>
        <w:rPr>
          <w:rFonts w:ascii="Arial" w:cs="Arial" w:eastAsia="Arial" w:hAnsi="Arial"/>
          <w:color w:val="1A1A1A"/>
          <w:sz w:val="22"/>
          <w:szCs w:val="22"/>
        </w:rPr>
        <w:t xml:space="preserve">In any legal action arising from this Agreement, the prevailing party shall be entitled to recover reasonable attorneys' fees and court costs from the non-prevailing party.</w:t>
      </w:r>
    </w:p>
    <w:p>
      <w:pPr>
        <w:spacing w:after="40" w:before="40"/>
        <w:ind w:left="720"/>
      </w:pPr>
      <w:r>
        <w:rPr>
          <w:rFonts w:ascii="Arial" w:cs="Arial" w:eastAsia="Arial" w:hAnsi="Arial"/>
          <w:i/>
          <w:iCs/>
          <w:color w:val="555555"/>
          <w:sz w:val="19"/>
          <w:szCs w:val="19"/>
        </w:rPr>
        <w:t xml:space="preserve">Authority: Fla. Stat. § 57.105 (attorneys' fees for frivolous claims); Fla. Stat. § 768.79 (offer of judgment / proposal for settlement).</w:t>
      </w:r>
    </w:p>
    <w:p>
      <w:pPr>
        <w:spacing w:after="60" w:before="160"/>
      </w:pPr>
      <w:r>
        <w:rPr>
          <w:rFonts w:ascii="Arial" w:cs="Arial" w:eastAsia="Arial" w:hAnsi="Arial"/>
          <w:b/>
          <w:bCs/>
          <w:color w:val="1A1A1A"/>
          <w:sz w:val="22"/>
          <w:szCs w:val="22"/>
        </w:rPr>
        <w:t xml:space="preserve">E.  Statute of Limitations</w:t>
      </w:r>
    </w:p>
    <w:p>
      <w:pPr>
        <w:spacing w:after="80" w:before="80"/>
      </w:pPr>
      <w:r>
        <w:rPr>
          <w:rFonts w:ascii="Arial" w:cs="Arial" w:eastAsia="Arial" w:hAnsi="Arial"/>
          <w:color w:val="1A1A1A"/>
          <w:sz w:val="22"/>
          <w:szCs w:val="22"/>
        </w:rPr>
        <w:t xml:space="preserve">Any claim arising under this Agreement must be brought within the applicable limitations period. Claims arising from written contract must be filed within four (4) years; claims arising from negligence must be filed within two (2) years of the date of the incident.</w:t>
      </w:r>
    </w:p>
    <w:p>
      <w:pPr>
        <w:spacing w:after="40" w:before="40"/>
        <w:ind w:left="720"/>
      </w:pPr>
      <w:r>
        <w:rPr>
          <w:rFonts w:ascii="Arial" w:cs="Arial" w:eastAsia="Arial" w:hAnsi="Arial"/>
          <w:i/>
          <w:iCs/>
          <w:color w:val="555555"/>
          <w:sz w:val="19"/>
          <w:szCs w:val="19"/>
        </w:rPr>
        <w:t xml:space="preserve">Authority: Fla. Stat. § 95.11(3)(a) (4-year limitations for written contract claims); Fla. Stat. § 95.11(3)(p) (2-year limitations for negligence, as amended by 2023 Fla. Laws ch. 2023-15, effective March 24, 2023).</w:t>
      </w:r>
    </w:p>
    <w:p>
      <w:pPr>
        <w:spacing w:after="100" w:before="280"/>
      </w:pPr>
      <w:r>
        <w:rPr>
          <w:rFonts w:ascii="Arial" w:cs="Arial" w:eastAsia="Arial" w:hAnsi="Arial"/>
          <w:b/>
          <w:bCs/>
          <w:color w:val="1A2A4A"/>
          <w:sz w:val="24"/>
          <w:szCs w:val="24"/>
        </w:rPr>
        <w:t xml:space="preserve">SECTION 14 — PRIVACY AND MEDIA RELEASE</w:t>
      </w:r>
    </w:p>
    <w:p>
      <w:pPr>
        <w:spacing w:after="60" w:before="160"/>
      </w:pPr>
      <w:r>
        <w:rPr>
          <w:rFonts w:ascii="Arial" w:cs="Arial" w:eastAsia="Arial" w:hAnsi="Arial"/>
          <w:b/>
          <w:bCs/>
          <w:color w:val="1A1A1A"/>
          <w:sz w:val="22"/>
          <w:szCs w:val="22"/>
        </w:rPr>
        <w:t xml:space="preserve">A.  Photo and Media Release</w:t>
      </w:r>
    </w:p>
    <w:p>
      <w:pPr>
        <w:spacing w:after="80" w:before="80"/>
      </w:pPr>
      <w:r>
        <w:rPr>
          <w:rFonts w:ascii="Arial" w:cs="Arial" w:eastAsia="Arial" w:hAnsi="Arial"/>
          <w:color w:val="1A1A1A"/>
          <w:sz w:val="22"/>
          <w:szCs w:val="22"/>
        </w:rPr>
        <w:t xml:space="preserve">Unless Client opts out in writing at time of booking, Client grants Carrier a non-exclusive, royalty-free license to use photographs and video taken in connection with the service for marketing and promotional purposes on Carrier's website and social media platforms. Client warrants that all passengers in Client's party have consented to any such use, or that Client is authorized to grant such consent on their behalf.</w:t>
      </w:r>
    </w:p>
    <w:p>
      <w:pPr>
        <w:spacing w:after="60" w:before="160"/>
      </w:pPr>
      <w:r>
        <w:rPr>
          <w:rFonts w:ascii="Arial" w:cs="Arial" w:eastAsia="Arial" w:hAnsi="Arial"/>
          <w:b/>
          <w:bCs/>
          <w:color w:val="1A1A1A"/>
          <w:sz w:val="22"/>
          <w:szCs w:val="22"/>
        </w:rPr>
        <w:t xml:space="preserve">B.  Privacy</w:t>
      </w:r>
    </w:p>
    <w:p>
      <w:pPr>
        <w:spacing w:after="80" w:before="80"/>
      </w:pPr>
      <w:r>
        <w:rPr>
          <w:rFonts w:ascii="Arial" w:cs="Arial" w:eastAsia="Arial" w:hAnsi="Arial"/>
          <w:color w:val="1A1A1A"/>
          <w:sz w:val="22"/>
          <w:szCs w:val="22"/>
        </w:rPr>
        <w:t xml:space="preserve">Carrier will not disclose Client's personal information to third parties except as required by law, as necessary to provide the services, or with Client's written consent. Client information is maintained in compliance with applicable Florida privacy laws.</w:t>
      </w:r>
    </w:p>
    <w:p>
      <w:pPr>
        <w:spacing w:after="40" w:before="40"/>
        <w:ind w:left="720"/>
      </w:pPr>
      <w:r>
        <w:rPr>
          <w:rFonts w:ascii="Arial" w:cs="Arial" w:eastAsia="Arial" w:hAnsi="Arial"/>
          <w:i/>
          <w:iCs/>
          <w:color w:val="555555"/>
          <w:sz w:val="19"/>
          <w:szCs w:val="19"/>
        </w:rPr>
        <w:t xml:space="preserve">Authority: Fla. Stat. § 501.171 (Florida Information Protection Act of 2014).</w:t>
      </w:r>
    </w:p>
    <w:p>
      <w:pPr>
        <w:spacing w:after="100" w:before="280"/>
      </w:pPr>
      <w:r>
        <w:rPr>
          <w:rFonts w:ascii="Arial" w:cs="Arial" w:eastAsia="Arial" w:hAnsi="Arial"/>
          <w:b/>
          <w:bCs/>
          <w:color w:val="1A2A4A"/>
          <w:sz w:val="24"/>
          <w:szCs w:val="24"/>
        </w:rPr>
        <w:t xml:space="preserve">SECTION 15 — GENERAL PROVISIONS</w:t>
      </w:r>
    </w:p>
    <w:p>
      <w:pPr>
        <w:spacing w:after="60" w:before="160"/>
      </w:pPr>
      <w:r>
        <w:rPr>
          <w:rFonts w:ascii="Arial" w:cs="Arial" w:eastAsia="Arial" w:hAnsi="Arial"/>
          <w:b/>
          <w:bCs/>
          <w:color w:val="1A1A1A"/>
          <w:sz w:val="22"/>
          <w:szCs w:val="22"/>
        </w:rPr>
        <w:t xml:space="preserve">A.  Severability</w:t>
      </w:r>
    </w:p>
    <w:p>
      <w:pPr>
        <w:spacing w:after="80" w:before="80"/>
      </w:pPr>
      <w:r>
        <w:rPr>
          <w:rFonts w:ascii="Arial" w:cs="Arial" w:eastAsia="Arial" w:hAnsi="Arial"/>
          <w:color w:val="1A1A1A"/>
          <w:sz w:val="22"/>
          <w:szCs w:val="22"/>
        </w:rPr>
        <w:t xml:space="preserve">If any provision of these Terms is held to be invalid, illegal, or unenforceable by a court of competent jurisdiction, the remaining provisions shall remain in full force and effect, and the invalid provision shall be modified to the minimum extent necessary to make it enforceable.</w:t>
      </w:r>
    </w:p>
    <w:p>
      <w:pPr>
        <w:spacing w:after="40" w:before="40"/>
        <w:ind w:left="720"/>
      </w:pPr>
      <w:r>
        <w:rPr>
          <w:rFonts w:ascii="Arial" w:cs="Arial" w:eastAsia="Arial" w:hAnsi="Arial"/>
          <w:i/>
          <w:iCs/>
          <w:color w:val="555555"/>
          <w:sz w:val="19"/>
          <w:szCs w:val="19"/>
        </w:rPr>
        <w:t xml:space="preserve">Authority: 17A AmJur 2d Contracts § 250; Fla. Stat. § 671.1-306 (severability under Florida UCC).</w:t>
      </w:r>
    </w:p>
    <w:p>
      <w:pPr>
        <w:spacing w:after="60" w:before="160"/>
      </w:pPr>
      <w:r>
        <w:rPr>
          <w:rFonts w:ascii="Arial" w:cs="Arial" w:eastAsia="Arial" w:hAnsi="Arial"/>
          <w:b/>
          <w:bCs/>
          <w:color w:val="1A1A1A"/>
          <w:sz w:val="22"/>
          <w:szCs w:val="22"/>
        </w:rPr>
        <w:t xml:space="preserve">B.  Waiver</w:t>
      </w:r>
    </w:p>
    <w:p>
      <w:pPr>
        <w:spacing w:after="80" w:before="80"/>
      </w:pPr>
      <w:r>
        <w:rPr>
          <w:rFonts w:ascii="Arial" w:cs="Arial" w:eastAsia="Arial" w:hAnsi="Arial"/>
          <w:color w:val="1A1A1A"/>
          <w:sz w:val="22"/>
          <w:szCs w:val="22"/>
        </w:rPr>
        <w:t xml:space="preserve">Carrier's failure to enforce any provision of these Terms on any occasion shall not constitute a waiver of Carrier's right to enforce that provision in the future. No waiver shall be effective unless made in writing and signed by an authorized representative of Carrier.</w:t>
      </w:r>
    </w:p>
    <w:p>
      <w:pPr>
        <w:spacing w:after="40" w:before="40"/>
        <w:ind w:left="720"/>
      </w:pPr>
      <w:r>
        <w:rPr>
          <w:rFonts w:ascii="Arial" w:cs="Arial" w:eastAsia="Arial" w:hAnsi="Arial"/>
          <w:i/>
          <w:iCs/>
          <w:color w:val="555555"/>
          <w:sz w:val="19"/>
          <w:szCs w:val="19"/>
        </w:rPr>
        <w:t xml:space="preserve">Authority: Black's Law Dictionary 1898 (11th ed. 2019) (defining "waiver" as "the voluntary relinquishment or abandonment — express or implied — of a legal right"); Restatement (Second) of Contracts § 84.</w:t>
      </w:r>
    </w:p>
    <w:p>
      <w:pPr>
        <w:spacing w:after="60" w:before="160"/>
      </w:pPr>
      <w:r>
        <w:rPr>
          <w:rFonts w:ascii="Arial" w:cs="Arial" w:eastAsia="Arial" w:hAnsi="Arial"/>
          <w:b/>
          <w:bCs/>
          <w:color w:val="1A1A1A"/>
          <w:sz w:val="22"/>
          <w:szCs w:val="22"/>
        </w:rPr>
        <w:t xml:space="preserve">C.  Entire Agreement</w:t>
      </w:r>
    </w:p>
    <w:p>
      <w:pPr>
        <w:spacing w:after="80" w:before="80"/>
      </w:pPr>
      <w:r>
        <w:rPr>
          <w:rFonts w:ascii="Arial" w:cs="Arial" w:eastAsia="Arial" w:hAnsi="Arial"/>
          <w:color w:val="1A1A1A"/>
          <w:sz w:val="22"/>
          <w:szCs w:val="22"/>
        </w:rPr>
        <w:t xml:space="preserve">These Terms and Conditions, together with the Booking Confirmation, constitute the entire agreement between the parties with respect to the subject matter hereof and supersede all prior representations, negotiations, understandings, and agreements, whether oral or written.</w:t>
      </w:r>
    </w:p>
    <w:p>
      <w:pPr>
        <w:spacing w:after="40" w:before="40"/>
        <w:ind w:left="720"/>
      </w:pPr>
      <w:r>
        <w:rPr>
          <w:rFonts w:ascii="Arial" w:cs="Arial" w:eastAsia="Arial" w:hAnsi="Arial"/>
          <w:i/>
          <w:iCs/>
          <w:color w:val="555555"/>
          <w:sz w:val="19"/>
          <w:szCs w:val="19"/>
        </w:rPr>
        <w:t xml:space="preserve">Authority: 17A AmJur 2d Contracts § 215 (parol evidence rule — integrated written agreement supersedes prior negotiations); Jenkins v. Eckerd Corp., 913 So. 2d 43 (Fla. 1st DCA 2005).</w:t>
      </w:r>
    </w:p>
    <w:p>
      <w:pPr>
        <w:spacing w:after="60" w:before="160"/>
      </w:pPr>
      <w:r>
        <w:rPr>
          <w:rFonts w:ascii="Arial" w:cs="Arial" w:eastAsia="Arial" w:hAnsi="Arial"/>
          <w:b/>
          <w:bCs/>
          <w:color w:val="1A1A1A"/>
          <w:sz w:val="22"/>
          <w:szCs w:val="22"/>
        </w:rPr>
        <w:t xml:space="preserve">D.  Amendment</w:t>
      </w:r>
    </w:p>
    <w:p>
      <w:pPr>
        <w:spacing w:after="80" w:before="80"/>
      </w:pPr>
      <w:r>
        <w:rPr>
          <w:rFonts w:ascii="Arial" w:cs="Arial" w:eastAsia="Arial" w:hAnsi="Arial"/>
          <w:color w:val="1A1A1A"/>
          <w:sz w:val="22"/>
          <w:szCs w:val="22"/>
        </w:rPr>
        <w:t xml:space="preserve">These Terms may be amended by Carrier upon thirty (30) days' written notice to Client. Bookings confirmed prior to the effective date of any amendment shall be governed by the Terms in effect at the time of booking.</w:t>
      </w:r>
    </w:p>
    <w:p>
      <w:pPr>
        <w:spacing w:after="60" w:before="160"/>
      </w:pPr>
      <w:r>
        <w:rPr>
          <w:rFonts w:ascii="Arial" w:cs="Arial" w:eastAsia="Arial" w:hAnsi="Arial"/>
          <w:b/>
          <w:bCs/>
          <w:color w:val="1A1A1A"/>
          <w:sz w:val="22"/>
          <w:szCs w:val="22"/>
        </w:rPr>
        <w:t xml:space="preserve">E.  Notice</w:t>
      </w:r>
    </w:p>
    <w:p>
      <w:pPr>
        <w:spacing w:after="80" w:before="80"/>
      </w:pPr>
      <w:r>
        <w:rPr>
          <w:rFonts w:ascii="Arial" w:cs="Arial" w:eastAsia="Arial" w:hAnsi="Arial"/>
          <w:color w:val="1A1A1A"/>
          <w:sz w:val="22"/>
          <w:szCs w:val="22"/>
        </w:rPr>
        <w:t xml:space="preserve">All notices required under this Agreement shall be provided in writing via email to the contact information specified in the Booking Confirmation and shall be deemed delivered upon electronic confirmation of receipt.</w:t>
      </w:r>
    </w:p>
    <w:p>
      <w:pPr>
        <w:spacing w:after="40" w:before="40"/>
        <w:ind w:left="720"/>
      </w:pPr>
      <w:r>
        <w:rPr>
          <w:rFonts w:ascii="Arial" w:cs="Arial" w:eastAsia="Arial" w:hAnsi="Arial"/>
          <w:i/>
          <w:iCs/>
          <w:color w:val="555555"/>
          <w:sz w:val="19"/>
          <w:szCs w:val="19"/>
        </w:rPr>
        <w:t xml:space="preserve">Authority: Fla. Stat. § 668.006 (Electronic Signature Act).</w:t>
      </w:r>
    </w:p>
    <w:p>
      <w:pPr>
        <w:spacing w:after="60" w:before="160"/>
      </w:pPr>
      <w:r>
        <w:rPr>
          <w:rFonts w:ascii="Arial" w:cs="Arial" w:eastAsia="Arial" w:hAnsi="Arial"/>
          <w:b/>
          <w:bCs/>
          <w:color w:val="1A1A1A"/>
          <w:sz w:val="22"/>
          <w:szCs w:val="22"/>
        </w:rPr>
        <w:t xml:space="preserve">F.  Independent Contractor</w:t>
      </w:r>
    </w:p>
    <w:p>
      <w:pPr>
        <w:spacing w:after="80" w:before="80"/>
      </w:pPr>
      <w:r>
        <w:rPr>
          <w:rFonts w:ascii="Arial" w:cs="Arial" w:eastAsia="Arial" w:hAnsi="Arial"/>
          <w:color w:val="1A1A1A"/>
          <w:sz w:val="22"/>
          <w:szCs w:val="22"/>
        </w:rPr>
        <w:t xml:space="preserve">Carrier is an independent contractor and not an employee, agent, or partner of Client. Nothing in this Agreement shall be construed to create an employment or agency relationship between the parties.</w:t>
      </w:r>
    </w:p>
    <w:p>
      <w:pPr>
        <w:spacing w:after="60" w:before="160"/>
      </w:pPr>
      <w:r>
        <w:rPr>
          <w:rFonts w:ascii="Arial" w:cs="Arial" w:eastAsia="Arial" w:hAnsi="Arial"/>
          <w:b/>
          <w:bCs/>
          <w:color w:val="1A1A1A"/>
          <w:sz w:val="22"/>
          <w:szCs w:val="22"/>
        </w:rPr>
        <w:t xml:space="preserve">G.  ADA Compliance</w:t>
      </w:r>
    </w:p>
    <w:p>
      <w:pPr>
        <w:spacing w:after="80" w:before="80"/>
      </w:pPr>
      <w:r>
        <w:rPr>
          <w:rFonts w:ascii="Arial" w:cs="Arial" w:eastAsia="Arial" w:hAnsi="Arial"/>
          <w:color w:val="1A1A1A"/>
          <w:sz w:val="22"/>
          <w:szCs w:val="22"/>
        </w:rPr>
        <w:t xml:space="preserve">Carrier is committed to accommodating passengers with disabilities to the extent practicable given the vehicle fleet available. Clients requiring wheelchair accessibility or other accommodations should notify Carrier at least 72 hours in advance.</w:t>
      </w:r>
    </w:p>
    <w:p>
      <w:pPr>
        <w:spacing w:after="40" w:before="40"/>
        <w:ind w:left="720"/>
      </w:pPr>
      <w:r>
        <w:rPr>
          <w:rFonts w:ascii="Arial" w:cs="Arial" w:eastAsia="Arial" w:hAnsi="Arial"/>
          <w:i/>
          <w:iCs/>
          <w:color w:val="555555"/>
          <w:sz w:val="19"/>
          <w:szCs w:val="19"/>
        </w:rPr>
        <w:t xml:space="preserve">Authority: Americans with Disabilities Act of 1990, 42 U.S.C. § 12101 et seq.; Fla. Stat. § 760.01 et seq. (Florida Civil Rights Act).</w:t>
      </w:r>
    </w:p>
    <w:p>
      <w:pPr>
        <w:spacing w:after="80" w:before="80"/>
      </w:pPr>
      <w:r>
        <w:rPr>
          <w:rFonts w:ascii="Arial" w:cs="Arial" w:eastAsia="Arial" w:hAnsi="Arial"/>
          <w:color w:val="1A1A1A"/>
          <w:sz w:val="22"/>
          <w:szCs w:val="22"/>
        </w:rPr>
        <w:t xml:space="preserve"/>
      </w:r>
    </w:p>
    <w:p>
      <w:pPr>
        <w:pBdr>
          <w:bottom w:val="single" w:color="1A2A4A" w:sz="6" w:space="1"/>
        </w:pBdr>
        <w:spacing w:after="180" w:before="1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9A84C" w:sz="4"/>
              <w:left w:val="thick" w:color="C9A84C" w:sz="12"/>
              <w:bottom w:val="single" w:color="C9A84C" w:sz="4"/>
              <w:right w:val="none" w:color="FFFFFF" w:sz="0"/>
            </w:tcBorders>
            <w:shd w:fill="FFFBF0" w:val="clear"/>
            <w:tcMar>
              <w:top w:type="dxa" w:w="100"/>
              <w:left w:type="dxa" w:w="200"/>
              <w:bottom w:type="dxa" w:w="100"/>
              <w:right w:type="dxa" w:w="200"/>
            </w:tcMar>
          </w:tcPr>
          <w:p>
            <w:r>
              <w:rPr>
                <w:rFonts w:ascii="Arial" w:cs="Arial" w:eastAsia="Arial" w:hAnsi="Arial"/>
                <w:i/>
                <w:iCs/>
                <w:color w:val="1A1A1A"/>
                <w:sz w:val="20"/>
                <w:szCs w:val="20"/>
              </w:rPr>
              <w:t xml:space="preserve">LEGAL NOTICE: These Terms &amp; Conditions were prepared with reference to authoritative legal sources including Black's Law Dictionary (11th ed.), Florida Statutes (current through 2023), American Jurisprudence 2d, the Restatement (Second) of Contracts and Torts, and Florida case law. All statutory citations should be verified against the current Florida Statutes Annotated. Case citations should be independently verified. This document does not constitute legal advice. ABW Luxury Limousine Service is advised to have these Terms reviewed and approved by a licensed Florida attorney before use.</w:t>
            </w:r>
          </w:p>
        </w:tc>
      </w:tr>
    </w:tbl>
    <w:p>
      <w:pPr>
        <w:spacing w:after="80" w:before="80"/>
      </w:pPr>
      <w:r>
        <w:rPr>
          <w:rFonts w:ascii="Arial" w:cs="Arial" w:eastAsia="Arial" w:hAnsi="Arial"/>
          <w:color w:val="1A1A1A"/>
          <w:sz w:val="22"/>
          <w:szCs w:val="22"/>
        </w:rPr>
        <w:t xml:space="preserve"/>
      </w:r>
    </w:p>
    <w:p>
      <w:pPr>
        <w:spacing w:after="40" w:before="160"/>
        <w:jc w:val="center"/>
      </w:pPr>
      <w:r>
        <w:rPr>
          <w:rFonts w:ascii="Arial" w:cs="Arial" w:eastAsia="Arial" w:hAnsi="Arial"/>
          <w:b/>
          <w:bCs/>
          <w:color w:val="1A2A4A"/>
          <w:sz w:val="26"/>
          <w:szCs w:val="26"/>
        </w:rPr>
        <w:t xml:space="preserve">CLIENT ACKNOWLEDGMENT</w:t>
      </w:r>
    </w:p>
    <w:p>
      <w:pPr>
        <w:spacing w:after="80" w:before="80"/>
      </w:pPr>
      <w:r>
        <w:rPr>
          <w:rFonts w:ascii="Arial" w:cs="Arial" w:eastAsia="Arial" w:hAnsi="Arial"/>
          <w:color w:val="1A1A1A"/>
          <w:sz w:val="22"/>
          <w:szCs w:val="22"/>
        </w:rPr>
        <w:t xml:space="preserve">By booking service with ABW Luxury Limousine Service, or by signing below, Client confirms that Client has read these Terms and Conditions in their entirety, understands them, and agrees to be bound by them.</w:t>
      </w:r>
    </w:p>
    <w:p>
      <w:pPr>
        <w:spacing w:after="80" w:before="80"/>
      </w:pPr>
      <w:r>
        <w:rPr>
          <w:rFonts w:ascii="Arial" w:cs="Arial" w:eastAsia="Arial" w:hAnsi="Arial"/>
          <w:color w:val="1A1A1A"/>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360"/>
            </w:tcMar>
          </w:tcPr>
          <w:p>
            <w:pPr>
              <w:spacing w:before="300"/>
            </w:pPr>
            <w:r>
              <w:rPr>
                <w:rFonts w:ascii="Arial" w:cs="Arial" w:eastAsia="Arial" w:hAnsi="Arial"/>
                <w:color w:val="1A1A1A"/>
                <w:sz w:val="22"/>
                <w:szCs w:val="22"/>
              </w:rPr>
              <w:t xml:space="preserve">__________________________________________</w:t>
            </w:r>
          </w:p>
          <w:p>
            <w:pPr>
              <w:spacing w:before="60"/>
            </w:pPr>
            <w:r>
              <w:rPr>
                <w:rFonts w:ascii="Arial" w:cs="Arial" w:eastAsia="Arial" w:hAnsi="Arial"/>
                <w:b/>
                <w:bCs/>
                <w:sz w:val="20"/>
                <w:szCs w:val="20"/>
              </w:rPr>
              <w:t xml:space="preserve">Client Signature</w:t>
            </w:r>
          </w:p>
          <w:p>
            <w:pPr>
              <w:spacing w:before="200"/>
            </w:pPr>
            <w:r>
              <w:rPr>
                <w:rFonts w:ascii="Arial" w:cs="Arial" w:eastAsia="Arial" w:hAnsi="Arial"/>
                <w:color w:val="1A1A1A"/>
                <w:sz w:val="22"/>
                <w:szCs w:val="22"/>
              </w:rPr>
              <w:t xml:space="preserve">__________________________________________</w:t>
            </w:r>
          </w:p>
          <w:p>
            <w:pPr>
              <w:spacing w:before="60"/>
            </w:pPr>
            <w:r>
              <w:rPr>
                <w:rFonts w:ascii="Arial" w:cs="Arial" w:eastAsia="Arial" w:hAnsi="Arial"/>
                <w:b/>
                <w:bCs/>
                <w:sz w:val="20"/>
                <w:szCs w:val="20"/>
              </w:rPr>
              <w:t xml:space="preserve">Print Name</w:t>
            </w:r>
          </w:p>
          <w:p>
            <w:pPr>
              <w:spacing w:before="200"/>
            </w:pPr>
            <w:r>
              <w:rPr>
                <w:rFonts w:ascii="Arial" w:cs="Arial" w:eastAsia="Arial" w:hAnsi="Arial"/>
                <w:color w:val="1A1A1A"/>
                <w:sz w:val="22"/>
                <w:szCs w:val="22"/>
              </w:rPr>
              <w:t xml:space="preserve">__________________________________________</w:t>
            </w:r>
          </w:p>
          <w:p>
            <w:pPr>
              <w:spacing w:before="60"/>
            </w:pPr>
            <w:r>
              <w:rPr>
                <w:rFonts w:ascii="Arial" w:cs="Arial" w:eastAsia="Arial" w:hAnsi="Arial"/>
                <w:b/>
                <w:bCs/>
                <w:sz w:val="20"/>
                <w:szCs w:val="20"/>
              </w:rPr>
              <w:t xml:space="preserve">Date</w:t>
            </w:r>
          </w:p>
        </w:tc>
        <w:tc>
          <w:tcPr>
            <w:tcW w:type="dxa" w:w="4680"/>
            <w:tcBorders>
              <w:top w:val="none" w:color="FFFFFF" w:sz="0"/>
              <w:left w:val="none" w:color="FFFFFF" w:sz="0"/>
              <w:bottom w:val="none" w:color="FFFFFF" w:sz="0"/>
              <w:right w:val="none" w:color="FFFFFF" w:sz="0"/>
            </w:tcBorders>
            <w:tcMar>
              <w:top w:type="dxa" w:w="0"/>
              <w:left w:type="dxa" w:w="360"/>
              <w:bottom w:type="dxa" w:w="0"/>
              <w:right w:type="dxa" w:w="0"/>
            </w:tcMar>
          </w:tcPr>
          <w:p>
            <w:pPr>
              <w:spacing w:before="300"/>
            </w:pPr>
            <w:r>
              <w:rPr>
                <w:rFonts w:ascii="Arial" w:cs="Arial" w:eastAsia="Arial" w:hAnsi="Arial"/>
                <w:color w:val="1A1A1A"/>
                <w:sz w:val="22"/>
                <w:szCs w:val="22"/>
              </w:rPr>
              <w:t xml:space="preserve">__________________________________________</w:t>
            </w:r>
          </w:p>
          <w:p>
            <w:pPr>
              <w:spacing w:before="60"/>
            </w:pPr>
            <w:r>
              <w:rPr>
                <w:rFonts w:ascii="Arial" w:cs="Arial" w:eastAsia="Arial" w:hAnsi="Arial"/>
                <w:b/>
                <w:bCs/>
                <w:sz w:val="20"/>
                <w:szCs w:val="20"/>
              </w:rPr>
              <w:t xml:space="preserve">Brian Walcott, ABW Luxury Limousine Service</w:t>
            </w:r>
          </w:p>
          <w:p>
            <w:pPr>
              <w:spacing w:before="200"/>
            </w:pPr>
            <w:r>
              <w:rPr>
                <w:rFonts w:ascii="Arial" w:cs="Arial" w:eastAsia="Arial" w:hAnsi="Arial"/>
                <w:color w:val="1A1A1A"/>
                <w:sz w:val="22"/>
                <w:szCs w:val="22"/>
              </w:rPr>
              <w:t xml:space="preserve">__________________________________________</w:t>
            </w:r>
          </w:p>
          <w:p>
            <w:pPr>
              <w:spacing w:before="60"/>
            </w:pPr>
            <w:r>
              <w:rPr>
                <w:rFonts w:ascii="Arial" w:cs="Arial" w:eastAsia="Arial" w:hAnsi="Arial"/>
                <w:b/>
                <w:bCs/>
                <w:sz w:val="20"/>
                <w:szCs w:val="20"/>
              </w:rPr>
              <w:t xml:space="preserve">Date</w:t>
            </w:r>
          </w:p>
        </w:tc>
      </w:tr>
    </w:tbl>
    <w:p>
      <w:pPr>
        <w:spacing w:after="80" w:before="80"/>
      </w:pPr>
      <w:r>
        <w:rPr>
          <w:rFonts w:ascii="Arial" w:cs="Arial" w:eastAsia="Arial" w:hAnsi="Arial"/>
          <w:color w:val="1A1A1A"/>
          <w:sz w:val="22"/>
          <w:szCs w:val="22"/>
        </w:rPr>
        <w:t xml:space="preserve"/>
      </w:r>
    </w:p>
    <w:p>
      <w:pPr>
        <w:pBdr>
          <w:bottom w:val="single" w:color="C9A84C" w:sz="6" w:space="1"/>
        </w:pBdr>
        <w:spacing w:after="180" w:before="180"/>
      </w:pPr>
    </w:p>
    <w:p>
      <w:pPr>
        <w:spacing w:after="0" w:before="80"/>
        <w:jc w:val="center"/>
      </w:pPr>
      <w:r>
        <w:rPr>
          <w:rFonts w:ascii="Arial" w:cs="Arial" w:eastAsia="Arial" w:hAnsi="Arial"/>
          <w:i/>
          <w:iCs/>
          <w:color w:val="888888"/>
          <w:sz w:val="18"/>
          <w:szCs w:val="18"/>
        </w:rPr>
        <w:t xml:space="preserve">ABW Luxury Limousine Service  |  Orlando, Florida  |  Where every client receives the royal treatment.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ABW Luxury Limousine Service   |   Orlando, Florida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0"/>
      <w:jc w:val="right"/>
    </w:pPr>
    <w:r>
      <w:rPr>
        <w:rFonts w:ascii="Arial" w:cs="Arial" w:eastAsia="Arial" w:hAnsi="Arial"/>
        <w:i/>
        <w:iCs/>
        <w:color w:val="888888"/>
        <w:sz w:val="18"/>
        <w:szCs w:val="18"/>
      </w:rPr>
      <w:t xml:space="preserve">ABW Luxury Limousine Service  |  Terms &amp; Conditions  |  Orlando, Florida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2026-07-07T21:41:14.707Z</dcterms:created>
  <dcterms:modified xsi:type="dcterms:W3CDTF">2026-07-07T21:41:14.708Z</dcterms:modified>
</cp:coreProperties>
</file>

<file path=docProps/custom.xml><?xml version="1.0" encoding="utf-8"?>
<Properties xmlns="http://schemas.openxmlformats.org/officeDocument/2006/custom-properties" xmlns:vt="http://schemas.openxmlformats.org/officeDocument/2006/docPropsVTypes"/>
</file>