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bb07b" w:sz="16"/>
        </w:pBdr>
        <w:shd w:fill="1d3557" w:val="clear"/>
        <w:spacing w:after="0" w:before="0"/>
        <w:jc w:val="center"/>
      </w:pPr>
      <w:r>
        <w:rPr>
          <w:b/>
          <w:bCs/>
          <w:caps/>
          <w:color w:val="FFFFFF"/>
          <w:sz w:val="34"/>
          <w:szCs w:val="34"/>
        </w:rPr>
        <w:t xml:space="preserve">AI GLAMTECH EMPIRE™</w:t>
      </w:r>
    </w:p>
    <w:p>
      <w:pPr>
        <w:shd w:fill="1d3557" w:val="clear"/>
        <w:spacing w:after="0" w:before="0"/>
        <w:jc w:val="center"/>
      </w:pPr>
      <w:r>
        <w:rPr>
          <w:i/>
          <w:iCs/>
          <w:color w:val="FFFFFF"/>
          <w:sz w:val="20"/>
          <w:szCs w:val="20"/>
        </w:rPr>
        <w:t xml:space="preserve">AI Agentic Systems for Service Businesses</w:t>
      </w:r>
    </w:p>
    <w:p>
      <w:pPr>
        <w:spacing w:after="40" w:before="0"/>
      </w:pPr>
    </w:p>
    <w:p>
      <w:pPr>
        <w:spacing w:after="40" w:before="160"/>
        <w:jc w:val="center"/>
      </w:pPr>
      <w:r>
        <w:rPr>
          <w:b/>
          <w:bCs/>
          <w:caps/>
          <w:color w:val="1d3557"/>
          <w:sz w:val="36"/>
          <w:szCs w:val="36"/>
        </w:rPr>
        <w:t xml:space="preserve">SERVICE AGREEMENT</w:t>
      </w:r>
    </w:p>
    <w:p>
      <w:pPr>
        <w:spacing w:after="200" w:before="0"/>
        <w:jc w:val="center"/>
      </w:pPr>
      <w:r>
        <w:rPr>
          <w:i/>
          <w:iCs/>
          <w:color w:val="6b7280"/>
          <w:sz w:val="20"/>
          <w:szCs w:val="20"/>
        </w:rPr>
        <w:t xml:space="preserve">AI Receptionist | CRM | Booking Automation | Payment Infrastructure</w:t>
      </w:r>
    </w:p>
    <w:p>
      <w:pPr>
        <w:pBdr>
          <w:bottom w:val="single" w:color="cbb07b" w:sz="8"/>
        </w:pBdr>
        <w:spacing w:after="100" w:before="280"/>
      </w:pPr>
      <w:r>
        <w:rPr>
          <w:b/>
          <w:bCs/>
          <w:caps/>
          <w:color w:val="1d3557"/>
          <w:sz w:val="24"/>
          <w:szCs w:val="24"/>
        </w:rPr>
        <w:t xml:space="preserve">1.  Parties</w:t>
      </w:r>
    </w:p>
    <w:p>
      <w:pPr>
        <w:spacing w:after="60" w:before="0"/>
      </w:pPr>
    </w:p>
    <w:p>
      <w:pPr>
        <w:spacing w:after="60" w:before="200"/>
      </w:pPr>
      <w:r>
        <w:rPr>
          <w:b/>
          <w:bCs/>
          <w:color w:val="1d3557"/>
          <w:sz w:val="22"/>
          <w:szCs w:val="22"/>
        </w:rPr>
        <w:t xml:space="preserve">Service Provider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tcBorders>
              <w:top w:val="none"/>
              <w:left w:val="none"/>
              <w:bottom w:val="none"/>
              <w:right w:val="none"/>
            </w:tcBorders>
            <w:shd w:fill="f8f4ef" w:val="clear"/>
          </w:tcPr>
          <w:p>
            <w:pPr>
              <w:spacing w:after="40" w:before="40"/>
            </w:pPr>
            <w:r>
              <w:rPr>
                <w:b/>
                <w:bCs/>
                <w:color w:val="1d3557"/>
                <w:sz w:val="19"/>
                <w:szCs w:val="19"/>
              </w:rPr>
              <w:t xml:space="preserve">Company:</w:t>
            </w:r>
          </w:p>
        </w:tc>
        <w:tc>
          <w:tcPr>
            <w:tcW w:type="dxa" w:w="7200"/>
            <w:tcBorders>
              <w:top w:val="none"/>
              <w:left w:val="none"/>
              <w:bottom w:val="none"/>
              <w:right w:val="none"/>
            </w:tcBorders>
          </w:tcPr>
          <w:p>
            <w:pPr>
              <w:spacing w:after="40" w:before="40"/>
            </w:pPr>
            <w:r>
              <w:rPr>
                <w:color w:val="111827"/>
                <w:sz w:val="19"/>
                <w:szCs w:val="19"/>
              </w:rPr>
              <w:t xml:space="preserve">AI GlamTech Empire™</w:t>
            </w:r>
          </w:p>
        </w:tc>
      </w:tr>
      <w:tr>
        <w:tc>
          <w:tcPr>
            <w:tcW w:type="dxa" w:w="2500"/>
            <w:tcBorders>
              <w:top w:val="none"/>
              <w:left w:val="none"/>
              <w:bottom w:val="none"/>
              <w:right w:val="none"/>
            </w:tcBorders>
            <w:shd w:fill="f8f4ef" w:val="clear"/>
          </w:tcPr>
          <w:p>
            <w:pPr>
              <w:spacing w:after="40" w:before="40"/>
            </w:pPr>
            <w:r>
              <w:rPr>
                <w:b/>
                <w:bCs/>
                <w:color w:val="1d3557"/>
                <w:sz w:val="19"/>
                <w:szCs w:val="19"/>
              </w:rPr>
              <w:t xml:space="preserve">Operated by:</w:t>
            </w:r>
          </w:p>
        </w:tc>
        <w:tc>
          <w:tcPr>
            <w:tcW w:type="dxa" w:w="7200"/>
            <w:tcBorders>
              <w:top w:val="none"/>
              <w:left w:val="none"/>
              <w:bottom w:val="none"/>
              <w:right w:val="none"/>
            </w:tcBorders>
          </w:tcPr>
          <w:p>
            <w:pPr>
              <w:spacing w:after="40" w:before="40"/>
            </w:pPr>
            <w:r>
              <w:rPr>
                <w:color w:val="111827"/>
                <w:sz w:val="19"/>
                <w:szCs w:val="19"/>
              </w:rPr>
              <w:t xml:space="preserve">Pinky Floyd (Casandra Riley)</w:t>
            </w:r>
          </w:p>
        </w:tc>
      </w:tr>
      <w:tr>
        <w:tc>
          <w:tcPr>
            <w:tcW w:type="dxa" w:w="2500"/>
            <w:tcBorders>
              <w:top w:val="none"/>
              <w:left w:val="none"/>
              <w:bottom w:val="none"/>
              <w:right w:val="none"/>
            </w:tcBorders>
            <w:shd w:fill="f8f4ef" w:val="clear"/>
          </w:tcPr>
          <w:p>
            <w:pPr>
              <w:spacing w:after="40" w:before="40"/>
            </w:pPr>
            <w:r>
              <w:rPr>
                <w:b/>
                <w:bCs/>
                <w:color w:val="1d3557"/>
                <w:sz w:val="19"/>
                <w:szCs w:val="19"/>
              </w:rPr>
              <w:t xml:space="preserve">Contact:</w:t>
            </w:r>
          </w:p>
        </w:tc>
        <w:tc>
          <w:tcPr>
            <w:tcW w:type="dxa" w:w="7200"/>
            <w:tcBorders>
              <w:top w:val="none"/>
              <w:left w:val="none"/>
              <w:bottom w:val="none"/>
              <w:right w:val="none"/>
            </w:tcBorders>
          </w:tcPr>
          <w:p>
            <w:pPr>
              <w:spacing w:after="40" w:before="40"/>
            </w:pPr>
            <w:r>
              <w:rPr>
                <w:color w:val="111827"/>
                <w:sz w:val="19"/>
                <w:szCs w:val="19"/>
              </w:rPr>
              <w:t xml:space="preserve">pinky@aiglamtechempire.com</w:t>
            </w:r>
          </w:p>
        </w:tc>
      </w:tr>
    </w:tbl>
    <w:p>
      <w:pPr>
        <w:spacing w:after="80" w:before="0"/>
      </w:pPr>
    </w:p>
    <w:p>
      <w:pPr>
        <w:spacing w:after="60" w:before="200"/>
      </w:pPr>
      <w:r>
        <w:rPr>
          <w:b/>
          <w:bCs/>
          <w:color w:val="1d3557"/>
          <w:sz w:val="22"/>
          <w:szCs w:val="22"/>
        </w:rPr>
        <w:t xml:space="preserve">Client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tcBorders>
              <w:top w:val="none"/>
              <w:left w:val="none"/>
              <w:bottom w:val="none"/>
              <w:right w:val="none"/>
            </w:tcBorders>
            <w:shd w:fill="f8f4ef" w:val="clear"/>
          </w:tcPr>
          <w:p>
            <w:pPr>
              <w:spacing w:after="40" w:before="40"/>
            </w:pPr>
            <w:r>
              <w:rPr>
                <w:b/>
                <w:bCs/>
                <w:color w:val="1d3557"/>
                <w:sz w:val="19"/>
                <w:szCs w:val="19"/>
              </w:rPr>
              <w:t xml:space="preserve">Name:</w:t>
            </w:r>
          </w:p>
        </w:tc>
        <w:tc>
          <w:tcPr>
            <w:tcW w:type="dxa" w:w="7200"/>
            <w:tcBorders>
              <w:top w:val="none"/>
              <w:left w:val="none"/>
              <w:bottom w:val="none"/>
              <w:right w:val="none"/>
            </w:tcBorders>
          </w:tcPr>
          <w:p>
            <w:pPr>
              <w:spacing w:after="40" w:before="40"/>
            </w:pPr>
            <w:r>
              <w:rPr>
                <w:color w:val="111827"/>
                <w:sz w:val="19"/>
                <w:szCs w:val="19"/>
              </w:rPr>
              <w:t xml:space="preserve">Brian Walcott</w:t>
            </w:r>
          </w:p>
        </w:tc>
      </w:tr>
      <w:tr>
        <w:tc>
          <w:tcPr>
            <w:tcW w:type="dxa" w:w="2500"/>
            <w:tcBorders>
              <w:top w:val="none"/>
              <w:left w:val="none"/>
              <w:bottom w:val="none"/>
              <w:right w:val="none"/>
            </w:tcBorders>
            <w:shd w:fill="f8f4ef" w:val="clear"/>
          </w:tcPr>
          <w:p>
            <w:pPr>
              <w:spacing w:after="40" w:before="40"/>
            </w:pPr>
            <w:r>
              <w:rPr>
                <w:b/>
                <w:bCs/>
                <w:color w:val="1d3557"/>
                <w:sz w:val="19"/>
                <w:szCs w:val="19"/>
              </w:rPr>
              <w:t xml:space="preserve">Business:</w:t>
            </w:r>
          </w:p>
        </w:tc>
        <w:tc>
          <w:tcPr>
            <w:tcW w:type="dxa" w:w="7200"/>
            <w:tcBorders>
              <w:top w:val="none"/>
              <w:left w:val="none"/>
              <w:bottom w:val="none"/>
              <w:right w:val="none"/>
            </w:tcBorders>
          </w:tcPr>
          <w:p>
            <w:pPr>
              <w:spacing w:after="40" w:before="40"/>
            </w:pPr>
            <w:r>
              <w:rPr>
                <w:color w:val="111827"/>
                <w:sz w:val="19"/>
                <w:szCs w:val="19"/>
              </w:rPr>
              <w:t xml:space="preserve">Paradise Transportation of Central Florida, Inc. (d/b/a ABW Luxury Limousine Service)</w:t>
            </w:r>
          </w:p>
        </w:tc>
      </w:tr>
      <w:tr>
        <w:tc>
          <w:tcPr>
            <w:tcW w:type="dxa" w:w="2500"/>
            <w:tcBorders>
              <w:top w:val="none"/>
              <w:left w:val="none"/>
              <w:bottom w:val="none"/>
              <w:right w:val="none"/>
            </w:tcBorders>
            <w:shd w:fill="f8f4ef" w:val="clear"/>
          </w:tcPr>
          <w:p>
            <w:pPr>
              <w:spacing w:after="40" w:before="40"/>
            </w:pPr>
            <w:r>
              <w:rPr>
                <w:b/>
                <w:bCs/>
                <w:color w:val="1d3557"/>
                <w:sz w:val="19"/>
                <w:szCs w:val="19"/>
              </w:rPr>
              <w:t xml:space="preserve">Location:</w:t>
            </w:r>
          </w:p>
        </w:tc>
        <w:tc>
          <w:tcPr>
            <w:tcW w:type="dxa" w:w="7200"/>
            <w:tcBorders>
              <w:top w:val="none"/>
              <w:left w:val="none"/>
              <w:bottom w:val="none"/>
              <w:right w:val="none"/>
            </w:tcBorders>
          </w:tcPr>
          <w:p>
            <w:pPr>
              <w:spacing w:after="40" w:before="40"/>
            </w:pPr>
            <w:r>
              <w:rPr>
                <w:color w:val="111827"/>
                <w:sz w:val="19"/>
                <w:szCs w:val="19"/>
              </w:rPr>
              <w:t xml:space="preserve">Orlando, Florida</w:t>
            </w:r>
          </w:p>
        </w:tc>
      </w:tr>
    </w:tbl>
    <w:p>
      <w:pPr>
        <w:spacing w:after="80" w:before="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tcBorders>
              <w:top w:val="none"/>
              <w:left w:val="none"/>
              <w:bottom w:val="none"/>
              <w:right w:val="none"/>
            </w:tcBorders>
            <w:shd w:fill="f8f4ef" w:val="clear"/>
          </w:tcPr>
          <w:p>
            <w:pPr>
              <w:spacing w:after="40" w:before="40"/>
            </w:pPr>
            <w:r>
              <w:rPr>
                <w:b/>
                <w:bCs/>
                <w:color w:val="1d3557"/>
                <w:sz w:val="19"/>
                <w:szCs w:val="19"/>
              </w:rPr>
              <w:t xml:space="preserve">Effective Date:</w:t>
            </w:r>
          </w:p>
        </w:tc>
        <w:tc>
          <w:tcPr>
            <w:tcW w:type="dxa" w:w="7200"/>
            <w:tcBorders>
              <w:top w:val="none"/>
              <w:left w:val="none"/>
              <w:bottom w:val="none"/>
              <w:right w:val="none"/>
            </w:tcBorders>
          </w:tcPr>
          <w:p>
            <w:pPr>
              <w:spacing w:after="40" w:before="40"/>
            </w:pPr>
            <w:r>
              <w:rPr>
                <w:color w:val="111827"/>
                <w:sz w:val="19"/>
                <w:szCs w:val="19"/>
              </w:rPr>
              <w:t xml:space="preserve"/>
            </w:r>
          </w:p>
        </w:tc>
      </w:tr>
      <w:tr>
        <w:tc>
          <w:tcPr>
            <w:tcW w:type="dxa" w:w="2500"/>
            <w:tcBorders>
              <w:top w:val="none"/>
              <w:left w:val="none"/>
              <w:bottom w:val="none"/>
              <w:right w:val="none"/>
            </w:tcBorders>
            <w:shd w:fill="f8f4ef" w:val="clear"/>
          </w:tcPr>
          <w:p>
            <w:pPr>
              <w:spacing w:after="40" w:before="40"/>
            </w:pPr>
            <w:r>
              <w:rPr>
                <w:b/>
                <w:bCs/>
                <w:color w:val="1d3557"/>
                <w:sz w:val="19"/>
                <w:szCs w:val="19"/>
              </w:rPr>
              <w:t xml:space="preserve">Agreement Type:</w:t>
            </w:r>
          </w:p>
        </w:tc>
        <w:tc>
          <w:tcPr>
            <w:tcW w:type="dxa" w:w="7200"/>
            <w:tcBorders>
              <w:top w:val="none"/>
              <w:left w:val="none"/>
              <w:bottom w:val="none"/>
              <w:right w:val="none"/>
            </w:tcBorders>
          </w:tcPr>
          <w:p>
            <w:pPr>
              <w:spacing w:after="40" w:before="40"/>
            </w:pPr>
            <w:r>
              <w:rPr>
                <w:color w:val="111827"/>
                <w:sz w:val="19"/>
                <w:szCs w:val="19"/>
              </w:rPr>
              <w:t xml:space="preserve">Phase 1 — AI Receptionist &amp; CRM Build</w:t>
            </w:r>
          </w:p>
        </w:tc>
      </w:tr>
    </w:tbl>
    <w:p>
      <w:pPr>
        <w:spacing w:after="60" w:before="120"/>
        <w:pBdr>
          <w:left w:val="single" w:color="C9A84C" w:sz="6" w:space="4"/>
        </w:pBdr>
      </w:pPr>
      <w:r>
        <w:rPr>
          <w:i/>
          <w:iCs/>
          <w:color w:val="444444"/>
          <w:sz w:val="18"/>
          <w:szCs w:val="18"/>
        </w:rPr>
        <w:t xml:space="preserve">Name Clarification: For the purposes of this Agreement, “Pinky Floyd” is the professional and operating name of Casandra Riley. The names “Pinky Floyd” and “Casandra Riley” refer to the same individual. All rights, obligations, and representations attributed to “Pinky Floyd,” “AI GlamTech Empire™,” or “Provider” in this Agreement are made by and are legally binding upon Casandra Riley.</w:t>
      </w:r>
    </w:p>
    <w:p>
      <w:pPr>
        <w:spacing w:after="80" w:before="0"/>
      </w:pPr>
    </w:p>
    <w:p>
      <w:pPr>
        <w:pBdr>
          <w:bottom w:val="single" w:color="cbb07b" w:sz="8"/>
        </w:pBdr>
        <w:spacing w:after="100" w:before="280"/>
      </w:pPr>
      <w:r>
        <w:rPr>
          <w:b/>
          <w:bCs/>
          <w:caps/>
          <w:color w:val="1d3557"/>
          <w:sz w:val="24"/>
          <w:szCs w:val="24"/>
        </w:rPr>
        <w:t xml:space="preserve">2.  Scope of Services — Phase 1</w:t>
      </w:r>
    </w:p>
    <w:p>
      <w:pPr>
        <w:spacing w:after="60" w:before="60"/>
      </w:pPr>
      <w:r>
        <w:rPr>
          <w:color w:val="111827"/>
          <w:sz w:val="20"/>
          <w:szCs w:val="20"/>
        </w:rPr>
        <w:t xml:space="preserve">Provider agrees to design, build, configure, and hand off the following systems during Phase 1:</w:t>
      </w:r>
    </w:p>
    <w:p>
      <w:pPr>
        <w:spacing w:after="60" w:before="0"/>
      </w:pPr>
    </w:p>
    <w:p>
      <w:pPr>
        <w:spacing w:after="60" w:before="200"/>
      </w:pPr>
      <w:r>
        <w:rPr>
          <w:b/>
          <w:bCs/>
          <w:color w:val="1d3557"/>
          <w:sz w:val="22"/>
          <w:szCs w:val="22"/>
        </w:rPr>
        <w:t xml:space="preserve">A.  AI Receptionist — ADESINA™ (11Labs)</w:t>
      </w:r>
    </w:p>
    <w:p>
      <w:pPr>
        <w:spacing w:after="40" w:before="40"/>
        <w:ind w:left="360"/>
      </w:pPr>
      <w:r>
        <w:rPr>
          <w:color w:val="111827"/>
          <w:sz w:val="20"/>
          <w:szCs w:val="20"/>
        </w:rPr>
        <w:t xml:space="preserve">•  Configure and launch ADESINA, Client's AI voice receptionist on ElevenLabs ConvAI</w:t>
      </w:r>
    </w:p>
    <w:p>
      <w:pPr>
        <w:spacing w:after="40" w:before="40"/>
        <w:ind w:left="360"/>
      </w:pPr>
      <w:r>
        <w:rPr>
          <w:color w:val="111827"/>
          <w:sz w:val="20"/>
          <w:szCs w:val="20"/>
        </w:rPr>
        <w:t xml:space="preserve">•  Custom system prompt: collects passenger name, pickup/destination, date/time, special needs, group size</w:t>
      </w:r>
    </w:p>
    <w:p>
      <w:pPr>
        <w:spacing w:after="40" w:before="40"/>
        <w:ind w:left="360"/>
      </w:pPr>
      <w:r>
        <w:rPr>
          <w:color w:val="111827"/>
          <w:sz w:val="20"/>
          <w:szCs w:val="20"/>
        </w:rPr>
        <w:t xml:space="preserve">•  Calculates pickup times using worst-case Florida route travel times + 1-hour VIP buffer</w:t>
      </w:r>
    </w:p>
    <w:p>
      <w:pPr>
        <w:spacing w:after="40" w:before="40"/>
        <w:ind w:left="360"/>
      </w:pPr>
      <w:r>
        <w:rPr>
          <w:color w:val="111827"/>
          <w:sz w:val="20"/>
          <w:szCs w:val="20"/>
        </w:rPr>
        <w:t xml:space="preserve">•  Discloses multi-day and overnight fees automatically</w:t>
      </w:r>
    </w:p>
    <w:p>
      <w:pPr>
        <w:spacing w:after="40" w:before="40"/>
        <w:ind w:left="360"/>
      </w:pPr>
      <w:r>
        <w:rPr>
          <w:color w:val="111827"/>
          <w:sz w:val="20"/>
          <w:szCs w:val="20"/>
        </w:rPr>
        <w:t xml:space="preserve">•  Closing script confirms reservation and notifies caller that text + email with agreement and payment link are on the way</w:t>
      </w:r>
    </w:p>
    <w:p>
      <w:pPr>
        <w:spacing w:after="40" w:before="40"/>
        <w:ind w:left="360"/>
      </w:pPr>
      <w:r>
        <w:rPr>
          <w:color w:val="111827"/>
          <w:sz w:val="20"/>
          <w:szCs w:val="20"/>
        </w:rPr>
        <w:t xml:space="preserve">•  Ongoing tuning and script adjustments included in monthly AI System Care retainer (see Section 3C)</w:t>
      </w:r>
    </w:p>
    <w:p>
      <w:pPr>
        <w:spacing w:after="60" w:before="0"/>
      </w:pPr>
    </w:p>
    <w:p>
      <w:pPr>
        <w:spacing w:after="60" w:before="200"/>
      </w:pPr>
      <w:r>
        <w:rPr>
          <w:b/>
          <w:bCs/>
          <w:color w:val="1d3557"/>
          <w:sz w:val="22"/>
          <w:szCs w:val="22"/>
        </w:rPr>
        <w:t xml:space="preserve">B.  Phone Integration — Twilio</w:t>
      </w:r>
    </w:p>
    <w:p>
      <w:pPr>
        <w:spacing w:after="40" w:before="40"/>
        <w:ind w:left="360"/>
      </w:pPr>
      <w:r>
        <w:rPr>
          <w:color w:val="111827"/>
          <w:sz w:val="20"/>
          <w:szCs w:val="20"/>
        </w:rPr>
        <w:t xml:space="preserve">•  Set up Twilio account under Client's name</w:t>
      </w:r>
    </w:p>
    <w:p>
      <w:pPr>
        <w:spacing w:after="40" w:before="40"/>
        <w:ind w:left="360"/>
      </w:pPr>
      <w:r>
        <w:rPr>
          <w:color w:val="111827"/>
          <w:sz w:val="20"/>
          <w:szCs w:val="20"/>
        </w:rPr>
        <w:t xml:space="preserve">•  Provision an Orlando-area phone number (407 or 321 area code)</w:t>
      </w:r>
    </w:p>
    <w:p>
      <w:pPr>
        <w:spacing w:after="40" w:before="40"/>
        <w:ind w:left="360"/>
      </w:pPr>
      <w:r>
        <w:rPr>
          <w:color w:val="111827"/>
          <w:sz w:val="20"/>
          <w:szCs w:val="20"/>
        </w:rPr>
        <w:t xml:space="preserve">•  Connect Twilio number to ADESINA so ADESINA receives all inbound calls</w:t>
      </w:r>
    </w:p>
    <w:p>
      <w:pPr>
        <w:spacing w:after="40" w:before="40"/>
        <w:ind w:left="360"/>
      </w:pPr>
      <w:r>
        <w:rPr>
          <w:color w:val="111827"/>
          <w:sz w:val="20"/>
          <w:szCs w:val="20"/>
        </w:rPr>
        <w:t xml:space="preserve">•  Deliver Account SID and Auth Token to Client upon project completion</w:t>
      </w:r>
    </w:p>
    <w:p>
      <w:pPr>
        <w:spacing w:after="60" w:before="0"/>
      </w:pPr>
    </w:p>
    <w:p>
      <w:pPr>
        <w:spacing w:after="60" w:before="200"/>
      </w:pPr>
      <w:r>
        <w:rPr>
          <w:b/>
          <w:bCs/>
          <w:color w:val="1d3557"/>
          <w:sz w:val="22"/>
          <w:szCs w:val="22"/>
        </w:rPr>
        <w:t xml:space="preserve">C.  CRM — GoHighLevel (GHL)</w:t>
      </w:r>
    </w:p>
    <w:p>
      <w:pPr>
        <w:spacing w:after="40" w:before="40"/>
        <w:ind w:left="360"/>
      </w:pPr>
      <w:r>
        <w:rPr>
          <w:color w:val="111827"/>
          <w:sz w:val="20"/>
          <w:szCs w:val="20"/>
        </w:rPr>
        <w:t xml:space="preserve">•  Create Client's dedicated GHL subaccount under AI GlamTech Empire™ parent account</w:t>
      </w:r>
    </w:p>
    <w:p>
      <w:pPr>
        <w:spacing w:after="40" w:before="40"/>
        <w:ind w:left="360"/>
      </w:pPr>
      <w:r>
        <w:rPr>
          <w:color w:val="111827"/>
          <w:sz w:val="20"/>
          <w:szCs w:val="20"/>
        </w:rPr>
        <w:t xml:space="preserve">•  Connect Client's Gmail account to GHL for email sending</w:t>
      </w:r>
    </w:p>
    <w:p>
      <w:pPr>
        <w:spacing w:after="40" w:before="40"/>
        <w:ind w:left="360"/>
      </w:pPr>
      <w:r>
        <w:rPr>
          <w:color w:val="111827"/>
          <w:sz w:val="20"/>
          <w:szCs w:val="20"/>
        </w:rPr>
        <w:t xml:space="preserve">•  Build contact pipeline: Lead → Inquiry → Booked → Confirmed → Completed</w:t>
      </w:r>
    </w:p>
    <w:p>
      <w:pPr>
        <w:spacing w:after="40" w:before="40"/>
        <w:ind w:left="360"/>
      </w:pPr>
      <w:r>
        <w:rPr>
          <w:color w:val="111827"/>
          <w:sz w:val="20"/>
          <w:szCs w:val="20"/>
        </w:rPr>
        <w:t xml:space="preserve">•  Configure automated SMS + email sequence triggered post-call by ADESINA</w:t>
      </w:r>
    </w:p>
    <w:p>
      <w:pPr>
        <w:spacing w:after="40" w:before="40"/>
        <w:ind w:left="360"/>
      </w:pPr>
      <w:r>
        <w:rPr>
          <w:color w:val="111827"/>
          <w:sz w:val="20"/>
          <w:szCs w:val="20"/>
        </w:rPr>
        <w:t xml:space="preserve">•  Load service agreement link and Stripe payment link into automation</w:t>
      </w:r>
    </w:p>
    <w:p>
      <w:pPr>
        <w:spacing w:after="60" w:before="0"/>
      </w:pPr>
    </w:p>
    <w:p>
      <w:pPr>
        <w:spacing w:after="60" w:before="200"/>
      </w:pPr>
      <w:r>
        <w:rPr>
          <w:b/>
          <w:bCs/>
          <w:color w:val="1d3557"/>
          <w:sz w:val="22"/>
          <w:szCs w:val="22"/>
        </w:rPr>
        <w:t xml:space="preserve">D.  Workflow Automation — N8N (Post-Call Only)</w:t>
      </w:r>
    </w:p>
    <w:p>
      <w:pPr>
        <w:spacing w:after="40" w:before="40"/>
        <w:ind w:left="360"/>
      </w:pPr>
      <w:r>
        <w:rPr>
          <w:color w:val="111827"/>
          <w:sz w:val="20"/>
          <w:szCs w:val="20"/>
        </w:rPr>
        <w:t xml:space="preserve">•  Post-Call Workflow: ADESINA call ends → N8N webhook fires → GHL contact created → SMS + email sent to passenger with: (a) booking summary, (b) service agreement link, (c) Stripe secure payment link</w:t>
      </w:r>
    </w:p>
    <w:p>
      <w:pPr>
        <w:spacing w:after="40" w:before="40"/>
        <w:ind w:left="360"/>
      </w:pPr>
      <w:r>
        <w:rPr>
          <w:color w:val="111827"/>
          <w:sz w:val="20"/>
          <w:szCs w:val="20"/>
        </w:rPr>
        <w:t xml:space="preserve">•  Refund Approval Workflow: Client receives automated prompt via text/email to approve or deny passenger refund requests; Provider never approves or denies refunds independently</w:t>
      </w:r>
    </w:p>
    <w:p>
      <w:pPr>
        <w:spacing w:after="60" w:before="0"/>
      </w:pPr>
    </w:p>
    <w:p>
      <w:pPr>
        <w:spacing w:after="60" w:before="200"/>
      </w:pPr>
      <w:r>
        <w:rPr>
          <w:b/>
          <w:bCs/>
          <w:color w:val="1d3557"/>
          <w:sz w:val="22"/>
          <w:szCs w:val="22"/>
        </w:rPr>
        <w:t xml:space="preserve">E.  Payments — Stripe</w:t>
      </w:r>
    </w:p>
    <w:p>
      <w:pPr>
        <w:spacing w:after="40" w:before="40"/>
        <w:ind w:left="360"/>
      </w:pPr>
      <w:r>
        <w:rPr>
          <w:color w:val="111827"/>
          <w:sz w:val="20"/>
          <w:szCs w:val="20"/>
        </w:rPr>
        <w:t xml:space="preserve">•  Set up Stripe account in Client's name</w:t>
      </w:r>
    </w:p>
    <w:p>
      <w:pPr>
        <w:spacing w:after="40" w:before="40"/>
        <w:ind w:left="360"/>
      </w:pPr>
      <w:r>
        <w:rPr>
          <w:color w:val="111827"/>
          <w:sz w:val="20"/>
          <w:szCs w:val="20"/>
        </w:rPr>
        <w:t xml:space="preserve">•  Enable card, Apple Pay, Google Pay, and ACH bank transfer</w:t>
      </w:r>
    </w:p>
    <w:p>
      <w:pPr>
        <w:spacing w:after="40" w:before="40"/>
        <w:ind w:left="360"/>
      </w:pPr>
      <w:r>
        <w:rPr>
          <w:color w:val="111827"/>
          <w:sz w:val="20"/>
          <w:szCs w:val="20"/>
        </w:rPr>
        <w:t xml:space="preserve">•  Create standard payment link for booking deposits (50%)</w:t>
      </w:r>
    </w:p>
    <w:p>
      <w:pPr>
        <w:spacing w:after="40" w:before="40"/>
        <w:ind w:left="360"/>
      </w:pPr>
      <w:r>
        <w:rPr>
          <w:color w:val="111827"/>
          <w:sz w:val="20"/>
          <w:szCs w:val="20"/>
        </w:rPr>
        <w:t xml:space="preserve">•  Connect Stripe payment link to GHL/N8N post-call automation</w:t>
      </w:r>
    </w:p>
    <w:p>
      <w:pPr>
        <w:spacing w:after="60" w:before="0"/>
      </w:pPr>
    </w:p>
    <w:p>
      <w:pPr>
        <w:spacing w:after="60" w:before="200"/>
      </w:pPr>
      <w:r>
        <w:rPr>
          <w:b/>
          <w:bCs/>
          <w:color w:val="1d3557"/>
          <w:sz w:val="22"/>
          <w:szCs w:val="22"/>
        </w:rPr>
        <w:t xml:space="preserve">F.  Digital Identity</w:t>
      </w:r>
    </w:p>
    <w:p>
      <w:pPr>
        <w:spacing w:after="40" w:before="40"/>
        <w:ind w:left="360"/>
      </w:pPr>
      <w:r>
        <w:rPr>
          <w:color w:val="111827"/>
          <w:sz w:val="20"/>
          <w:szCs w:val="20"/>
        </w:rPr>
        <w:t xml:space="preserve">•  Design and generate a branded QR code linking to Client's booking number or GHL form</w:t>
      </w:r>
    </w:p>
    <w:p>
      <w:pPr>
        <w:spacing w:after="40" w:before="40"/>
        <w:ind w:left="360"/>
      </w:pPr>
      <w:r>
        <w:rPr>
          <w:color w:val="111827"/>
          <w:sz w:val="20"/>
          <w:szCs w:val="20"/>
        </w:rPr>
        <w:t xml:space="preserve">•  Formatted for website display and printed business cards</w:t>
      </w:r>
    </w:p>
    <w:p>
      <w:pPr>
        <w:spacing w:after="40" w:before="40"/>
        <w:ind w:left="360"/>
      </w:pPr>
      <w:r>
        <w:rPr>
          <w:color w:val="111827"/>
          <w:sz w:val="20"/>
          <w:szCs w:val="20"/>
        </w:rPr>
        <w:t xml:space="preserve">•  Set up Dot Card (digital business card) linked to booking and contact info</w:t>
      </w:r>
    </w:p>
    <w:p>
      <w:pPr>
        <w:spacing w:after="40" w:before="40"/>
        <w:ind w:left="360"/>
      </w:pPr>
      <w:r>
        <w:rPr>
          <w:color w:val="111827"/>
          <w:sz w:val="20"/>
          <w:szCs w:val="20"/>
        </w:rPr>
        <w:t xml:space="preserve">•  Client is responsible for Dot Card subscription fees directly</w:t>
      </w:r>
    </w:p>
    <w:p>
      <w:pPr>
        <w:spacing w:after="60" w:before="0"/>
      </w:pPr>
    </w:p>
    <w:p>
      <w:pPr>
        <w:spacing w:after="60" w:before="60"/>
      </w:pPr>
      <w:r>
        <w:rPr>
          <w:i/>
          <w:iCs/>
          <w:color w:val="6b7280"/>
          <w:sz w:val="20"/>
          <w:szCs w:val="20"/>
        </w:rPr>
        <w:t xml:space="preserve">Note: The following are NOT included in Phase 1 and are available as separate engagements: social media management, lead generation/scraping, paid advertising, Google Business Profile setup, full website redesign. See Section 7 (Out of Scope).</w:t>
      </w:r>
    </w:p>
    <w:p>
      <w:pPr>
        <w:spacing w:after="80" w:before="0"/>
      </w:pPr>
    </w:p>
    <w:p>
      <w:pPr>
        <w:pBdr>
          <w:bottom w:val="single" w:color="cbb07b" w:sz="8"/>
        </w:pBdr>
        <w:spacing w:after="100" w:before="280"/>
      </w:pPr>
      <w:r>
        <w:rPr>
          <w:b/>
          <w:bCs/>
          <w:caps/>
          <w:color w:val="1d3557"/>
          <w:sz w:val="24"/>
          <w:szCs w:val="24"/>
        </w:rPr>
        <w:t xml:space="preserve">3.  Fees &amp; Payment</w:t>
      </w:r>
    </w:p>
    <w:p>
      <w:pPr>
        <w:spacing w:after="60" w:before="0"/>
      </w:pPr>
    </w:p>
    <w:p>
      <w:pPr>
        <w:spacing w:after="60" w:before="200"/>
      </w:pPr>
      <w:r>
        <w:rPr>
          <w:b/>
          <w:bCs/>
          <w:color w:val="1d3557"/>
          <w:sz w:val="22"/>
          <w:szCs w:val="22"/>
        </w:rPr>
        <w:t xml:space="preserve">A.  One-Time Setup Fee</w:t>
      </w:r>
    </w:p>
    <w:p>
      <w:pPr>
        <w:spacing w:after="60" w:before="60"/>
      </w:pPr>
      <w:r>
        <w:rPr>
          <w:color w:val="111827"/>
          <w:sz w:val="20"/>
          <w:szCs w:val="20"/>
        </w:rPr>
        <w:t xml:space="preserve">$3,500.00 — total one-time setup fee covering the full Phase 1 build: ADESINA™ setup, Twilio integration, GHL CRM build, N8N post-call and refund workflows, Stripe setup, and QR code/Dot Card delivery.
Payment structure: $2,000.00 deposit is due at signing before work begins. The remaining balance of $1,500.00 is due within three (3) weeks of the signing date. The AI system will not be delivered or activated until the full $3,500.00 setup fee is paid and monthly autopay is active.
Pricing Validity: This setup fee of $3,500.00 is valid only if the Agreement is signed and the $2,000.00 deposit is received on or before August 14, 2026. After that date, the standard setup fee of $4,700.00 applies.</w:t>
      </w:r>
    </w:p>
    <w:p>
      <w:pPr>
        <w:spacing w:after="60" w:before="0"/>
      </w:pPr>
    </w:p>
    <w:p>
      <w:pPr>
        <w:spacing w:after="60" w:before="200"/>
      </w:pPr>
      <w:r>
        <w:rPr>
          <w:b/>
          <w:bCs/>
          <w:color w:val="1d3557"/>
          <w:sz w:val="22"/>
          <w:szCs w:val="22"/>
        </w:rPr>
        <w:t xml:space="preserve">C.  Monthly Retainer — AI System Care</w:t>
      </w:r>
    </w:p>
    <w:p>
      <w:pPr>
        <w:spacing w:after="60" w:before="60"/>
      </w:pPr>
      <w:r>
        <w:rPr>
          <w:color w:val="111827"/>
          <w:sz w:val="20"/>
          <w:szCs w:val="20"/>
        </w:rPr>
        <w:t xml:space="preserve">Beginning Month 1 (from the date of signing), the monthly retainer is $350.00 per month for an initial term of 6 months (Months 1–6), billed on the same calendar date each month. The first month's retainer ($350.00) is due at signing, concurrent with the setup deposit.</w:t>
      </w:r>
    </w:p>
    <w:p>
      <w:pPr>
        <w:spacing w:after="60" w:before="0"/>
      </w:pPr>
    </w:p>
    <w:p>
      <w:pPr>
        <w:spacing w:after="60" w:before="60"/>
      </w:pPr>
      <w:r>
        <w:rPr>
          <w:color w:val="111827"/>
          <w:sz w:val="20"/>
          <w:szCs w:val="20"/>
        </w:rPr>
        <w:t xml:space="preserve">The $350/month retainer covers:</w:t>
      </w:r>
    </w:p>
    <w:p>
      <w:pPr>
        <w:spacing w:after="40" w:before="40"/>
        <w:ind w:left="360"/>
      </w:pPr>
      <w:r>
        <w:rPr>
          <w:color w:val="111827"/>
          <w:sz w:val="20"/>
          <w:szCs w:val="20"/>
        </w:rPr>
        <w:t xml:space="preserve">•  Monitoring of ADESINA's availability, call handling performance, and webhook connections</w:t>
      </w:r>
    </w:p>
    <w:p>
      <w:pPr>
        <w:spacing w:after="40" w:before="40"/>
        <w:ind w:left="360"/>
      </w:pPr>
      <w:r>
        <w:rPr>
          <w:color w:val="111827"/>
          <w:sz w:val="20"/>
          <w:szCs w:val="20"/>
        </w:rPr>
        <w:t xml:space="preserve">•  Troubleshooting and fixing issues with the AI receptionist, CRM pipeline, booking automation, contract/payment links, and refund-approval workflow</w:t>
      </w:r>
    </w:p>
    <w:p>
      <w:pPr>
        <w:spacing w:after="40" w:before="40"/>
        <w:ind w:left="360"/>
      </w:pPr>
      <w:r>
        <w:rPr>
          <w:color w:val="111827"/>
          <w:sz w:val="20"/>
          <w:szCs w:val="20"/>
        </w:rPr>
        <w:t xml:space="preserve">•  Maintaining platform connections (11Labs ↔ Twilio ↔ N8N ↔ GHL ↔ Stripe)</w:t>
      </w:r>
    </w:p>
    <w:p>
      <w:pPr>
        <w:spacing w:after="40" w:before="40"/>
        <w:ind w:left="360"/>
      </w:pPr>
      <w:r>
        <w:rPr>
          <w:color w:val="111827"/>
          <w:sz w:val="20"/>
          <w:szCs w:val="20"/>
        </w:rPr>
        <w:t xml:space="preserve">•  Script updates to ADESINA (reasonable adjustments; major rebuild = change order)</w:t>
      </w:r>
    </w:p>
    <w:p>
      <w:pPr>
        <w:spacing w:after="40" w:before="40"/>
        <w:ind w:left="360"/>
      </w:pPr>
      <w:r>
        <w:rPr>
          <w:color w:val="111827"/>
          <w:sz w:val="20"/>
          <w:szCs w:val="20"/>
        </w:rPr>
        <w:t xml:space="preserve">•  Support hours: Monday–Friday, 9:00 AM – 5:00 PM Eastern Time</w:t>
      </w:r>
    </w:p>
    <w:p>
      <w:pPr>
        <w:spacing w:after="40" w:before="40"/>
        <w:ind w:left="360"/>
      </w:pPr>
      <w:r>
        <w:rPr>
          <w:color w:val="111827"/>
          <w:sz w:val="20"/>
          <w:szCs w:val="20"/>
        </w:rPr>
        <w:t xml:space="preserve">•  Evening coverage via Philippines-based team: Monday–Friday, 6:00 PM – 2:00 AM Eastern Time</w:t>
      </w:r>
    </w:p>
    <w:p>
      <w:pPr>
        <w:spacing w:after="60" w:before="0"/>
      </w:pPr>
    </w:p>
    <w:p>
      <w:pPr>
        <w:spacing w:after="60" w:before="60"/>
      </w:pPr>
      <w:r>
        <w:rPr>
          <w:color w:val="111827"/>
          <w:sz w:val="20"/>
          <w:szCs w:val="20"/>
        </w:rPr>
        <w:t xml:space="preserve">The $350/month retainer does NOT cover:</w:t>
      </w:r>
    </w:p>
    <w:p>
      <w:pPr>
        <w:spacing w:after="40" w:before="40"/>
        <w:ind w:left="360"/>
      </w:pPr>
      <w:r>
        <w:rPr>
          <w:color w:val="111827"/>
          <w:sz w:val="20"/>
          <w:szCs w:val="20"/>
        </w:rPr>
        <w:t xml:space="preserve">•  Lead generation, social media, Google Business Profile, or paid advertising (Phase 2 — separate engagement)</w:t>
      </w:r>
    </w:p>
    <w:p>
      <w:pPr>
        <w:spacing w:after="40" w:before="40"/>
        <w:ind w:left="360"/>
      </w:pPr>
      <w:r>
        <w:rPr>
          <w:color w:val="111827"/>
          <w:sz w:val="20"/>
          <w:szCs w:val="20"/>
        </w:rPr>
        <w:t xml:space="preserve">•  New builds or major feature additions (require a Change Order — see Section 8)</w:t>
      </w:r>
    </w:p>
    <w:p>
      <w:pPr>
        <w:spacing w:after="40" w:before="40"/>
        <w:ind w:left="360"/>
      </w:pPr>
      <w:r>
        <w:rPr>
          <w:color w:val="111827"/>
          <w:sz w:val="20"/>
          <w:szCs w:val="20"/>
        </w:rPr>
        <w:t xml:space="preserve">•  Third-party usage fees (Twilio, 11Labs, N8N, Stripe) — these are Client's direct responsibility (see Section 4)</w:t>
      </w:r>
    </w:p>
    <w:p>
      <w:pPr>
        <w:spacing w:after="60" w:before="0"/>
      </w:pPr>
    </w:p>
    <w:p>
      <w:pPr>
        <w:spacing w:after="60" w:before="200"/>
      </w:pPr>
      <w:r>
        <w:rPr>
          <w:b/>
          <w:bCs/>
          <w:color w:val="1d3557"/>
          <w:sz w:val="22"/>
          <w:szCs w:val="22"/>
        </w:rPr>
        <w:t xml:space="preserve">D.  Emergency After-Hours Support</w:t>
      </w:r>
    </w:p>
    <w:p>
      <w:pPr>
        <w:spacing w:after="60" w:before="60"/>
      </w:pPr>
      <w:r>
        <w:rPr>
          <w:color w:val="111827"/>
          <w:sz w:val="20"/>
          <w:szCs w:val="20"/>
        </w:rPr>
        <w:t xml:space="preserve">Emergency support outside of covered hours (Saturdays, Sundays, and weekdays 2:00 AM–9:00 AM ET) is available at $150.00 per hour, subject to availability. Provider will make reasonable efforts to respond but cannot guarantee availability outside standard hours.</w:t>
      </w:r>
    </w:p>
    <w:p>
      <w:pPr>
        <w:spacing w:after="60" w:before="0"/>
      </w:pPr>
    </w:p>
    <w:p>
      <w:pPr>
        <w:spacing w:after="60" w:before="200"/>
      </w:pPr>
      <w:r>
        <w:rPr>
          <w:b/>
          <w:bCs/>
          <w:color w:val="1d3557"/>
          <w:sz w:val="22"/>
          <w:szCs w:val="22"/>
        </w:rPr>
        <w:t xml:space="preserve">E.  Payment Terms</w:t>
      </w:r>
    </w:p>
    <w:p>
      <w:pPr>
        <w:spacing w:after="60" w:before="60"/>
      </w:pPr>
      <w:r>
        <w:rPr>
          <w:color w:val="111827"/>
          <w:sz w:val="20"/>
          <w:szCs w:val="20"/>
        </w:rPr>
        <w:t xml:space="preserve">Payment schedule: (1) $2,000.00 deposit due at signing; (2) $350.00 first month retainer due at signing; (3) $1,500.00 balance due within three (3) weeks of signing date. Monthly retainer of $350.00 is due on the same calendar date each month beginning Month 2. Autopay enrollment is required at signing — the AI system will not be delivered or activated until the full $3,500.00 setup fee is paid in full and autopay is active. A late fee of $25.00 applies to invoices unpaid after 7 days. Accepted payment methods: Stripe autopay (required for monthly retainer), Zelle, or as agreed in writing.</w:t>
      </w:r>
    </w:p>
    <w:p>
      <w:pPr>
        <w:spacing w:after="80" w:before="0"/>
      </w:pPr>
    </w:p>
    <w:p>
      <w:pPr>
        <w:pBdr>
          <w:bottom w:val="single" w:color="cbb07b" w:sz="8"/>
        </w:pBdr>
        <w:spacing w:after="100" w:before="280"/>
      </w:pPr>
      <w:r>
        <w:rPr>
          <w:b/>
          <w:bCs/>
          <w:caps/>
          <w:color w:val="1d3557"/>
          <w:sz w:val="24"/>
          <w:szCs w:val="24"/>
        </w:rPr>
        <w:t xml:space="preserve">4.  Third-Party Platform Fees</w:t>
      </w:r>
    </w:p>
    <w:p>
      <w:pPr>
        <w:spacing w:after="60" w:before="60"/>
      </w:pPr>
      <w:r>
        <w:rPr>
          <w:color w:val="111827"/>
          <w:sz w:val="20"/>
          <w:szCs w:val="20"/>
        </w:rPr>
        <w:t xml:space="preserve">The following third-party platform costs are Client's direct responsibility and are NOT included in Provider's setup fee or monthly retainer. Provider will advise on the most cost-effective plan for Client's call volume:</w:t>
      </w:r>
    </w:p>
    <w:p>
      <w:pPr>
        <w:spacing w:after="60" w:before="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200"/>
      </w:tblGrid>
      <w:tr>
        <w:tc>
          <w:tcPr>
            <w:tcW w:type="dxa" w:w="3000"/>
            <w:shd w:fill="1d3557" w:val="clear"/>
          </w:tcPr>
          <w:p>
            <w:pPr>
              <w:spacing w:after="60" w:before="60"/>
              <w:jc w:val="center"/>
            </w:pPr>
            <w:r>
              <w:rPr>
                <w:b/>
                <w:bCs/>
                <w:color w:val="FFFFFF"/>
                <w:sz w:val="19"/>
                <w:szCs w:val="19"/>
              </w:rPr>
              <w:t xml:space="preserve">Platform</w:t>
            </w:r>
          </w:p>
        </w:tc>
        <w:tc>
          <w:tcPr>
            <w:tcW w:type="dxa" w:w="3500"/>
            <w:shd w:fill="1d3557" w:val="clear"/>
          </w:tcPr>
          <w:p>
            <w:pPr>
              <w:spacing w:after="60" w:before="60"/>
              <w:jc w:val="center"/>
            </w:pPr>
            <w:r>
              <w:rPr>
                <w:b/>
                <w:bCs/>
                <w:color w:val="FFFFFF"/>
                <w:sz w:val="19"/>
                <w:szCs w:val="19"/>
              </w:rPr>
              <w:t xml:space="preserve">Purpose</w:t>
            </w:r>
          </w:p>
        </w:tc>
        <w:tc>
          <w:tcPr>
            <w:tcW w:type="dxa" w:w="3200"/>
            <w:shd w:fill="1d3557" w:val="clear"/>
          </w:tcPr>
          <w:p>
            <w:pPr>
              <w:spacing w:after="60" w:before="60"/>
              <w:jc w:val="center"/>
            </w:pPr>
            <w:r>
              <w:rPr>
                <w:b/>
                <w:bCs/>
                <w:color w:val="FFFFFF"/>
                <w:sz w:val="19"/>
                <w:szCs w:val="19"/>
              </w:rPr>
              <w:t xml:space="preserve">Est. Monthly Cost</w:t>
            </w:r>
          </w:p>
        </w:tc>
      </w:tr>
      <w:tr>
        <w:tc>
          <w:tcPr>
            <w:tcW w:type="dxa" w:w="3000"/>
            <w:shd w:fill="FFFFFF" w:val="clear"/>
          </w:tcPr>
          <w:p>
            <w:pPr>
              <w:spacing w:after="40" w:before="40"/>
            </w:pPr>
            <w:r>
              <w:rPr>
                <w:color w:val="111827"/>
                <w:sz w:val="19"/>
                <w:szCs w:val="19"/>
              </w:rPr>
              <w:t xml:space="preserve">Twilio</w:t>
            </w:r>
          </w:p>
        </w:tc>
        <w:tc>
          <w:tcPr>
            <w:tcW w:type="dxa" w:w="3500"/>
            <w:shd w:fill="FFFFFF" w:val="clear"/>
          </w:tcPr>
          <w:p>
            <w:pPr>
              <w:spacing w:after="40" w:before="40"/>
            </w:pPr>
            <w:r>
              <w:rPr>
                <w:color w:val="111827"/>
                <w:sz w:val="19"/>
                <w:szCs w:val="19"/>
              </w:rPr>
              <w:t xml:space="preserve">Phone number + call routing</w:t>
            </w:r>
          </w:p>
        </w:tc>
        <w:tc>
          <w:tcPr>
            <w:tcW w:type="dxa" w:w="3200"/>
            <w:shd w:fill="FFFFFF" w:val="clear"/>
          </w:tcPr>
          <w:p>
            <w:pPr>
              <w:spacing w:after="40" w:before="40"/>
            </w:pPr>
            <w:r>
              <w:rPr>
                <w:color w:val="111827"/>
                <w:sz w:val="19"/>
                <w:szCs w:val="19"/>
              </w:rPr>
              <w:t xml:space="preserve">~$20–30/month</w:t>
            </w:r>
          </w:p>
        </w:tc>
      </w:tr>
      <w:tr>
        <w:tc>
          <w:tcPr>
            <w:tcW w:type="dxa" w:w="3000"/>
            <w:shd w:fill="f8f4ef" w:val="clear"/>
          </w:tcPr>
          <w:p>
            <w:pPr>
              <w:spacing w:after="40" w:before="40"/>
            </w:pPr>
            <w:r>
              <w:rPr>
                <w:color w:val="111827"/>
                <w:sz w:val="19"/>
                <w:szCs w:val="19"/>
              </w:rPr>
              <w:t xml:space="preserve">11Labs (ElevenLabs)</w:t>
            </w:r>
          </w:p>
        </w:tc>
        <w:tc>
          <w:tcPr>
            <w:tcW w:type="dxa" w:w="3500"/>
            <w:shd w:fill="f8f4ef" w:val="clear"/>
          </w:tcPr>
          <w:p>
            <w:pPr>
              <w:spacing w:after="40" w:before="40"/>
            </w:pPr>
            <w:r>
              <w:rPr>
                <w:color w:val="111827"/>
                <w:sz w:val="19"/>
                <w:szCs w:val="19"/>
              </w:rPr>
              <w:t xml:space="preserve">ADESINA AI voice minutes</w:t>
            </w:r>
          </w:p>
        </w:tc>
        <w:tc>
          <w:tcPr>
            <w:tcW w:type="dxa" w:w="3200"/>
            <w:shd w:fill="f8f4ef" w:val="clear"/>
          </w:tcPr>
          <w:p>
            <w:pPr>
              <w:spacing w:after="40" w:before="40"/>
            </w:pPr>
            <w:r>
              <w:rPr>
                <w:color w:val="111827"/>
                <w:sz w:val="19"/>
                <w:szCs w:val="19"/>
              </w:rPr>
              <w:t xml:space="preserve">~$22/month (Starter)</w:t>
            </w:r>
          </w:p>
        </w:tc>
      </w:tr>
      <w:tr>
        <w:tc>
          <w:tcPr>
            <w:tcW w:type="dxa" w:w="3000"/>
            <w:shd w:fill="FFFFFF" w:val="clear"/>
          </w:tcPr>
          <w:p>
            <w:pPr>
              <w:spacing w:after="40" w:before="40"/>
            </w:pPr>
            <w:r>
              <w:rPr>
                <w:color w:val="111827"/>
                <w:sz w:val="19"/>
                <w:szCs w:val="19"/>
              </w:rPr>
              <w:t xml:space="preserve">N8N</w:t>
            </w:r>
          </w:p>
        </w:tc>
        <w:tc>
          <w:tcPr>
            <w:tcW w:type="dxa" w:w="3500"/>
            <w:shd w:fill="FFFFFF" w:val="clear"/>
          </w:tcPr>
          <w:p>
            <w:pPr>
              <w:spacing w:after="40" w:before="40"/>
            </w:pPr>
            <w:r>
              <w:rPr>
                <w:color w:val="111827"/>
                <w:sz w:val="19"/>
                <w:szCs w:val="19"/>
              </w:rPr>
              <w:t xml:space="preserve">Workflow automation</w:t>
            </w:r>
          </w:p>
        </w:tc>
        <w:tc>
          <w:tcPr>
            <w:tcW w:type="dxa" w:w="3200"/>
            <w:shd w:fill="FFFFFF" w:val="clear"/>
          </w:tcPr>
          <w:p>
            <w:pPr>
              <w:spacing w:after="40" w:before="40"/>
            </w:pPr>
            <w:r>
              <w:rPr>
                <w:color w:val="111827"/>
                <w:sz w:val="19"/>
                <w:szCs w:val="19"/>
              </w:rPr>
              <w:t xml:space="preserve">~$20/month (Starter)</w:t>
            </w:r>
          </w:p>
        </w:tc>
      </w:tr>
      <w:tr>
        <w:tc>
          <w:tcPr>
            <w:tcW w:type="dxa" w:w="3000"/>
            <w:shd w:fill="f8f4ef" w:val="clear"/>
          </w:tcPr>
          <w:p>
            <w:pPr>
              <w:spacing w:after="40" w:before="40"/>
            </w:pPr>
            <w:r>
              <w:rPr>
                <w:color w:val="111827"/>
                <w:sz w:val="19"/>
                <w:szCs w:val="19"/>
              </w:rPr>
              <w:t xml:space="preserve">GoHighLevel (GHL)</w:t>
            </w:r>
          </w:p>
        </w:tc>
        <w:tc>
          <w:tcPr>
            <w:tcW w:type="dxa" w:w="3500"/>
            <w:shd w:fill="f8f4ef" w:val="clear"/>
          </w:tcPr>
          <w:p>
            <w:pPr>
              <w:spacing w:after="40" w:before="40"/>
            </w:pPr>
            <w:r>
              <w:rPr>
                <w:color w:val="111827"/>
                <w:sz w:val="19"/>
                <w:szCs w:val="19"/>
              </w:rPr>
              <w:t xml:space="preserve">CRM subaccount</w:t>
            </w:r>
          </w:p>
        </w:tc>
        <w:tc>
          <w:tcPr>
            <w:tcW w:type="dxa" w:w="3200"/>
            <w:shd w:fill="f8f4ef" w:val="clear"/>
          </w:tcPr>
          <w:p>
            <w:pPr>
              <w:spacing w:after="40" w:before="40"/>
            </w:pPr>
            <w:r>
              <w:rPr>
                <w:color w:val="111827"/>
                <w:sz w:val="19"/>
                <w:szCs w:val="19"/>
              </w:rPr>
              <w:t xml:space="preserve">Included under Provider account</w:t>
            </w:r>
          </w:p>
        </w:tc>
      </w:tr>
      <w:tr>
        <w:tc>
          <w:tcPr>
            <w:tcW w:type="dxa" w:w="3000"/>
            <w:shd w:fill="FFFFFF" w:val="clear"/>
          </w:tcPr>
          <w:p>
            <w:pPr>
              <w:spacing w:after="40" w:before="40"/>
            </w:pPr>
            <w:r>
              <w:rPr>
                <w:color w:val="111827"/>
                <w:sz w:val="19"/>
                <w:szCs w:val="19"/>
              </w:rPr>
              <w:t xml:space="preserve">Stripe</w:t>
            </w:r>
          </w:p>
        </w:tc>
        <w:tc>
          <w:tcPr>
            <w:tcW w:type="dxa" w:w="3500"/>
            <w:shd w:fill="FFFFFF" w:val="clear"/>
          </w:tcPr>
          <w:p>
            <w:pPr>
              <w:spacing w:after="40" w:before="40"/>
            </w:pPr>
            <w:r>
              <w:rPr>
                <w:color w:val="111827"/>
                <w:sz w:val="19"/>
                <w:szCs w:val="19"/>
              </w:rPr>
              <w:t xml:space="preserve">Payment processing</w:t>
            </w:r>
          </w:p>
        </w:tc>
        <w:tc>
          <w:tcPr>
            <w:tcW w:type="dxa" w:w="3200"/>
            <w:shd w:fill="FFFFFF" w:val="clear"/>
          </w:tcPr>
          <w:p>
            <w:pPr>
              <w:spacing w:after="40" w:before="40"/>
            </w:pPr>
            <w:r>
              <w:rPr>
                <w:color w:val="111827"/>
                <w:sz w:val="19"/>
                <w:szCs w:val="19"/>
              </w:rPr>
              <w:t xml:space="preserve">2.9% + $0.30 per transaction</w:t>
            </w:r>
          </w:p>
        </w:tc>
      </w:tr>
      <w:tr>
        <w:tc>
          <w:tcPr>
            <w:tcW w:type="dxa" w:w="3000"/>
            <w:shd w:fill="f8f4ef" w:val="clear"/>
          </w:tcPr>
          <w:p>
            <w:pPr>
              <w:spacing w:after="40" w:before="40"/>
            </w:pPr>
            <w:r>
              <w:rPr>
                <w:color w:val="111827"/>
                <w:sz w:val="19"/>
                <w:szCs w:val="19"/>
              </w:rPr>
              <w:t xml:space="preserve">Dot Card</w:t>
            </w:r>
          </w:p>
        </w:tc>
        <w:tc>
          <w:tcPr>
            <w:tcW w:type="dxa" w:w="3500"/>
            <w:shd w:fill="f8f4ef" w:val="clear"/>
          </w:tcPr>
          <w:p>
            <w:pPr>
              <w:spacing w:after="40" w:before="40"/>
            </w:pPr>
            <w:r>
              <w:rPr>
                <w:color w:val="111827"/>
                <w:sz w:val="19"/>
                <w:szCs w:val="19"/>
              </w:rPr>
              <w:t xml:space="preserve">Digital business card</w:t>
            </w:r>
          </w:p>
        </w:tc>
        <w:tc>
          <w:tcPr>
            <w:tcW w:type="dxa" w:w="3200"/>
            <w:shd w:fill="f8f4ef" w:val="clear"/>
          </w:tcPr>
          <w:p>
            <w:pPr>
              <w:spacing w:after="40" w:before="40"/>
            </w:pPr>
            <w:r>
              <w:rPr>
                <w:color w:val="111827"/>
                <w:sz w:val="19"/>
                <w:szCs w:val="19"/>
              </w:rPr>
              <w:t xml:space="preserve">Per Dot Card's pricing</w:t>
            </w:r>
          </w:p>
        </w:tc>
      </w:tr>
    </w:tbl>
    <w:p>
      <w:pPr>
        <w:spacing w:after="80" w:before="0"/>
      </w:pPr>
    </w:p>
    <w:p>
      <w:pPr>
        <w:pBdr>
          <w:bottom w:val="single" w:color="cbb07b" w:sz="8"/>
        </w:pBdr>
        <w:spacing w:after="100" w:before="280"/>
      </w:pPr>
      <w:r>
        <w:rPr>
          <w:b/>
          <w:bCs/>
          <w:caps/>
          <w:color w:val="1d3557"/>
          <w:sz w:val="24"/>
          <w:szCs w:val="24"/>
        </w:rPr>
        <w:t xml:space="preserve">5.  Client Responsibilities</w:t>
      </w:r>
    </w:p>
    <w:p>
      <w:pPr>
        <w:spacing w:after="60" w:before="60"/>
      </w:pPr>
      <w:r>
        <w:rPr>
          <w:color w:val="111827"/>
          <w:sz w:val="20"/>
          <w:szCs w:val="20"/>
        </w:rPr>
        <w:t xml:space="preserve">Timely completion of this project depends on Client providing the following:</w:t>
      </w:r>
    </w:p>
    <w:p>
      <w:pPr>
        <w:spacing w:after="40" w:before="40"/>
        <w:ind w:left="360"/>
      </w:pPr>
      <w:r>
        <w:rPr>
          <w:color w:val="111827"/>
          <w:sz w:val="20"/>
          <w:szCs w:val="20"/>
        </w:rPr>
        <w:t xml:space="preserve">•  Valid government-issued ID for account verification (Stripe, Twilio)</w:t>
      </w:r>
    </w:p>
    <w:p>
      <w:pPr>
        <w:spacing w:after="40" w:before="40"/>
        <w:ind w:left="360"/>
      </w:pPr>
      <w:r>
        <w:rPr>
          <w:color w:val="111827"/>
          <w:sz w:val="20"/>
          <w:szCs w:val="20"/>
        </w:rPr>
        <w:t xml:space="preserve">•  Business email address (Gmail or domain) for GHL connection</w:t>
      </w:r>
    </w:p>
    <w:p>
      <w:pPr>
        <w:spacing w:after="40" w:before="40"/>
        <w:ind w:left="360"/>
      </w:pPr>
      <w:r>
        <w:rPr>
          <w:color w:val="111827"/>
          <w:sz w:val="20"/>
          <w:szCs w:val="20"/>
        </w:rPr>
        <w:t xml:space="preserve">•  Approval of ADESINA voice scripts within 48 hours of submission</w:t>
      </w:r>
    </w:p>
    <w:p>
      <w:pPr>
        <w:spacing w:after="40" w:before="40"/>
        <w:ind w:left="360"/>
      </w:pPr>
      <w:r>
        <w:rPr>
          <w:color w:val="111827"/>
          <w:sz w:val="20"/>
          <w:szCs w:val="20"/>
        </w:rPr>
        <w:t xml:space="preserve">•  Response to Provider questions within 3 business days to avoid project delays</w:t>
      </w:r>
    </w:p>
    <w:p>
      <w:pPr>
        <w:spacing w:after="40" w:before="40"/>
        <w:ind w:left="360"/>
      </w:pPr>
      <w:r>
        <w:rPr>
          <w:color w:val="111827"/>
          <w:sz w:val="20"/>
          <w:szCs w:val="20"/>
        </w:rPr>
        <w:t xml:space="preserve">•  Maintain active third-party subscriptions (Twilio, 11Labs, N8N, Stripe, Dot Card)</w:t>
      </w:r>
    </w:p>
    <w:p>
      <w:pPr>
        <w:spacing w:after="60" w:before="60"/>
      </w:pPr>
      <w:r>
        <w:rPr>
          <w:color w:val="111827"/>
          <w:sz w:val="20"/>
          <w:szCs w:val="20"/>
        </w:rPr>
        <w:t xml:space="preserve">Provider is not responsible for project delays attributable to Client's failure to respond or provide required materials.</w:t>
      </w:r>
    </w:p>
    <w:p>
      <w:pPr>
        <w:spacing w:after="80" w:before="0"/>
      </w:pPr>
    </w:p>
    <w:p>
      <w:pPr>
        <w:pBdr>
          <w:bottom w:val="single" w:color="cbb07b" w:sz="8"/>
        </w:pBdr>
        <w:spacing w:after="100" w:before="280"/>
      </w:pPr>
      <w:r>
        <w:rPr>
          <w:b/>
          <w:bCs/>
          <w:caps/>
          <w:color w:val="1d3557"/>
          <w:sz w:val="24"/>
          <w:szCs w:val="24"/>
        </w:rPr>
        <w:t xml:space="preserve">6.  Passenger Refund Approval Policy</w:t>
      </w:r>
    </w:p>
    <w:p>
      <w:pPr>
        <w:spacing w:after="60" w:before="60"/>
      </w:pPr>
      <w:r>
        <w:rPr>
          <w:color w:val="111827"/>
          <w:sz w:val="20"/>
          <w:szCs w:val="20"/>
        </w:rPr>
        <w:t xml:space="preserve">Client (Brian Walcott) is the sole decision-maker for all passenger refund requests. When a refund request is received, Provider's automated system will send Client a notification via text and/or email with the refund details. Client will respond to approve or deny the refund. Provider and Provider's team will never approve or deny a passenger refund independently, under any circumstances.</w:t>
      </w:r>
    </w:p>
    <w:p>
      <w:pPr>
        <w:spacing w:after="80" w:before="0"/>
      </w:pPr>
    </w:p>
    <w:p>
      <w:pPr>
        <w:pBdr>
          <w:bottom w:val="single" w:color="cbb07b" w:sz="8"/>
        </w:pBdr>
        <w:spacing w:after="100" w:before="280"/>
      </w:pPr>
      <w:r>
        <w:rPr>
          <w:b/>
          <w:bCs/>
          <w:caps/>
          <w:color w:val="1d3557"/>
          <w:sz w:val="24"/>
          <w:szCs w:val="24"/>
        </w:rPr>
        <w:t xml:space="preserve">7.  Out of Scope — Phase 1</w:t>
      </w:r>
    </w:p>
    <w:p>
      <w:pPr>
        <w:spacing w:after="60" w:before="60"/>
      </w:pPr>
      <w:r>
        <w:rPr>
          <w:color w:val="111827"/>
          <w:sz w:val="20"/>
          <w:szCs w:val="20"/>
        </w:rPr>
        <w:t xml:space="preserve">The following are explicitly excluded from this Agreement unless added via a signed Change Order or a separate Phase 2 engagement:</w:t>
      </w:r>
    </w:p>
    <w:p>
      <w:pPr>
        <w:spacing w:after="40" w:before="40"/>
        <w:ind w:left="360"/>
      </w:pPr>
      <w:r>
        <w:rPr>
          <w:color w:val="111827"/>
          <w:sz w:val="20"/>
          <w:szCs w:val="20"/>
        </w:rPr>
        <w:t xml:space="preserve">•  Social media content creation or management (any platform)</w:t>
      </w:r>
    </w:p>
    <w:p>
      <w:pPr>
        <w:spacing w:after="40" w:before="40"/>
        <w:ind w:left="360"/>
      </w:pPr>
      <w:r>
        <w:rPr>
          <w:color w:val="111827"/>
          <w:sz w:val="20"/>
          <w:szCs w:val="20"/>
        </w:rPr>
        <w:t xml:space="preserve">•  Lead generation, list building, or automated prospecting</w:t>
      </w:r>
    </w:p>
    <w:p>
      <w:pPr>
        <w:spacing w:after="40" w:before="40"/>
        <w:ind w:left="360"/>
      </w:pPr>
      <w:r>
        <w:rPr>
          <w:color w:val="111827"/>
          <w:sz w:val="20"/>
          <w:szCs w:val="20"/>
        </w:rPr>
        <w:t xml:space="preserve">•  Google Business Profile setup or optimization</w:t>
      </w:r>
    </w:p>
    <w:p>
      <w:pPr>
        <w:spacing w:after="40" w:before="40"/>
        <w:ind w:left="360"/>
      </w:pPr>
      <w:r>
        <w:rPr>
          <w:color w:val="111827"/>
          <w:sz w:val="20"/>
          <w:szCs w:val="20"/>
        </w:rPr>
        <w:t xml:space="preserve">•  Paid advertising management (Google Ads, Meta Ads, etc.)</w:t>
      </w:r>
    </w:p>
    <w:p>
      <w:pPr>
        <w:spacing w:after="40" w:before="40"/>
        <w:ind w:left="360"/>
      </w:pPr>
      <w:r>
        <w:rPr>
          <w:color w:val="111827"/>
          <w:sz w:val="20"/>
          <w:szCs w:val="20"/>
        </w:rPr>
        <w:t xml:space="preserve">•  Full website redesign or rebuild</w:t>
      </w:r>
    </w:p>
    <w:p>
      <w:pPr>
        <w:spacing w:after="40" w:before="40"/>
        <w:ind w:left="360"/>
      </w:pPr>
      <w:r>
        <w:rPr>
          <w:color w:val="111827"/>
          <w:sz w:val="20"/>
          <w:szCs w:val="20"/>
        </w:rPr>
        <w:t xml:space="preserve">•  Content creation beyond QR code and Dot Card setup</w:t>
      </w:r>
    </w:p>
    <w:p>
      <w:pPr>
        <w:spacing w:after="40" w:before="40"/>
        <w:ind w:left="360"/>
      </w:pPr>
      <w:r>
        <w:rPr>
          <w:color w:val="111827"/>
          <w:sz w:val="20"/>
          <w:szCs w:val="20"/>
        </w:rPr>
        <w:t xml:space="preserve">•  Legal, accounting, or tax advice</w:t>
      </w:r>
    </w:p>
    <w:p>
      <w:pPr>
        <w:spacing w:after="80" w:before="0"/>
      </w:pPr>
    </w:p>
    <w:p>
      <w:pPr>
        <w:pBdr>
          <w:bottom w:val="single" w:color="cbb07b" w:sz="8"/>
        </w:pBdr>
        <w:spacing w:after="100" w:before="280"/>
      </w:pPr>
      <w:r>
        <w:rPr>
          <w:b/>
          <w:bCs/>
          <w:caps/>
          <w:color w:val="1d3557"/>
          <w:sz w:val="24"/>
          <w:szCs w:val="24"/>
        </w:rPr>
        <w:t xml:space="preserve">8.  Intellectual Property</w:t>
      </w:r>
    </w:p>
    <w:p>
      <w:pPr>
        <w:spacing w:after="60" w:before="60"/>
      </w:pPr>
      <w:r>
        <w:rPr>
          <w:color w:val="111827"/>
          <w:sz w:val="20"/>
          <w:szCs w:val="20"/>
        </w:rPr>
        <w:t xml:space="preserve">All custom AI scripts, ADESINA™ voice persona configuration, N8N workflow builds, and GHL pipeline setups created by Provider for this project become the property of Client upon receipt of final payment. Provider retains the right to describe the project in its portfolio and case studies without disclosing Client's confidential business data. Third-party platform terms govern their respective tools.</w:t>
      </w:r>
    </w:p>
    <w:p>
      <w:pPr>
        <w:spacing w:after="80" w:before="0"/>
      </w:pPr>
    </w:p>
    <w:p>
      <w:pPr>
        <w:pBdr>
          <w:bottom w:val="single" w:color="cbb07b" w:sz="8"/>
        </w:pBdr>
        <w:spacing w:after="100" w:before="280"/>
      </w:pPr>
      <w:r>
        <w:rPr>
          <w:b/>
          <w:bCs/>
          <w:caps/>
          <w:color w:val="1d3557"/>
          <w:sz w:val="24"/>
          <w:szCs w:val="24"/>
        </w:rPr>
        <w:t xml:space="preserve">9.  Confidentiality</w:t>
      </w:r>
    </w:p>
    <w:p>
      <w:pPr>
        <w:spacing w:after="60" w:before="60"/>
      </w:pPr>
      <w:r>
        <w:rPr>
          <w:color w:val="111827"/>
          <w:sz w:val="20"/>
          <w:szCs w:val="20"/>
        </w:rPr>
        <w:t xml:space="preserve">Both parties agree to keep confidential any proprietary business information, client data, pricing, workflows, and trade secrets shared in connection with this engagement. This obligation survives termination for two (2) years.</w:t>
      </w:r>
    </w:p>
    <w:p>
      <w:pPr>
        <w:spacing w:after="80" w:before="0"/>
      </w:pPr>
    </w:p>
    <w:p>
      <w:pPr>
        <w:pBdr>
          <w:bottom w:val="single" w:color="cbb07b" w:sz="8"/>
        </w:pBdr>
        <w:spacing w:after="100" w:before="280"/>
      </w:pPr>
      <w:r>
        <w:rPr>
          <w:b/>
          <w:bCs/>
          <w:caps/>
          <w:color w:val="1d3557"/>
          <w:sz w:val="24"/>
          <w:szCs w:val="24"/>
        </w:rPr>
        <w:t xml:space="preserve">10.  Limitation of Liability</w:t>
      </w:r>
    </w:p>
    <w:p>
      <w:pPr>
        <w:spacing w:after="60" w:before="60"/>
      </w:pPr>
      <w:r>
        <w:rPr>
          <w:color w:val="111827"/>
          <w:sz w:val="20"/>
          <w:szCs w:val="20"/>
        </w:rPr>
        <w:t xml:space="preserve">Provider's maximum liability under this Agreement shall not exceed the total fees paid by Client in the preceding 30 days. Provider is not liable for service interruptions, data loss, or failures caused by third-party platforms including but not limited to GoHighLevel, 11Labs, Twilio, Stripe, N8N, and Dot Card.</w:t>
      </w:r>
    </w:p>
    <w:p>
      <w:pPr>
        <w:spacing w:after="80" w:before="0"/>
      </w:pPr>
    </w:p>
    <w:p>
      <w:pPr>
        <w:pBdr>
          <w:bottom w:val="single" w:color="cbb07b" w:sz="8"/>
        </w:pBdr>
        <w:spacing w:after="100" w:before="280"/>
      </w:pPr>
      <w:r>
        <w:rPr>
          <w:b/>
          <w:bCs/>
          <w:caps/>
          <w:color w:val="1d3557"/>
          <w:sz w:val="24"/>
          <w:szCs w:val="24"/>
        </w:rPr>
        <w:t xml:space="preserve">11.  Revisions &amp; Change Orders</w:t>
      </w:r>
    </w:p>
    <w:p>
      <w:pPr>
        <w:spacing w:after="60" w:before="60"/>
      </w:pPr>
      <w:r>
        <w:rPr>
          <w:color w:val="111827"/>
          <w:sz w:val="20"/>
          <w:szCs w:val="20"/>
        </w:rPr>
        <w:t xml:space="preserve">Work outside the scope defined in Section 2 requires a written Change Order signed by both parties, specifying the additional work, timeline, and fee. No out-of-scope work will begin until the Change Order is executed and any required payment is received.</w:t>
      </w:r>
    </w:p>
    <w:p>
      <w:pPr>
        <w:spacing w:after="80" w:before="0"/>
      </w:pPr>
    </w:p>
    <w:p>
      <w:pPr>
        <w:pBdr>
          <w:bottom w:val="single" w:color="cbb07b" w:sz="8"/>
        </w:pBdr>
        <w:spacing w:after="100" w:before="280"/>
      </w:pPr>
      <w:r>
        <w:rPr>
          <w:b/>
          <w:bCs/>
          <w:caps/>
          <w:color w:val="1d3557"/>
          <w:sz w:val="24"/>
          <w:szCs w:val="24"/>
        </w:rPr>
        <w:t xml:space="preserve">12.  Termination</w:t>
      </w:r>
    </w:p>
    <w:p>
      <w:pPr>
        <w:spacing w:after="60" w:before="60"/>
      </w:pPr>
      <w:r>
        <w:rPr>
          <w:color w:val="111827"/>
          <w:sz w:val="20"/>
          <w:szCs w:val="20"/>
        </w:rPr>
        <w:t xml:space="preserve">Either party may terminate this Agreement with fourteen (14) days written notice via email. Upon termination: (a) Client shall pay for all work completed through the termination date; (b) Provider shall deliver all completed work product; (c) the $3,500 setup fee is non-refundable. </w:t>
      </w:r>
    </w:p>
    <w:p>
      <w:pPr>
        <w:spacing w:after="80" w:before="160"/>
      </w:pPr>
      <w:r>
        <w:rPr>
          <w:b/>
          <w:bCs/>
          <w:color w:val="1A2A4A"/>
          <w:sz w:val="22"/>
          <w:szCs w:val="22"/>
        </w:rPr>
        <w:t xml:space="preserve">D. Phase 2 Upgrade (Not Selected)</w:t>
      </w:r>
    </w:p>
    <w:p>
      <w:pPr>
        <w:spacing w:after="80" w:before="60"/>
      </w:pPr>
      <w:r>
        <w:rPr>
          <w:sz w:val="22"/>
          <w:szCs w:val="22"/>
        </w:rPr>
        <w:t xml:space="preserve">After the initial 6-month AI System Care term (Month 6), Client may upgrade to Phase 2: AI System Care + Social Visibility + Lead Generation + FB Ads at $1,394.00/month. FB advertising spend is billed directly and separately. Phase 2 has not been selected at this time and is not active under this Agreement.</w:t>
      </w:r>
    </w:p>
    <w:p>
      <w:pPr>
        <w:spacing w:after="80" w:before="0"/>
      </w:pPr>
    </w:p>
    <w:p>
      <w:pPr>
        <w:pBdr>
          <w:bottom w:val="single" w:color="cbb07b" w:sz="8"/>
        </w:pBdr>
        <w:spacing w:after="100" w:before="280"/>
      </w:pPr>
      <w:r>
        <w:rPr>
          <w:b/>
          <w:bCs/>
          <w:caps/>
          <w:color w:val="1d3557"/>
          <w:sz w:val="24"/>
          <w:szCs w:val="24"/>
        </w:rPr>
        <w:t xml:space="preserve">13.  Governing Law</w:t>
      </w:r>
    </w:p>
    <w:p>
      <w:pPr>
        <w:spacing w:after="60" w:before="60"/>
      </w:pPr>
      <w:r>
        <w:rPr>
          <w:color w:val="111827"/>
          <w:sz w:val="20"/>
          <w:szCs w:val="20"/>
        </w:rPr>
        <w:t xml:space="preserve">This Agreement is governed by the laws of the State of Florida. Any disputes shall be resolved in the courts of Orange County, Florida.</w:t>
      </w:r>
    </w:p>
    <w:p>
      <w:pPr>
        <w:spacing w:after="80" w:before="0"/>
      </w:pPr>
    </w:p>
    <w:p>
      <w:pPr>
        <w:pBdr>
          <w:bottom w:val="single" w:color="cbb07b" w:sz="8"/>
        </w:pBdr>
        <w:spacing w:after="100" w:before="280"/>
      </w:pPr>
      <w:r>
        <w:rPr>
          <w:b/>
          <w:bCs/>
          <w:caps/>
          <w:color w:val="1d3557"/>
          <w:sz w:val="24"/>
          <w:szCs w:val="24"/>
        </w:rPr>
        <w:t xml:space="preserve">14.  Entire Agreement</w:t>
      </w:r>
    </w:p>
    <w:p>
      <w:pPr>
        <w:spacing w:after="60" w:before="60"/>
      </w:pPr>
      <w:r>
        <w:rPr>
          <w:color w:val="111827"/>
          <w:sz w:val="20"/>
          <w:szCs w:val="20"/>
        </w:rPr>
        <w:t xml:space="preserve">This document, together with the signed Statement of Work (SOW), constitutes the entire agreement between the parties and supersedes all prior discussions. Any modifications must be made in writing and signed by both parties.</w:t>
      </w:r>
    </w:p>
    <w:p>
      <w:pPr>
        <w:spacing w:after="120" w:before="0"/>
      </w:pPr>
    </w:p>
    <w:p>
      <w:r>
        <w:br w:type="page"/>
      </w:r>
    </w:p>
    <w:p>
      <w:pPr>
        <w:spacing w:after="120" w:before="200"/>
        <w:jc w:val="center"/>
      </w:pPr>
      <w:r>
        <w:rPr>
          <w:b/>
          <w:bCs/>
          <w:caps/>
          <w:color w:val="1d3557"/>
          <w:sz w:val="26"/>
          <w:szCs w:val="26"/>
        </w:rPr>
        <w:t xml:space="preserve">SIGNATURES</w:t>
      </w:r>
    </w:p>
    <w:p>
      <w:pPr>
        <w:spacing w:after="60" w:before="60"/>
      </w:pPr>
      <w:r>
        <w:rPr>
          <w:i/>
          <w:iCs/>
          <w:color w:val="111827"/>
          <w:sz w:val="20"/>
          <w:szCs w:val="20"/>
        </w:rPr>
        <w:t xml:space="preserve">By signing below, both parties acknowledge they have read, understood, and agree to the terms of this Service Agreement.</w:t>
      </w:r>
    </w:p>
    <w:p>
      <w:pPr>
        <w:spacing w:after="10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4500"/>
      </w:tblGrid>
      <w:tr>
        <w:tc>
          <w:tcPr>
            <w:tcW w:type="dxa" w:w="4500"/>
            <w:tcBorders>
              <w:top w:val="none"/>
              <w:left w:val="none"/>
              <w:bottom w:val="none"/>
              <w:right w:val="none"/>
            </w:tcBorders>
          </w:tcPr>
          <w:p>
            <w:pPr>
              <w:spacing w:after="60" w:before="60"/>
            </w:pPr>
            <w:r>
              <w:rPr>
                <w:b/>
                <w:bCs/>
                <w:color w:val="1d3557"/>
                <w:sz w:val="22"/>
                <w:szCs w:val="22"/>
              </w:rPr>
              <w:t xml:space="preserve">AI GlamTech Empire™</w:t>
            </w:r>
          </w:p>
          <w:p>
            <w:pPr>
              <w:spacing w:after="200" w:before="0"/>
            </w:pPr>
            <w:r>
              <w:rPr>
                <w:color w:val="6b7280"/>
                <w:sz w:val="19"/>
                <w:szCs w:val="19"/>
              </w:rPr>
              <w:t xml:space="preserve">Service Provider</w:t>
            </w:r>
          </w:p>
          <w:p>
            <w:pPr>
              <w:spacing w:after="80" w:before="80"/>
            </w:pPr>
            <w:r>
              <w:rPr>
                <w:sz w:val="20"/>
                <w:szCs w:val="20"/>
              </w:rPr>
              <w:t xml:space="preserve">Signature: ________________________</w:t>
            </w:r>
          </w:p>
          <w:p>
            <w:pPr>
              <w:spacing w:after="40" w:before="40"/>
            </w:pPr>
            <w:r>
              <w:rPr>
                <w:sz w:val="20"/>
                <w:szCs w:val="20"/>
              </w:rPr>
              <w:t xml:space="preserve">Printed Name: Pinky Floyd (Casandra Riley)</w:t>
            </w:r>
          </w:p>
          <w:p>
            <w:pPr>
              <w:spacing w:after="40" w:before="40"/>
            </w:pPr>
            <w:r>
              <w:rPr>
                <w:sz w:val="20"/>
                <w:szCs w:val="20"/>
              </w:rPr>
              <w:t xml:space="preserve">Date: ____________________________</w:t>
            </w:r>
          </w:p>
        </w:tc>
        <w:tc>
          <w:tcPr>
            <w:tcW w:type="dxa" w:w="800"/>
            <w:tcBorders>
              <w:top w:val="none"/>
              <w:left w:val="none"/>
              <w:bottom w:val="none"/>
              <w:right w:val="none"/>
            </w:tcBorders>
          </w:tcPr>
          <w:p/>
        </w:tc>
        <w:tc>
          <w:tcPr>
            <w:tcW w:type="dxa" w:w="4500"/>
            <w:tcBorders>
              <w:top w:val="none"/>
              <w:left w:val="none"/>
              <w:bottom w:val="none"/>
              <w:right w:val="none"/>
            </w:tcBorders>
          </w:tcPr>
          <w:p>
            <w:pPr>
              <w:spacing w:after="60" w:before="60"/>
            </w:pPr>
            <w:r>
              <w:rPr>
                <w:b/>
                <w:bCs/>
                <w:color w:val="1d3557"/>
                <w:sz w:val="22"/>
                <w:szCs w:val="22"/>
              </w:rPr>
              <w:t xml:space="preserve">Brian Walcott</w:t>
            </w:r>
          </w:p>
          <w:p>
            <w:pPr>
              <w:spacing w:after="200" w:before="0"/>
            </w:pPr>
            <w:r>
              <w:rPr>
                <w:color w:val="6b7280"/>
                <w:sz w:val="19"/>
                <w:szCs w:val="19"/>
              </w:rPr>
              <w:t xml:space="preserve">Client — Paradise Transportation of Central Florida, Inc.</w:t>
            </w:r>
          </w:p>
          <w:p>
            <w:pPr>
              <w:spacing w:after="80" w:before="80"/>
            </w:pPr>
            <w:r>
              <w:rPr>
                <w:sz w:val="20"/>
                <w:szCs w:val="20"/>
              </w:rPr>
              <w:t xml:space="preserve">Signature: ________________________</w:t>
            </w:r>
          </w:p>
          <w:p>
            <w:pPr>
              <w:spacing w:after="40" w:before="40"/>
            </w:pPr>
            <w:r>
              <w:rPr>
                <w:sz w:val="20"/>
                <w:szCs w:val="20"/>
              </w:rPr>
              <w:t xml:space="preserve">Printed Name: ____________________</w:t>
            </w:r>
          </w:p>
          <w:p>
            <w:pPr>
              <w:spacing w:after="40" w:before="40"/>
            </w:pPr>
            <w:r>
              <w:rPr>
                <w:sz w:val="20"/>
                <w:szCs w:val="20"/>
              </w:rPr>
              <w:t xml:space="preserve">Date: ____________________________</w:t>
            </w:r>
          </w:p>
        </w:tc>
      </w:tr>
    </w:tbl>
    <w:p>
      <w:pPr>
        <w:spacing w:after="200" w:before="0"/>
      </w:pPr>
    </w:p>
    <w:p>
      <w:pPr>
        <w:pBdr>
          <w:top w:val="single" w:color="cbb07b" w:sz="6"/>
        </w:pBdr>
        <w:spacing w:after="0" w:before="80"/>
        <w:jc w:val="center"/>
      </w:pPr>
      <w:r>
        <w:rPr>
          <w:i/>
          <w:iCs/>
          <w:color w:val="6b7280"/>
          <w:sz w:val="18"/>
          <w:szCs w:val="18"/>
        </w:rPr>
        <w:t xml:space="preserve">AI GlamTech Empire™  |  Where AI meets the art of the experience.  |  pinky@aiglamtechempire.com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2026-08-04T05:07:09.695Z</dcterms:created>
  <dcterms:modified xsi:type="dcterms:W3CDTF">2026-08-04T05:07:09.695Z</dcterms:modified>
</cp:coreProperties>
</file>

<file path=docProps/custom.xml><?xml version="1.0" encoding="utf-8"?>
<Properties xmlns="http://schemas.openxmlformats.org/officeDocument/2006/custom-properties" xmlns:vt="http://schemas.openxmlformats.org/officeDocument/2006/docPropsVTypes"/>
</file>