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360" w:line="300" w:lineRule="auto"/>
        <w:rPr>
          <w:b w:val="1"/>
          <w:color w:val="1f2328"/>
          <w:sz w:val="48"/>
          <w:szCs w:val="48"/>
        </w:rPr>
      </w:pPr>
      <w:bookmarkStart w:colFirst="0" w:colLast="0" w:name="_b0ha4aheiaxx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PART 3: Frontend Engineering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82zfyil9xecv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Frontend Architecture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g8ouacq1myre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Technologies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Framework: React.js/Next.js/Vue.js for component-based UI development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State Management: Redux, Zustand, or Context API based on application complexity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API Integration: Axios or fetch for API calls with proper error handling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UI Components: Material UI, Tailwind CSS, or custom component library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Authentication: JWT with secure token management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dk6c2g23qa8g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Application Structure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frontend/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├── public/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assets/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└── index.html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├── src/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api/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axios.ts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conversations.ts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llm.ts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components/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common/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├── Button.tsx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├── Input.tsx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└── Modal.tsx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conversation/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├── ConversationList.tsx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├── MessageBubble.tsx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│   └── MessageInput.tsx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layout/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    ├── Header.tsx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    ├── Sidebar.tsx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    └── MainLayout.tsx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contexts/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AuthContext.tsx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ThemeContext.tsx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hooks/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useConversation.ts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useLLM.ts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useDebounce.ts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pages/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Auth/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Chat/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Settings/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App.tsx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state/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slices/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store.ts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types/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conversation.ts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message.ts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user.ts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├── utils/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├── formatting.ts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│   └── validation.ts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│   └── main.tsx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├── .eslintrc.js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├── tailwind.config.js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├── tsconfig.json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└── package.json</w:t>
      </w:r>
    </w:p>
    <w:p w:rsidR="00000000" w:rsidDel="00000000" w:rsidP="00000000" w:rsidRDefault="00000000" w:rsidRPr="00000000" w14:paraId="0000003B">
      <w:pPr>
        <w:shd w:fill="f6f8fa" w:val="clear"/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sxyed89qh3sx" w:id="4"/>
      <w:bookmarkEnd w:id="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Best Practices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Component Structure: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Example component using atomic design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atoms/Button.tsx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ButtonProps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'secondary'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'sm'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'md'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'lg'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.ReactNode;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?: ()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?: boolean;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.FC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ButtonProps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variant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size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'md'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children,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onClick,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disabled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baseClasses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"rounded font-medium transition-colors"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variantClasses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"bg-blue-600 text-white hover:bg-blue-700"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secondary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"bg-gray-200 text-gray-800 hover:bg-gray-300"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sizeClasses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"text-xs px-2 py-1"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md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"text-sm px-3 py-2"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lg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"text-base px-4 py-2"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className=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${baseClasses}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${variantClasses[variant]}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${sizeClasses[size]}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onClick=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{onClick}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disabled=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{disabled}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{children}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&lt;/button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63">
      <w:pPr>
        <w:shd w:fill="f6f8fa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atomic design principles (atoms, molecules, organisms, templates, pages)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lazy loading for performance optimization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Keep components small and focused on single responsibilities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TypeScript for type safety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State Management: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Using React Context for global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contexts/ConversationContext.tsx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ConversationContextType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conversations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Conversation[];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activeConversation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Conversation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boolean;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string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setActiveConversation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(id: string)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createConversation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()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Promise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(content: string)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Promise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ConversationContext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createContext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ConversationContextType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undefined&gt;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ConversationProvider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.FC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.ReactNode}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({ children })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[conversations, setConversations]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Conversation[]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([]);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[activeConversation, setActiveConversation]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Conversation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null&gt;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[isLoading, setIsLoading]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[error, setError]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null&gt;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Implement context methods...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ConversationContext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conversations,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activeConversation,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isLoading,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error,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setActiveConversation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(id)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/* implementation */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createConversation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/* implementation */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(content)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/* implementation */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}}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{children}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ConversationContext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Provider&gt;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8C">
      <w:pPr>
        <w:shd w:fill="f6f8fa" w:val="clear"/>
        <w:spacing w:after="48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Centralize application state for easier management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proper error and loading states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local state for component-specific data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Consider performance optimizations (context splitting, memoization)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API Integration: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api/axios.ts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baseURL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process.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REACT_APP_API_URL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'http://localhost:8000/api/v1'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api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axios.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baseURL,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Request interceptor for auth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api.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interceptors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(config)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localStorage.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(token)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config.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Authorization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`Bearer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${token}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config;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(error)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(error)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Response interceptor for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api.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interceptors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(response)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response,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(error)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Handle token expiration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(error.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localStorage.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window.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(error);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6f8fa" w:val="clear"/>
        <w:spacing w:after="48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api;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centralized API client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request/response interceptors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Handle authentication and error cases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environment variables for configuration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code splitting with lazy loading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// Lazy loading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39ba"/>
          <w:sz w:val="20"/>
          <w:szCs w:val="20"/>
          <w:rtl w:val="0"/>
        </w:rPr>
        <w:t xml:space="preserve">lazy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'./pages/Settings'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fallback=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Loading...&lt;/div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path=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"/settings"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element=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/&gt;} /&gt;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953800"/>
          <w:sz w:val="20"/>
          <w:szCs w:val="20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C9">
      <w:pPr>
        <w:shd w:fill="f6f8fa" w:val="clear"/>
        <w:spacing w:after="48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Optimize renders with React.memo and useMemo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virtualization for long lists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web workers for computationally intensive tasks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User Experience: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Design responsive layouts for all device sizes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Implement skeleton screens for loading states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Provide immediate feedback for user actions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Ensure accessibility compliance (WCAG guidelines)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uf7s2ho0b0pm" w:id="5"/>
      <w:bookmarkEnd w:id="5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Frontend Infrastructure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7edygxqirc97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Static Hosting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AWS Options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S3 for static website hosting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CloudFront for CDN and edge caching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Route 53 for DNS management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Certificate Manager for SSL certificates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GCP Options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Storage for static website hosting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CDN for content delivery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Cloud DNS for domain management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Certificate Manager for SSL certificates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n21osmbc7l19" w:id="7"/>
      <w:bookmarkEnd w:id="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Build and Deployment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Build Process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20"/>
          <w:szCs w:val="20"/>
          <w:rtl w:val="0"/>
        </w:rPr>
        <w:t xml:space="preserve"># Example GitHub Actions workflow for frontend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Deploy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[main]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'frontend/**'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jobs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build-and-deploy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runs-on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ubuntu-latest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steps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actions/checkout@v2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Set up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actions/setup-node@v2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node-version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'16'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Install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          cd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          npm 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          cd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          npm run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REACT_APP_API_URL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${{ secrets.API_URL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Deploy to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jakejarvis/s3-sync-action@master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--acl public-read --follow-symlinks --delete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AWS_S3_BUCKET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${{ secrets.AWS_S3_BUCKET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AWS_ACCESS_KEY_ID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${{ secrets.AWS_ACCESS_KEY_ID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AWS_SECRET_ACCESS_KEY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${{ secrets.AWS_SECRET_ACCESS_KEY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AWS_REGION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'us-east-1'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SOURCE_DIR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'frontend/build'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Invalidate CloudFront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uses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chetan/invalidate-cloudfront-action@v2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DISTRIBUTION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${{ secrets.CLOUDFRONT_DISTRIBUTION_ID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'/*'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AWS_REGION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'us-east-1'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AWS_ACCESS_KEY_ID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${{ secrets.AWS_ACCESS_KEY_ID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6f8fa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0a306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550ae"/>
          <w:sz w:val="20"/>
          <w:szCs w:val="20"/>
          <w:rtl w:val="0"/>
        </w:rPr>
        <w:t xml:space="preserve">AWS_SECRET_ACCESS_KEY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a3069"/>
          <w:sz w:val="20"/>
          <w:szCs w:val="20"/>
          <w:rtl w:val="0"/>
        </w:rPr>
        <w:t xml:space="preserve">${{ secrets.AWS_SECRET_ACCESS_KEY }}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/>
      <w:pict>
        <v:shape id="WordPictureWatermark1" style="position:absolute;width:451.27559055118115pt;height:199.8233017482984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-1009649</wp:posOffset>
          </wp:positionH>
          <wp:positionV relativeFrom="paragraph">
            <wp:posOffset>-457199</wp:posOffset>
          </wp:positionV>
          <wp:extent cx="7586663" cy="73342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6663" cy="733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