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Architecture spec v0.5: the Day 4 insert</w:t>
      </w:r>
    </w:p>
    <w:p>
      <w:pPr>
        <w:spacing w:after="120"/>
      </w:pPr>
      <w:r>
        <w:rPr>
          <w:b/>
        </w:rPr>
        <w:t>What it is:</w:t>
      </w:r>
      <w:r>
        <w:t xml:space="preserve"> Sections 2, 5, 8 and 9 of your spec with today's evidence in them: the four-arm result, your rung, the tool allowlist, the approval gate, the three caps and the owner of every system. Sections 1, 3, 4, 6 and 7 stay as they are.</w:t>
      </w:r>
    </w:p>
    <w:p>
      <w:pPr>
        <w:spacing w:after="120"/>
      </w:pPr>
      <w:r>
        <w:rPr>
          <w:b/>
        </w:rPr>
        <w:t>Who fills it in:</w:t>
      </w:r>
      <w:r>
        <w:t xml:space="preserve"> you, for the system in your spec. Where a prompt says "carry over", copy your v0.4 answer and change it only if today changed it.</w:t>
      </w:r>
    </w:p>
    <w:p>
      <w:pPr>
        <w:spacing w:after="120"/>
      </w:pPr>
      <w:r>
        <w:rPr>
          <w:b/>
        </w:rPr>
        <w:t>How to fill it in:</w:t>
      </w:r>
      <w:r>
        <w:t xml:space="preserve"> type into the shaded boxes. Save as </w:t>
      </w:r>
      <w:r>
        <w:rPr>
          <w:b/>
        </w:rPr>
        <w:t>Spec_&lt;your name&gt;_v0.5.docx</w:t>
      </w:r>
      <w:r>
        <w:t xml:space="preserve"> and post it in the group tonight. Tomorrow at 08:00 you show it for two minutes.</w:t>
      </w:r>
    </w:p>
    <w:p>
      <w:pPr>
        <w:spacing w:after="120"/>
      </w:pPr>
      <w:r>
        <w:rPr>
          <w:b/>
        </w:rPr>
        <w:t>The bar:</w:t>
      </w:r>
      <w:r>
        <w:t xml:space="preserve"> every prompt gets one line, sometimes two. A line that starts with "the model will" and has no number in it is a wish, not a spec. Where you do not know yet, write OPEN, a name and a date. Section 10 of your spec collects them.</w:t>
      </w:r>
    </w:p>
    <w:p>
      <w:pPr>
        <w:spacing w:after="120"/>
      </w:pPr>
      <w:r>
        <w:rPr>
          <w:b/>
        </w:rPr>
        <w:t>Where the answers come from:</w:t>
      </w:r>
      <w:r>
        <w:t xml:space="preserve"> the S19 scorecard workbook, the S23 rung and cost sheet, the S24 agent design sheet, the S25 risk register, the harness handout section 4 and the integration map. Synthetic program material. No real OQ data.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3662"/>
        <w:gridCol w:w="5976"/>
      </w:tblGrid>
      <w:tr>
        <w:trPr>
          <w:tblHeader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Your answer</w:t>
            </w:r>
          </w:p>
        </w:tc>
      </w:tr>
      <w:tr>
        <w:trPr>
          <w:cantSplit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Author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Use case brief (number and name)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662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Version and date</w:t>
            </w:r>
          </w:p>
        </w:tc>
        <w:tc>
          <w:tcPr>
            <w:tcW w:w="5976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v0.5, 2026-09-30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2. The decision (12 min)</w:t>
      </w:r>
    </w:p>
    <w:p>
      <w:pPr>
        <w:pStyle w:val="ListBullet"/>
        <w:keepNext/>
        <w:spacing w:after="40"/>
      </w:pPr>
      <w:r>
        <w:t>Option chosen (A direct, B tenant, C host, D host and tune) and the weighted totals of all four. Carry over.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Gates. Which of G1 to G5 removed an option, and who answered them. Carry over.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What flips it. The one sentence from the matrix. Carry over, or rewrite it if today gave you a new reason.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Day 4: the lever, with the S19 numbers</w:t>
      </w:r>
    </w:p>
    <w:p>
      <w:pPr>
        <w:spacing w:after="80"/>
      </w:pPr>
      <w:r>
        <w:rPr>
          <w:b w:val="0"/>
          <w:i w:val="0"/>
        </w:rPr>
        <w:t>Base, tuned, retrieval, or both? Fill the row for each arm you measured, from your S19 scorecard. Leave a cell blank if you did not measure it, and say so in the box below. A tuned arm that shares the base model's weights is a stand-in, not a measurement.</w:t>
      </w:r>
    </w:p>
    <w:tbl>
      <w:tblPr>
        <w:tblW w:w="963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2600"/>
        <w:gridCol w:w="1650"/>
        <w:gridCol w:w="1650"/>
        <w:gridCol w:w="1850"/>
        <w:gridCol w:w="1888"/>
      </w:tblGrid>
      <w:tr>
        <w:trPr>
          <w:tblHeader/>
        </w:trP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Arm</w:t>
            </w: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Schema-valid</w:t>
            </w: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Routing right</w:t>
            </w:r>
          </w:p>
        </w:tc>
        <w:tc>
          <w:tcPr>
            <w:tcW w:w="18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Knowledge right</w:t>
            </w:r>
          </w:p>
        </w:tc>
        <w:tc>
          <w:tcPr>
            <w:tcW w:w="188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Prompt tokens per call</w:t>
            </w:r>
          </w:p>
        </w:tc>
      </w:tr>
      <w:tr>
        <w:trPr>
          <w:cantSplit/>
        </w:trP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Base</w:t>
            </w: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8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Tuned</w:t>
            </w: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8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Base + retrieval</w:t>
            </w: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8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6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Tuned + retrieval</w:t>
            </w: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5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8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ListBullet"/>
        <w:keepNext/>
        <w:spacing w:after="40"/>
      </w:pPr>
      <w:r>
        <w:t>The lever you chose, and the number that justifies it. Then the group where it is still wrong, or worse.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75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What has to happen when a fact changes: a model release, or a file copy and a rebuild? Who does it, and how do you roll it back?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Day 4: the rung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3300"/>
        <w:gridCol w:w="2300"/>
        <w:gridCol w:w="3678"/>
      </w:tblGrid>
      <w:tr>
        <w:trPr>
          <w:tblHeader/>
        </w:trPr>
        <w:tc>
          <w:tcPr>
            <w:tcW w:w="3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Question (S20)</w:t>
            </w:r>
          </w:p>
        </w:tc>
        <w:tc>
          <w:tcPr>
            <w:tcW w:w="2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Your answer</w:t>
            </w:r>
          </w:p>
        </w:tc>
        <w:tc>
          <w:tcPr>
            <w:tcW w:w="36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it means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1. Can I draw the flowchart?</w:t>
            </w:r>
          </w:p>
        </w:tc>
        <w:tc>
          <w:tcPr>
            <w:tcW w:w="2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Yes: rung 4, a workflow. No, because the branches depend on what is found: rung 5.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2. Does it need to act, or only to answer?</w:t>
            </w:r>
          </w:p>
        </w:tc>
        <w:tc>
          <w:tcPr>
            <w:tcW w:w="2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Only answer: nothing writes. Act: the gate question (section 8).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3. If it is wrong, who finds out and when?</w:t>
            </w:r>
          </w:p>
        </w:tc>
        <w:tc>
          <w:tcPr>
            <w:tcW w:w="2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 person, at once: more autonomy. A system, at an audit: much less. This sets your ceiling.</w:t>
            </w:r>
          </w:p>
        </w:tc>
      </w:tr>
      <w:tr>
        <w:trPr>
          <w:cantSplit/>
        </w:trPr>
        <w:tc>
          <w:tcPr>
            <w:tcW w:w="3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4. How does it know it is finished?</w:t>
            </w:r>
          </w:p>
        </w:tc>
        <w:tc>
          <w:tcPr>
            <w:tcW w:w="2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6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"The model says so" is not a condition. Rung 5 needs three caps (section 8).</w:t>
            </w:r>
          </w:p>
        </w:tc>
      </w:tr>
    </w:tbl>
    <w:p>
      <w:pPr>
        <w:spacing w:after="80" w:before="0"/>
      </w:pPr>
    </w:p>
    <w:p>
      <w:pPr>
        <w:pStyle w:val="ListBullet"/>
        <w:keepNext/>
        <w:spacing w:after="40"/>
      </w:pPr>
      <w:r>
        <w:t>Our rung (0 to 6), and the number from S23 that says so.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The column every architecture missed, and what that says about where the problem is.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What would make us climb one rung.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In Azure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Piece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Azure service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you decide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The loop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Microsoft Foundry Agent Service, or a workflow in your own code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Which one. Either way the tools, scope, caps and trace stay yours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The scorecard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Foundry evaluations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Which endpoint the S19 table is scored on, and who reruns it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The index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Azure AI Search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What it holds, and the revision filter that keeps a superseded document out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5. Retrieval and tools (10 min)</w:t>
      </w:r>
    </w:p>
    <w:p>
      <w:pPr>
        <w:spacing w:after="80"/>
      </w:pPr>
      <w:r>
        <w:rPr>
          <w:b w:val="0"/>
          <w:i/>
        </w:rPr>
        <w:t>Write "none" and skip the retrieval prompts if you retrieve nothing. Keep the tools table either way if the system calls anything.</w:t>
      </w:r>
    </w:p>
    <w:p>
      <w:pPr>
        <w:pStyle w:val="ListBullet"/>
        <w:keepNext/>
        <w:spacing w:after="40"/>
      </w:pPr>
      <w:r>
        <w:t>Sources, freshness and per request (k, context cap, confidence floor). Carry over from your RAG blueprint.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Tools: the allowlist</w:t>
      </w:r>
    </w:p>
    <w:p>
      <w:pPr>
        <w:spacing w:after="80"/>
      </w:pPr>
      <w:r>
        <w:rPr>
          <w:b w:val="0"/>
          <w:i w:val="0"/>
        </w:rPr>
        <w:t>One row per tool. The allowlist lives in your own config, with the server version pinned. "Read-only" is only true if you checked it: the hint is a claim made by whoever wrote the server.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1900"/>
        <w:gridCol w:w="1800"/>
        <w:gridCol w:w="1000"/>
        <w:gridCol w:w="1900"/>
        <w:gridCol w:w="1638"/>
        <w:gridCol w:w="1400"/>
      </w:tblGrid>
      <w:tr>
        <w:trPr>
          <w:tblHeader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Tool</w:t>
            </w: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Server and version</w:t>
            </w: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Read or write</w:t>
            </w: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Approval a write needs</w:t>
            </w: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On error it returns</w:t>
            </w: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7"/>
              </w:rPr>
              <w:t>Read-only, verified by us?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ListBullet"/>
        <w:keepNext/>
        <w:spacing w:after="40"/>
      </w:pPr>
      <w:r>
        <w:t>What each write tool may do: which records, which states, how many. This is the authority line. Blank means the prompt is your access control.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75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Untrusted text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900"/>
        <w:gridCol w:w="3200"/>
        <w:gridCol w:w="1800"/>
        <w:gridCol w:w="1738"/>
      </w:tblGrid>
      <w:tr>
        <w:trPr>
          <w:tblHeader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Channel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Who can write to it</w:t>
            </w: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Reaches the model?</w:t>
            </w: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Fenced and labelled?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7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ListBullet"/>
        <w:keepNext/>
        <w:spacing w:after="40"/>
      </w:pPr>
      <w:r>
        <w:t>Third-party tools: who at OQ owns each one, which version is pinned, and what you do when it upgrades.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In Azure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Piece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Azure service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you decide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Tools as an MCP server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API Management, exposing a REST API as an MCP server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Tools only, and not on the Consumption tier. Check the tier before you plan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Who the server is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Entra managed identity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One identity per server, scoped and revocable, no secret in a notebook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8. Failure and control (12 min)</w:t>
      </w:r>
    </w:p>
    <w:p>
      <w:pPr>
        <w:pStyle w:val="ListBullet"/>
        <w:keepNext/>
        <w:spacing w:after="40"/>
      </w:pPr>
      <w:r>
        <w:t>Wrong answer. Who sees it before it has an effect. If nobody, say so and say why that is acceptable. Carry over.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Model down, kill switch and rollback. Carry over, and add the one line: what removes the write tool from the session, and how fast.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Day 4: the approval gate</w:t>
      </w:r>
    </w:p>
    <w:p>
      <w:pPr>
        <w:pStyle w:val="ListBullet"/>
        <w:keepNext/>
        <w:spacing w:after="40"/>
      </w:pPr>
      <w:r>
        <w:t>Where the gate sits (in the client, in the server, in a person), and what it reads. A gate has to read the record, not only the arguments.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Who approves, and what "approve" commits them to. The approval is of the exact call, not of the intent.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Which way the gate fails when it cannot see the record. Decide it on purpose.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Day 4: the three caps, as numbers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000"/>
        <w:gridCol w:w="1400"/>
        <w:gridCol w:w="3400"/>
        <w:gridCol w:w="2838"/>
      </w:tblGrid>
      <w:tr>
        <w:trPr>
          <w:tblHeader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Cap</w:t>
            </w: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Our value</w:t>
            </w:r>
          </w:p>
        </w:tc>
        <w:tc>
          <w:tcPr>
            <w:tcW w:w="3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How we chose it (measured, not guessed)</w:t>
            </w: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happens when it bites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Steps</w:t>
            </w: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Money per run</w:t>
            </w: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Wall clock per run</w:t>
            </w: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3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8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>Day 4: the five audit fields, for every write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Can we produce it today?</w:t>
            </w: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 it is written, or who fixes it by when</w:t>
            </w:r>
          </w:p>
        </w:tc>
      </w:tr>
      <w:tr>
        <w:trPr>
          <w:cantSplit/>
        </w:trPr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Who asked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What was proposed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Who decided, against which rule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What executed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What changed on the record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44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>Day 4: injection</w:t>
      </w:r>
    </w:p>
    <w:p>
      <w:pPr>
        <w:keepNext/>
        <w:spacing w:after="80"/>
      </w:pPr>
      <w:r>
        <w:rPr>
          <w:b w:val="0"/>
          <w:i w:val="0"/>
        </w:rPr>
        <w:t>Detection is a rate; containment is a property. Build the properties first.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4200"/>
        <w:gridCol w:w="1300"/>
        <w:gridCol w:w="1900"/>
        <w:gridCol w:w="2238"/>
      </w:tblGrid>
      <w:tr>
        <w:trPr>
          <w:tblHeader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Defense, in the order to build it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In place?</w:t>
            </w: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Property or rate?</w:t>
            </w: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Where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1. List every channel of untrusted text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2. Remove the capability (tool absent)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3. Scope the data the session can read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4. Scope the writes, with refusals that explain themselves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5. Split the session that holds all three properties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6. Fence and label tool output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4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7. Screen the input</w:t>
            </w:r>
          </w:p>
        </w:tc>
        <w:tc>
          <w:tcPr>
            <w:tcW w:w="13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9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ListBullet"/>
        <w:keepNext/>
        <w:spacing w:after="40"/>
      </w:pPr>
      <w:r>
        <w:t>The injection test you ran against your own system, and what happened. If you have not run one, write OPEN, a name and a date.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In Azure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Piece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Azure service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you decide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Screening the input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Prompt Shields in Azure AI Content Safety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 detection control, so a rate. Never your only one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Containment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Entra managed identity and narrow role assignments, per session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read scope and the write scope, so a property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The trace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Application Insights tracing, through Foundry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The run-level trace. The five audit fields are what you add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9. Ownership and rollout (6 min)</w:t>
      </w:r>
    </w:p>
    <w:p>
      <w:pPr>
        <w:pStyle w:val="ListBullet"/>
        <w:keepNext/>
        <w:spacing w:after="40"/>
      </w:pPr>
      <w:r>
        <w:t>Owner. Name and role. The person who is paged. Carry over.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25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ListBullet"/>
        <w:keepNext/>
        <w:spacing w:after="40"/>
      </w:pPr>
      <w:r>
        <w:t>Pilot and first 30 days. Carry over.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Day 4: one row per system, from your integration map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000"/>
        <w:gridCol w:w="2100"/>
        <w:gridCol w:w="1400"/>
        <w:gridCol w:w="1500"/>
        <w:gridCol w:w="2638"/>
      </w:tblGrid>
      <w:tr>
        <w:trPr>
          <w:tblHeader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w="21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Owner (a person, or ?)</w:t>
            </w: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Access today</w:t>
            </w:r>
          </w:p>
        </w:tc>
        <w:tc>
          <w:tcPr>
            <w:tcW w:w="1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Thursday: real, mock or out</w:t>
            </w:r>
          </w:p>
        </w:tc>
        <w:tc>
          <w:tcPr>
            <w:tcW w:w="2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1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6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Heading2"/>
      </w:pPr>
      <w:r>
        <w:t>The ask list</w:t>
      </w:r>
    </w:p>
    <w:p>
      <w:pPr>
        <w:spacing w:after="80"/>
      </w:pPr>
      <w:r>
        <w:rPr>
          <w:b w:val="0"/>
          <w:i w:val="0"/>
        </w:rPr>
        <w:t>One line each. Every one needs a date before Thursday. This is page one of the governance pack.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400"/>
        <w:gridCol w:w="5238"/>
        <w:gridCol w:w="2000"/>
      </w:tblGrid>
      <w:tr>
        <w:trPr>
          <w:tblHeader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w="5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you need from them</w:t>
            </w: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By when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5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5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5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5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52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0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p>
      <w:pPr>
        <w:pStyle w:val="ListBullet"/>
        <w:keepNext/>
        <w:spacing w:after="40"/>
      </w:pPr>
      <w:r>
        <w:t>Sign-offs needed before pilot: data owner, security, the team whose process changes, and whoever signs that this text may leave OQ.</w:t>
      </w:r>
    </w:p>
    <w:tbl>
      <w:tblPr>
        <w:tblW w:w="9278" w:type="dxa"/>
        <w:tblInd w:w="360" w:type="dxa"/>
        <w:tblLayout w:type="fixed"/>
        <w:tblLook w:firstColumn="1" w:firstRow="1" w:lastColumn="0" w:lastRow="0" w:noHBand="0" w:noVBand="1" w:val="04A0"/>
      </w:tblPr>
      <w:tblGrid>
        <w:gridCol w:w="9278"/>
      </w:tblGrid>
      <w:tr>
        <w:trPr>
          <w:trHeight w:val="500" w:hRule="atLeast"/>
        </w:trPr>
        <w:tc>
          <w:tcPr>
            <w:tcW w:w="927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60" w:before="0"/>
      </w:pPr>
    </w:p>
    <w:p>
      <w:pPr>
        <w:pStyle w:val="Heading2"/>
      </w:pPr>
      <w:r>
        <w:t>In Azure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Piece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Azure service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What you decide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Owner and access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Microsoft Entra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Who owns each identity, and who reviews the role assignments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sz w:val="18"/>
              </w:rPr>
              <w:t>The audit trail</w:t>
            </w:r>
          </w:p>
        </w:tc>
        <w:tc>
          <w:tcPr>
            <w:tcW w:w="3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Application Insights tracing</w:t>
            </w:r>
          </w:p>
        </w:tc>
        <w:tc>
          <w:tcPr>
            <w:tcW w:w="40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Who reads it, how long it is kept, and what triggers a review</w:t>
            </w:r>
          </w:p>
        </w:tc>
      </w:tr>
    </w:tbl>
    <w:p>
      <w:pPr>
        <w:spacing w:after="80" w:before="0"/>
      </w:pPr>
    </w:p>
    <w:p>
      <w:pPr>
        <w:pStyle w:val="Heading1"/>
      </w:pPr>
      <w:r>
        <w:t>10. Open questions</w:t>
      </w:r>
    </w:p>
    <w:p>
      <w:pPr>
        <w:spacing w:after="80"/>
      </w:pPr>
      <w:r>
        <w:rPr>
          <w:b w:val="0"/>
          <w:i w:val="0"/>
        </w:rPr>
        <w:t>Everything marked OPEN above, each with a name and a date.</w:t>
      </w:r>
    </w:p>
    <w:tbl>
      <w:tblPr>
        <w:tblW w:w="9638" w:type="dxa"/>
        <w:tblLayout w:type="fixed"/>
        <w:tblLook w:firstColumn="1" w:firstRow="1" w:lastColumn="0" w:lastRow="0" w:noHBand="0" w:noVBand="1" w:val="04A0"/>
      </w:tblPr>
      <w:tblGrid>
        <w:gridCol w:w="500"/>
        <w:gridCol w:w="5138"/>
        <w:gridCol w:w="2200"/>
        <w:gridCol w:w="1800"/>
      </w:tblGrid>
      <w:tr>
        <w:trPr>
          <w:tblHeader/>
        </w:trPr>
        <w:tc>
          <w:tcPr>
            <w:tcW w:w="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w="51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Question</w:t>
            </w:r>
          </w:p>
        </w:tc>
        <w:tc>
          <w:tcPr>
            <w:tcW w:w="2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Who</w:t>
            </w: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1C1C6B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i w:val="0"/>
                <w:color w:val="FFFFFF"/>
                <w:sz w:val="18"/>
              </w:rPr>
              <w:t>By when</w:t>
            </w:r>
          </w:p>
        </w:tc>
      </w:tr>
      <w:tr>
        <w:trPr>
          <w:cantSplit/>
        </w:trPr>
        <w:tc>
          <w:tcPr>
            <w:tcW w:w="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w="51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w="51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w="51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w="51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w="5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w="5138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22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  <w:tc>
          <w:tcPr>
            <w:tcW w:w="1800" w:type="dxa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FF7DD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pPr>
              <w:spacing w:after="0"/>
            </w:pPr>
          </w:p>
        </w:tc>
      </w:tr>
    </w:tbl>
    <w:p>
      <w:pPr>
        <w:spacing w:after="80" w:before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color w:val="555555"/>
        <w:sz w:val="15"/>
      </w:rPr>
      <w:t>TRACEZ Training &amp; Consultancy Services – India &amp; Middle East  |  www.tracezglobal.com</w:t>
      <w:tab/>
      <w:t xml:space="preserve">Page </w:t>
    </w:r>
    <w:r>
      <w:rPr>
        <w:color w:val="555555"/>
        <w:sz w:val="15"/>
      </w:rPr>
      <w:fldChar w:fldCharType="begin"/>
    </w:r>
    <w:r>
      <w:rPr>
        <w:color w:val="555555"/>
        <w:sz w:val="15"/>
      </w:rPr>
      <w:instrText xml:space="preserve"> PAGE </w:instrText>
    </w:r>
    <w:r>
      <w:rPr>
        <w:color w:val="555555"/>
        <w:sz w:val="15"/>
      </w:rPr>
      <w:fldChar w:fldCharType="separate"/>
    </w:r>
    <w:r>
      <w:rPr>
        <w:color w:val="555555"/>
        <w:sz w:val="15"/>
      </w:rPr>
      <w:t>1</w:t>
    </w:r>
    <w:r>
      <w:rPr>
        <w:color w:val="555555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color w:val="555555"/>
        <w:sz w:val="15"/>
      </w:rPr>
      <w:t>TRACEZ Training Services</w:t>
      <w:tab/>
      <w:t>Advanced AI for IT  |  OQ  |  Day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="Calibri" w:hAnsi="Calibri" w:eastAsia="Calibri" w:cs="Calibri"/>
      <w:b/>
      <w:bCs/>
      <w:color w:val="1C1C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="Calibri" w:hAnsi="Calibri" w:eastAsia="Calibri" w:cs="Calibri"/>
      <w:b/>
      <w:bCs/>
      <w:color w:val="1C1C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="Calibri" w:hAnsi="Calibri" w:eastAsia="Calibri" w:cs="Calibri"/>
      <w:b/>
      <w:color w:val="1C1C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