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CC7" w:rsidRPr="00681CC7" w:rsidRDefault="00681CC7" w:rsidP="00681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CC7">
        <w:rPr>
          <w:rFonts w:ascii="Times New Roman" w:eastAsia="Times New Roman" w:hAnsi="Times New Roman" w:cs="Times New Roman"/>
          <w:b/>
          <w:bCs/>
          <w:sz w:val="36"/>
          <w:szCs w:val="36"/>
        </w:rPr>
        <w:t>Scope of Companies</w:t>
      </w:r>
    </w:p>
    <w:p w:rsidR="00681CC7" w:rsidRPr="00681CC7" w:rsidRDefault="00681CC7" w:rsidP="00681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>The 1000 companies will be selected across two primary baskets:</w: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CC7">
        <w:rPr>
          <w:rFonts w:ascii="Times New Roman" w:eastAsia="Times New Roman" w:hAnsi="Times New Roman" w:cs="Times New Roman"/>
          <w:b/>
          <w:bCs/>
          <w:sz w:val="27"/>
          <w:szCs w:val="27"/>
        </w:rPr>
        <w:t>Basket A: Specialty Manufacturing (Core Focus)</w:t>
      </w:r>
    </w:p>
    <w:p w:rsidR="00681CC7" w:rsidRPr="00681CC7" w:rsidRDefault="00681CC7" w:rsidP="00681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>This includes companies with deep specialization, strong R&amp;D, and high entry barriers:</w:t>
      </w:r>
    </w:p>
    <w:p w:rsidR="00681CC7" w:rsidRPr="00681CC7" w:rsidRDefault="00681CC7" w:rsidP="00681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Specialty Biotech (enzymes, probiotics, fermentation-based products) </w:t>
      </w:r>
    </w:p>
    <w:p w:rsidR="00681CC7" w:rsidRPr="00681CC7" w:rsidRDefault="00681CC7" w:rsidP="00681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Diagnostics &amp; Life Science Tools (kits, reagents, antibodies) </w:t>
      </w:r>
    </w:p>
    <w:p w:rsidR="00681CC7" w:rsidRPr="00681CC7" w:rsidRDefault="00681CC7" w:rsidP="00681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Custom Synthesis &amp; Specialty Chemicals (pharma/agro intermediates) </w:t>
      </w:r>
    </w:p>
    <w:p w:rsidR="00681CC7" w:rsidRPr="00681CC7" w:rsidRDefault="00681CC7" w:rsidP="00681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Performance Chemicals (coatings, additives, surfactants) </w: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CC7">
        <w:rPr>
          <w:rFonts w:ascii="Times New Roman" w:eastAsia="Times New Roman" w:hAnsi="Times New Roman" w:cs="Times New Roman"/>
          <w:b/>
          <w:bCs/>
          <w:sz w:val="27"/>
          <w:szCs w:val="27"/>
        </w:rPr>
        <w:t>Basket B: Adjacent Specialty (Secondary Focus)</w:t>
      </w:r>
    </w:p>
    <w:p w:rsidR="00681CC7" w:rsidRPr="00681CC7" w:rsidRDefault="00681CC7" w:rsidP="00681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>This includes closely related, innovation-driven industries:</w:t>
      </w:r>
    </w:p>
    <w:p w:rsidR="00681CC7" w:rsidRPr="00681CC7" w:rsidRDefault="00681CC7" w:rsidP="00681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Complex APIs &amp; Regulated Pharma (HPAPI, peptides, injectables) </w:t>
      </w:r>
    </w:p>
    <w:p w:rsidR="00681CC7" w:rsidRPr="00681CC7" w:rsidRDefault="00681CC7" w:rsidP="00681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Medical Devices (implants, surgical tools, wearables) </w:t>
      </w:r>
    </w:p>
    <w:p w:rsidR="00681CC7" w:rsidRPr="00681CC7" w:rsidRDefault="00681CC7" w:rsidP="00681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Agri-tech (hybrid seeds, biofertilizers) </w:t>
      </w:r>
    </w:p>
    <w:p w:rsidR="00681CC7" w:rsidRPr="00681CC7" w:rsidRDefault="00681CC7" w:rsidP="00681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Nutraceutical Ingredients (plant protein, extracts) </w:t>
      </w:r>
    </w:p>
    <w:p w:rsidR="00681CC7" w:rsidRPr="00681CC7" w:rsidRDefault="00681CC7" w:rsidP="00681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Industrial Sensors &amp; Instrumentation (automation, IoT) </w:t>
      </w:r>
    </w:p>
    <w:p w:rsidR="00681CC7" w:rsidRPr="00681CC7" w:rsidRDefault="00681CC7" w:rsidP="00681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Animal Health (vaccines, feed additives) </w:t>
      </w:r>
    </w:p>
    <w:p w:rsidR="00681CC7" w:rsidRPr="00681CC7" w:rsidRDefault="00681CC7" w:rsidP="00681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CC7">
        <w:rPr>
          <w:rFonts w:ascii="Times New Roman" w:eastAsia="Times New Roman" w:hAnsi="Times New Roman" w:cs="Times New Roman"/>
          <w:b/>
          <w:bCs/>
          <w:sz w:val="36"/>
          <w:szCs w:val="36"/>
        </w:rPr>
        <w:t>Sourcing Strategy</w: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CC7">
        <w:rPr>
          <w:rFonts w:ascii="Times New Roman" w:eastAsia="Times New Roman" w:hAnsi="Times New Roman" w:cs="Times New Roman"/>
          <w:b/>
          <w:bCs/>
          <w:sz w:val="27"/>
          <w:szCs w:val="27"/>
        </w:rPr>
        <w:t>1. Primary Data Sources</w:t>
      </w:r>
    </w:p>
    <w:p w:rsidR="00681CC7" w:rsidRPr="00681CC7" w:rsidRDefault="00681CC7" w:rsidP="00681C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Company websites and annual reports </w:t>
      </w:r>
    </w:p>
    <w:p w:rsidR="00681CC7" w:rsidRPr="00681CC7" w:rsidRDefault="00681CC7" w:rsidP="00681C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Industry reports and sector databases </w:t>
      </w:r>
    </w:p>
    <w:p w:rsidR="00681CC7" w:rsidRPr="00681CC7" w:rsidRDefault="00681CC7" w:rsidP="00681C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Government and regulatory filings </w:t>
      </w:r>
    </w:p>
    <w:p w:rsidR="00681CC7" w:rsidRPr="00681CC7" w:rsidRDefault="00681CC7" w:rsidP="00681C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LinkedIn and professional directories </w:t>
      </w:r>
    </w:p>
    <w:p w:rsidR="00681CC7" w:rsidRPr="00681CC7" w:rsidRDefault="00681CC7" w:rsidP="00681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CC7">
        <w:rPr>
          <w:rFonts w:ascii="Times New Roman" w:eastAsia="Times New Roman" w:hAnsi="Times New Roman" w:cs="Times New Roman"/>
          <w:b/>
          <w:bCs/>
          <w:sz w:val="27"/>
          <w:szCs w:val="27"/>
        </w:rPr>
        <w:t>2. Secondary Data Sources</w:t>
      </w:r>
    </w:p>
    <w:p w:rsidR="00681CC7" w:rsidRPr="00681CC7" w:rsidRDefault="00681CC7" w:rsidP="00681C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Research articles and market studies </w:t>
      </w:r>
    </w:p>
    <w:p w:rsidR="00681CC7" w:rsidRPr="00681CC7" w:rsidRDefault="00681CC7" w:rsidP="00681C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Investor presentations </w:t>
      </w:r>
    </w:p>
    <w:p w:rsidR="00681CC7" w:rsidRPr="00681CC7" w:rsidRDefault="00681CC7" w:rsidP="00681C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Industry blogs and expert insights </w:t>
      </w:r>
    </w:p>
    <w:p w:rsidR="00681CC7" w:rsidRPr="00681CC7" w:rsidRDefault="00681CC7" w:rsidP="00681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CC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Selection Criteria</w:t>
      </w:r>
    </w:p>
    <w:p w:rsidR="00681CC7" w:rsidRPr="00681CC7" w:rsidRDefault="00681CC7" w:rsidP="00681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>Each company will be evaluated based on:</w:t>
      </w:r>
    </w:p>
    <w:p w:rsidR="00681CC7" w:rsidRPr="00681CC7" w:rsidRDefault="00681CC7" w:rsidP="00681C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Specialization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→ Niche products vs commodity </w:t>
      </w:r>
    </w:p>
    <w:p w:rsidR="00681CC7" w:rsidRPr="00681CC7" w:rsidRDefault="00681CC7" w:rsidP="00681C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Model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→ B2B, export-oriented, or innovation-led </w:t>
      </w:r>
    </w:p>
    <w:p w:rsidR="00681CC7" w:rsidRPr="00681CC7" w:rsidRDefault="00681CC7" w:rsidP="00681C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R&amp;D Intensity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→ Presence of innovation or patents </w:t>
      </w:r>
    </w:p>
    <w:p w:rsidR="00681CC7" w:rsidRPr="00681CC7" w:rsidRDefault="00681CC7" w:rsidP="00681C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Market Position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→ Leadership or strong positioning </w:t>
      </w:r>
    </w:p>
    <w:p w:rsidR="00681CC7" w:rsidRPr="00681CC7" w:rsidRDefault="00681CC7" w:rsidP="00681C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→ Growth potential and global demand </w:t>
      </w:r>
    </w:p>
    <w:p w:rsidR="00681CC7" w:rsidRPr="00681CC7" w:rsidRDefault="00681CC7" w:rsidP="00681C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Complexity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→ Entry barriers (higher = better) </w:t>
      </w:r>
    </w:p>
    <w:p w:rsidR="00681CC7" w:rsidRPr="00681CC7" w:rsidRDefault="00681CC7" w:rsidP="00681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CC7">
        <w:rPr>
          <w:rFonts w:ascii="Times New Roman" w:eastAsia="Times New Roman" w:hAnsi="Times New Roman" w:cs="Times New Roman"/>
          <w:b/>
          <w:bCs/>
          <w:sz w:val="36"/>
          <w:szCs w:val="36"/>
        </w:rPr>
        <w:t>Scoring Framework</w:t>
      </w:r>
    </w:p>
    <w:p w:rsidR="00681CC7" w:rsidRPr="00681CC7" w:rsidRDefault="00681CC7" w:rsidP="00681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>Each company will be scored on a scale (e.g., Low / Medium / High or numerical scoring) based on:</w:t>
      </w:r>
    </w:p>
    <w:p w:rsidR="00681CC7" w:rsidRPr="00681CC7" w:rsidRDefault="00681CC7" w:rsidP="00681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Product complexity </w:t>
      </w:r>
    </w:p>
    <w:p w:rsidR="00681CC7" w:rsidRPr="00681CC7" w:rsidRDefault="00681CC7" w:rsidP="00681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Margin potential </w:t>
      </w:r>
    </w:p>
    <w:p w:rsidR="00681CC7" w:rsidRPr="00681CC7" w:rsidRDefault="00681CC7" w:rsidP="00681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Industry attractiveness </w:t>
      </w:r>
    </w:p>
    <w:p w:rsidR="00681CC7" w:rsidRPr="00681CC7" w:rsidRDefault="00681CC7" w:rsidP="00681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Competitive advantage </w:t>
      </w:r>
    </w:p>
    <w:p w:rsidR="00681CC7" w:rsidRPr="00681CC7" w:rsidRDefault="00681CC7" w:rsidP="00681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Risk level </w:t>
      </w:r>
    </w:p>
    <w:p w:rsidR="00681CC7" w:rsidRPr="00681CC7" w:rsidRDefault="00681CC7" w:rsidP="00681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>This ensures objective comparison across all 1000 companies.</w:t>
      </w:r>
    </w:p>
    <w:p w:rsidR="00681CC7" w:rsidRPr="00681CC7" w:rsidRDefault="00681CC7" w:rsidP="00681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CC7">
        <w:rPr>
          <w:rFonts w:ascii="Times New Roman" w:eastAsia="Times New Roman" w:hAnsi="Times New Roman" w:cs="Times New Roman"/>
          <w:b/>
          <w:bCs/>
          <w:sz w:val="36"/>
          <w:szCs w:val="36"/>
        </w:rPr>
        <w:t>Execution Plan</w: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CC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Initial Longlist (1500–2000 companies)</w:t>
      </w:r>
    </w:p>
    <w:p w:rsidR="00681CC7" w:rsidRPr="00681CC7" w:rsidRDefault="00681CC7" w:rsidP="00681C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Broad sourcing across all segments </w:t>
      </w:r>
    </w:p>
    <w:p w:rsidR="00681CC7" w:rsidRPr="00681CC7" w:rsidRDefault="00681CC7" w:rsidP="00681C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Removal of clearly irrelevant or low-quality businesses </w: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CC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Filtering (Down to 1000 companies)</w:t>
      </w:r>
    </w:p>
    <w:p w:rsidR="00681CC7" w:rsidRPr="00681CC7" w:rsidRDefault="00681CC7" w:rsidP="00681C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Apply selection criteria </w:t>
      </w:r>
    </w:p>
    <w:p w:rsidR="00681CC7" w:rsidRPr="00681CC7" w:rsidRDefault="00681CC7" w:rsidP="00681C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Focus on specialization and scalability </w: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CC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Categorization</w:t>
      </w:r>
    </w:p>
    <w:p w:rsidR="00681CC7" w:rsidRPr="00681CC7" w:rsidRDefault="00681CC7" w:rsidP="00681C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Assign each company to Basket A or Basket B </w:t>
      </w:r>
    </w:p>
    <w:p w:rsidR="00681CC7" w:rsidRPr="00681CC7" w:rsidRDefault="00681CC7" w:rsidP="00681C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Further divide into sub-segments </w: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CC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Data Structuring</w:t>
      </w:r>
    </w:p>
    <w:p w:rsidR="00681CC7" w:rsidRPr="00681CC7" w:rsidRDefault="00681CC7" w:rsidP="00681C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Store company data in CSV format </w:t>
      </w:r>
    </w:p>
    <w:p w:rsidR="00681CC7" w:rsidRPr="00681CC7" w:rsidRDefault="00681CC7" w:rsidP="00681C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Include: </w:t>
      </w:r>
    </w:p>
    <w:p w:rsidR="00681CC7" w:rsidRPr="00681CC7" w:rsidRDefault="00681CC7" w:rsidP="00681C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Company name </w:t>
      </w:r>
    </w:p>
    <w:p w:rsidR="00681CC7" w:rsidRPr="00681CC7" w:rsidRDefault="00681CC7" w:rsidP="00681C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Sector </w:t>
      </w:r>
    </w:p>
    <w:p w:rsidR="00681CC7" w:rsidRPr="00681CC7" w:rsidRDefault="00681CC7" w:rsidP="00681C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Sub-segment </w:t>
      </w:r>
    </w:p>
    <w:p w:rsidR="00681CC7" w:rsidRPr="00681CC7" w:rsidRDefault="00681CC7" w:rsidP="00681C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Score </w:t>
      </w:r>
    </w:p>
    <w:p w:rsidR="00681CC7" w:rsidRPr="00681CC7" w:rsidRDefault="00681CC7" w:rsidP="00681C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Key notes / evidence </w:t>
      </w:r>
    </w:p>
    <w:p w:rsidR="00681CC7" w:rsidRPr="00681CC7" w:rsidRDefault="00681CC7" w:rsidP="00681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CC7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:rsidR="00681CC7" w:rsidRPr="00681CC7" w:rsidRDefault="00681CC7" w:rsidP="00681C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CSV file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with 1000 companies (scored + categorized) </w:t>
      </w:r>
    </w:p>
    <w:p w:rsidR="00681CC7" w:rsidRPr="00681CC7" w:rsidRDefault="00681CC7" w:rsidP="00681C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 document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explaining approach </w:t>
      </w:r>
    </w:p>
    <w:p w:rsidR="00681CC7" w:rsidRPr="00681CC7" w:rsidRDefault="00681CC7" w:rsidP="00681C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evidence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for company classification </w:t>
      </w:r>
    </w:p>
    <w:p w:rsidR="00681CC7" w:rsidRPr="00681CC7" w:rsidRDefault="00681CC7" w:rsidP="00681C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code/tools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used for data collection </w:t>
      </w:r>
    </w:p>
    <w:p w:rsidR="00681CC7" w:rsidRPr="00681CC7" w:rsidRDefault="00681CC7" w:rsidP="00681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CC7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5"/>
        <w:gridCol w:w="3110"/>
      </w:tblGrid>
      <w:tr w:rsidR="00681CC7" w:rsidRPr="00681CC7" w:rsidTr="00681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1CC7" w:rsidRPr="00681CC7" w:rsidRDefault="00681CC7" w:rsidP="0068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1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681CC7" w:rsidRPr="00681CC7" w:rsidRDefault="00681CC7" w:rsidP="0068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1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681CC7" w:rsidRPr="00681CC7" w:rsidTr="00681C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CC7" w:rsidRPr="00681CC7" w:rsidRDefault="00681CC7" w:rsidP="00681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1CC7">
              <w:rPr>
                <w:rFonts w:ascii="Times New Roman" w:eastAsia="Times New Roman" w:hAnsi="Times New Roman" w:cs="Times New Roman"/>
                <w:sz w:val="24"/>
                <w:szCs w:val="24"/>
              </w:rPr>
              <w:t>Data availability</w:t>
            </w:r>
          </w:p>
        </w:tc>
        <w:tc>
          <w:tcPr>
            <w:tcW w:w="0" w:type="auto"/>
            <w:vAlign w:val="center"/>
            <w:hideMark/>
          </w:tcPr>
          <w:p w:rsidR="00681CC7" w:rsidRPr="00681CC7" w:rsidRDefault="00681CC7" w:rsidP="00681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1CC7">
              <w:rPr>
                <w:rFonts w:ascii="Times New Roman" w:eastAsia="Times New Roman" w:hAnsi="Times New Roman" w:cs="Times New Roman"/>
                <w:sz w:val="24"/>
                <w:szCs w:val="24"/>
              </w:rPr>
              <w:t>Use multiple sources</w:t>
            </w:r>
          </w:p>
        </w:tc>
      </w:tr>
      <w:tr w:rsidR="00681CC7" w:rsidRPr="00681CC7" w:rsidTr="00681C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CC7" w:rsidRPr="00681CC7" w:rsidRDefault="00681CC7" w:rsidP="00681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1CC7">
              <w:rPr>
                <w:rFonts w:ascii="Times New Roman" w:eastAsia="Times New Roman" w:hAnsi="Times New Roman" w:cs="Times New Roman"/>
                <w:sz w:val="24"/>
                <w:szCs w:val="24"/>
              </w:rPr>
              <w:t>Misclassification</w:t>
            </w:r>
          </w:p>
        </w:tc>
        <w:tc>
          <w:tcPr>
            <w:tcW w:w="0" w:type="auto"/>
            <w:vAlign w:val="center"/>
            <w:hideMark/>
          </w:tcPr>
          <w:p w:rsidR="00681CC7" w:rsidRPr="00681CC7" w:rsidRDefault="00681CC7" w:rsidP="00681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1CC7">
              <w:rPr>
                <w:rFonts w:ascii="Times New Roman" w:eastAsia="Times New Roman" w:hAnsi="Times New Roman" w:cs="Times New Roman"/>
                <w:sz w:val="24"/>
                <w:szCs w:val="24"/>
              </w:rPr>
              <w:t>Cross-check with 2+ references</w:t>
            </w:r>
          </w:p>
        </w:tc>
      </w:tr>
      <w:tr w:rsidR="00681CC7" w:rsidRPr="00681CC7" w:rsidTr="00681C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CC7" w:rsidRPr="00681CC7" w:rsidRDefault="00681CC7" w:rsidP="00681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1CC7">
              <w:rPr>
                <w:rFonts w:ascii="Times New Roman" w:eastAsia="Times New Roman" w:hAnsi="Times New Roman" w:cs="Times New Roman"/>
                <w:sz w:val="24"/>
                <w:szCs w:val="24"/>
              </w:rPr>
              <w:t>Bias in scoring</w:t>
            </w:r>
          </w:p>
        </w:tc>
        <w:tc>
          <w:tcPr>
            <w:tcW w:w="0" w:type="auto"/>
            <w:vAlign w:val="center"/>
            <w:hideMark/>
          </w:tcPr>
          <w:p w:rsidR="00681CC7" w:rsidRPr="00681CC7" w:rsidRDefault="00681CC7" w:rsidP="00681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1CC7">
              <w:rPr>
                <w:rFonts w:ascii="Times New Roman" w:eastAsia="Times New Roman" w:hAnsi="Times New Roman" w:cs="Times New Roman"/>
                <w:sz w:val="24"/>
                <w:szCs w:val="24"/>
              </w:rPr>
              <w:t>Use standardized framework</w:t>
            </w:r>
          </w:p>
        </w:tc>
      </w:tr>
    </w:tbl>
    <w:p w:rsidR="00681CC7" w:rsidRPr="00681CC7" w:rsidRDefault="00681CC7" w:rsidP="00681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CC7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Outcome</w:t>
      </w:r>
    </w:p>
    <w:p w:rsidR="00681CC7" w:rsidRPr="00681CC7" w:rsidRDefault="00681CC7" w:rsidP="00681C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high-quality, research-backed database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 of 1000 companies </w:t>
      </w:r>
    </w:p>
    <w:p w:rsidR="00681CC7" w:rsidRPr="00681CC7" w:rsidRDefault="00681CC7" w:rsidP="00681C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Clear segmentation across specialty industries </w:t>
      </w:r>
    </w:p>
    <w:p w:rsidR="00681CC7" w:rsidRPr="00681CC7" w:rsidRDefault="00681CC7" w:rsidP="00681C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Actionable insights for analysis, investment, or research purposes </w:t>
      </w:r>
    </w:p>
    <w:p w:rsidR="00681CC7" w:rsidRPr="00681CC7" w:rsidRDefault="00681CC7" w:rsidP="00681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81CC7" w:rsidRPr="00681CC7" w:rsidRDefault="00681CC7" w:rsidP="00681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CC7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681CC7" w:rsidRPr="00681CC7" w:rsidRDefault="00681CC7" w:rsidP="00681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CC7">
        <w:rPr>
          <w:rFonts w:ascii="Times New Roman" w:eastAsia="Times New Roman" w:hAnsi="Times New Roman" w:cs="Times New Roman"/>
          <w:sz w:val="24"/>
          <w:szCs w:val="24"/>
        </w:rPr>
        <w:t xml:space="preserve">This structured approach ensures that the final list of 1000 companies is not just large, but </w:t>
      </w:r>
      <w:r w:rsidRPr="00681CC7">
        <w:rPr>
          <w:rFonts w:ascii="Times New Roman" w:eastAsia="Times New Roman" w:hAnsi="Times New Roman" w:cs="Times New Roman"/>
          <w:b/>
          <w:bCs/>
          <w:sz w:val="24"/>
          <w:szCs w:val="24"/>
        </w:rPr>
        <w:t>meaningful, high-quality, and strategically segmented</w:t>
      </w:r>
      <w:r w:rsidRPr="00681CC7">
        <w:rPr>
          <w:rFonts w:ascii="Times New Roman" w:eastAsia="Times New Roman" w:hAnsi="Times New Roman" w:cs="Times New Roman"/>
          <w:sz w:val="24"/>
          <w:szCs w:val="24"/>
        </w:rPr>
        <w:t>, focusing on industries with strong long-term potential and competitive advantages.</w:t>
      </w:r>
    </w:p>
    <w:p w:rsidR="005A713C" w:rsidRDefault="005A713C" w:rsidP="00D13EA3"/>
    <w:sectPr w:rsidR="005A713C" w:rsidSect="00990629">
      <w:headerReference w:type="default" r:id="rId7"/>
      <w:pgSz w:w="12240" w:h="15840"/>
      <w:pgMar w:top="1440" w:right="1440" w:bottom="1440" w:left="1440" w:header="0" w:footer="43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5EFA" w:rsidRDefault="00835EFA" w:rsidP="00D13EA3">
      <w:pPr>
        <w:spacing w:after="0" w:line="240" w:lineRule="auto"/>
      </w:pPr>
      <w:r>
        <w:separator/>
      </w:r>
    </w:p>
  </w:endnote>
  <w:endnote w:type="continuationSeparator" w:id="1">
    <w:p w:rsidR="00835EFA" w:rsidRDefault="00835EFA" w:rsidP="00D13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5EFA" w:rsidRDefault="00835EFA" w:rsidP="00D13EA3">
      <w:pPr>
        <w:spacing w:after="0" w:line="240" w:lineRule="auto"/>
      </w:pPr>
      <w:r>
        <w:separator/>
      </w:r>
    </w:p>
  </w:footnote>
  <w:footnote w:type="continuationSeparator" w:id="1">
    <w:p w:rsidR="00835EFA" w:rsidRDefault="00835EFA" w:rsidP="00D13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EA3" w:rsidRDefault="00D13EA3">
    <w:pPr>
      <w:pStyle w:val="Header"/>
    </w:pPr>
  </w:p>
  <w:p w:rsidR="00D13EA3" w:rsidRDefault="00D13EA3">
    <w:pPr>
      <w:pStyle w:val="Header"/>
    </w:pPr>
  </w:p>
  <w:p w:rsidR="00D13EA3" w:rsidRDefault="00D13EA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56D5C"/>
    <w:multiLevelType w:val="hybridMultilevel"/>
    <w:tmpl w:val="02BC5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585094"/>
    <w:multiLevelType w:val="multilevel"/>
    <w:tmpl w:val="E4C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822CB1"/>
    <w:multiLevelType w:val="multilevel"/>
    <w:tmpl w:val="918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04C42"/>
    <w:multiLevelType w:val="multilevel"/>
    <w:tmpl w:val="689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3156A0"/>
    <w:multiLevelType w:val="hybridMultilevel"/>
    <w:tmpl w:val="F60EF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1E2698"/>
    <w:multiLevelType w:val="multilevel"/>
    <w:tmpl w:val="A9C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7F190F"/>
    <w:multiLevelType w:val="multilevel"/>
    <w:tmpl w:val="1214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2B65D5"/>
    <w:multiLevelType w:val="multilevel"/>
    <w:tmpl w:val="CA7A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F342C7"/>
    <w:multiLevelType w:val="multilevel"/>
    <w:tmpl w:val="1B26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B814DB"/>
    <w:multiLevelType w:val="multilevel"/>
    <w:tmpl w:val="8BD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B72358"/>
    <w:multiLevelType w:val="multilevel"/>
    <w:tmpl w:val="21F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C634E0"/>
    <w:multiLevelType w:val="multilevel"/>
    <w:tmpl w:val="53E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11418F"/>
    <w:multiLevelType w:val="multilevel"/>
    <w:tmpl w:val="95A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6D7308"/>
    <w:multiLevelType w:val="multilevel"/>
    <w:tmpl w:val="B998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2"/>
  </w:num>
  <w:num w:numId="5">
    <w:abstractNumId w:val="7"/>
  </w:num>
  <w:num w:numId="6">
    <w:abstractNumId w:val="13"/>
  </w:num>
  <w:num w:numId="7">
    <w:abstractNumId w:val="9"/>
  </w:num>
  <w:num w:numId="8">
    <w:abstractNumId w:val="12"/>
  </w:num>
  <w:num w:numId="9">
    <w:abstractNumId w:val="3"/>
  </w:num>
  <w:num w:numId="10">
    <w:abstractNumId w:val="10"/>
  </w:num>
  <w:num w:numId="11">
    <w:abstractNumId w:val="6"/>
  </w:num>
  <w:num w:numId="12">
    <w:abstractNumId w:val="1"/>
  </w:num>
  <w:num w:numId="13">
    <w:abstractNumId w:val="8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3EA3"/>
    <w:rsid w:val="005A713C"/>
    <w:rsid w:val="00681CC7"/>
    <w:rsid w:val="00835EFA"/>
    <w:rsid w:val="00990629"/>
    <w:rsid w:val="00D1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13C"/>
  </w:style>
  <w:style w:type="paragraph" w:styleId="Heading1">
    <w:name w:val="heading 1"/>
    <w:basedOn w:val="Normal"/>
    <w:next w:val="Normal"/>
    <w:link w:val="Heading1Char"/>
    <w:uiPriority w:val="9"/>
    <w:qFormat/>
    <w:rsid w:val="00D13E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1C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13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3EA3"/>
  </w:style>
  <w:style w:type="paragraph" w:styleId="Footer">
    <w:name w:val="footer"/>
    <w:basedOn w:val="Normal"/>
    <w:link w:val="FooterChar"/>
    <w:uiPriority w:val="99"/>
    <w:semiHidden/>
    <w:unhideWhenUsed/>
    <w:rsid w:val="00D13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3EA3"/>
  </w:style>
  <w:style w:type="character" w:customStyle="1" w:styleId="Heading1Char">
    <w:name w:val="Heading 1 Char"/>
    <w:basedOn w:val="DefaultParagraphFont"/>
    <w:link w:val="Heading1"/>
    <w:uiPriority w:val="9"/>
    <w:rsid w:val="00D13E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9062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81C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1C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81C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2026-04-30T11:29:00Z</dcterms:created>
  <dcterms:modified xsi:type="dcterms:W3CDTF">2026-04-30T11:29:00Z</dcterms:modified>
</cp:coreProperties>
</file>