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2.png" ContentType="image/png"/>
  <Override PartName="/word/media/rId40.png" ContentType="image/png"/>
  <Override PartName="/word/media/rId24.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№6</w:t>
      </w:r>
    </w:p>
    <w:p>
      <w:pPr>
        <w:pStyle w:val="Subtitle"/>
      </w:pPr>
      <w:r>
        <w:t xml:space="preserve">Задача</w:t>
      </w:r>
      <w:r>
        <w:t xml:space="preserve"> </w:t>
      </w:r>
      <w:r>
        <w:t xml:space="preserve">об</w:t>
      </w:r>
      <w:r>
        <w:t xml:space="preserve"> </w:t>
      </w:r>
      <w:r>
        <w:t xml:space="preserve">эпидемии</w:t>
      </w:r>
    </w:p>
    <w:p>
      <w:pPr>
        <w:pStyle w:val="Author"/>
      </w:pPr>
      <w:r>
        <w:t xml:space="preserve">Ишанова</w:t>
      </w:r>
      <w:r>
        <w:t xml:space="preserve"> </w:t>
      </w:r>
      <w:r>
        <w:t xml:space="preserve">А.И.</w:t>
      </w:r>
      <w:r>
        <w:t xml:space="preserve"> </w:t>
      </w:r>
      <w:r>
        <w:t xml:space="preserve">группа</w:t>
      </w:r>
      <w:r>
        <w:t xml:space="preserve"> </w:t>
      </w:r>
      <w:r>
        <w:t xml:space="preserve">НФИБД-02-19</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Научиться строить модель эпидемии.</w:t>
      </w:r>
    </w:p>
    <w:bookmarkEnd w:id="20"/>
    <w:bookmarkStart w:id="22" w:name="задание"/>
    <w:p>
      <w:pPr>
        <w:pStyle w:val="Heading1"/>
      </w:pPr>
      <w:r>
        <w:t xml:space="preserve">Задание</w:t>
      </w:r>
    </w:p>
    <w:p>
      <w:pPr>
        <w:pStyle w:val="FirstParagraph"/>
      </w:pPr>
      <w:r>
        <w:t xml:space="preserve">Построить графики изменения числа особей в каждой из трех групп, рассмотреть, как будет протекать эпидемия в случаях:</w:t>
      </w:r>
    </w:p>
    <w:p>
      <w:pPr>
        <w:numPr>
          <w:ilvl w:val="0"/>
          <w:numId w:val="1001"/>
        </w:numPr>
        <w:pStyle w:val="Compact"/>
      </w:pPr>
      <w:r>
        <w:t xml:space="preserve">если</w:t>
      </w:r>
      <w:r>
        <w:t xml:space="preserve"> </w:t>
      </w:r>
      <m:oMath>
        <m:r>
          <m:t>I</m:t>
        </m:r>
        <m:d>
          <m:dPr>
            <m:begChr m:val="("/>
            <m:endChr m:val=")"/>
            <m:sepChr m:val=""/>
            <m:grow/>
          </m:dPr>
          <m:e>
            <m:r>
              <m:t>0</m:t>
            </m:r>
          </m:e>
        </m:d>
        <m:r>
          <m:rPr>
            <m:sty m:val="p"/>
          </m:rPr>
          <m:t>≤</m:t>
        </m:r>
        <m:sSup>
          <m:e>
            <m:r>
              <m:t>I</m:t>
            </m:r>
          </m:e>
          <m:sup>
            <m:r>
              <m:rPr>
                <m:sty m:val="p"/>
              </m:rPr>
              <m:t>*</m:t>
            </m:r>
          </m:sup>
        </m:sSup>
      </m:oMath>
    </w:p>
    <w:p>
      <w:pPr>
        <w:numPr>
          <w:ilvl w:val="0"/>
          <w:numId w:val="1001"/>
        </w:numPr>
        <w:pStyle w:val="Compact"/>
      </w:pPr>
      <w:r>
        <w:t xml:space="preserve">если</w:t>
      </w:r>
      <w:r>
        <w:t xml:space="preserve"> </w:t>
      </w:r>
      <m:oMath>
        <m:r>
          <m:t>I</m:t>
        </m:r>
        <m:d>
          <m:dPr>
            <m:begChr m:val="("/>
            <m:endChr m:val=")"/>
            <m:sepChr m:val=""/>
            <m:grow/>
          </m:dPr>
          <m:e>
            <m:r>
              <m:t>0</m:t>
            </m:r>
          </m:e>
        </m:d>
        <m:r>
          <m:rPr>
            <m:sty m:val="p"/>
          </m:rPr>
          <m:t>&gt;</m:t>
        </m:r>
        <m:sSup>
          <m:e>
            <m:r>
              <m:t>I</m:t>
            </m:r>
          </m:e>
          <m:sup>
            <m:r>
              <m:rPr>
                <m:sty m:val="p"/>
              </m:rPr>
              <m:t>*</m:t>
            </m:r>
          </m:sup>
        </m:sSup>
      </m:oMath>
    </w:p>
    <w:bookmarkStart w:id="21" w:name="вариант-18"/>
    <w:p>
      <w:pPr>
        <w:pStyle w:val="Heading2"/>
      </w:pPr>
      <w:r>
        <w:t xml:space="preserve">Вариант 18</w:t>
      </w:r>
    </w:p>
    <w:p>
      <w:pPr>
        <w:pStyle w:val="FirstParagraph"/>
      </w:pPr>
      <w:r>
        <w:t xml:space="preserve">На одном острове вспыхнула эпидемия. Известно, что из всех проживающих на острове</w:t>
      </w:r>
      <w:r>
        <w:t xml:space="preserve"> </w:t>
      </w:r>
      <m:oMath>
        <m:d>
          <m:dPr>
            <m:begChr m:val="("/>
            <m:endChr m:val=")"/>
            <m:sepChr m:val=""/>
            <m:grow/>
          </m:dPr>
          <m:e>
            <m:r>
              <m:t>N</m:t>
            </m:r>
            <m:r>
              <m:rPr>
                <m:sty m:val="p"/>
              </m:rPr>
              <m:t>=</m:t>
            </m:r>
            <m:r>
              <m:t>10</m:t>
            </m:r>
            <m:r>
              <m:t>400</m:t>
            </m:r>
          </m:e>
        </m:d>
      </m:oMath>
      <w:r>
        <w:t xml:space="preserve"> </w:t>
      </w:r>
      <w:r>
        <w:t xml:space="preserve">в момент начала эпидемии</w:t>
      </w:r>
      <w:r>
        <w:t xml:space="preserve"> </w:t>
      </w:r>
      <m:oMath>
        <m:d>
          <m:dPr>
            <m:begChr m:val="("/>
            <m:endChr m:val=")"/>
            <m:sepChr m:val=""/>
            <m:grow/>
          </m:dPr>
          <m:e>
            <m:r>
              <m:t>t</m:t>
            </m:r>
            <m:r>
              <m:rPr>
                <m:sty m:val="p"/>
              </m:rPr>
              <m:t>=</m:t>
            </m:r>
            <m:r>
              <m:t>0</m:t>
            </m:r>
          </m:e>
        </m:d>
      </m:oMath>
      <w:r>
        <w:t xml:space="preserve"> </w:t>
      </w:r>
      <w:r>
        <w:t xml:space="preserve">число заболевших людей (являющихся распространителями инфекции)</w:t>
      </w:r>
      <w:r>
        <w:t xml:space="preserve"> </w:t>
      </w:r>
      <m:oMath>
        <m:r>
          <m:t>I</m:t>
        </m:r>
        <m:d>
          <m:dPr>
            <m:begChr m:val="("/>
            <m:endChr m:val=")"/>
            <m:sepChr m:val=""/>
            <m:grow/>
          </m:dPr>
          <m:e>
            <m:r>
              <m:t>0</m:t>
            </m:r>
          </m:e>
        </m:d>
        <m:r>
          <m:rPr>
            <m:sty m:val="p"/>
          </m:rPr>
          <m:t>=</m:t>
        </m:r>
        <m:r>
          <m:t>144</m:t>
        </m:r>
      </m:oMath>
      <w:r>
        <w:t xml:space="preserve">, а число здоровых людей с иммунитетом к болезни</w:t>
      </w:r>
      <w:r>
        <w:t xml:space="preserve"> </w:t>
      </w:r>
      <m:oMath>
        <m:r>
          <m:t>R</m:t>
        </m:r>
        <m:d>
          <m:dPr>
            <m:begChr m:val="("/>
            <m:endChr m:val=")"/>
            <m:sepChr m:val=""/>
            <m:grow/>
          </m:dPr>
          <m:e>
            <m:r>
              <m:t>0</m:t>
            </m:r>
          </m:e>
        </m:d>
        <m:r>
          <m:rPr>
            <m:sty m:val="p"/>
          </m:rPr>
          <m:t>=</m:t>
        </m:r>
        <m:r>
          <m:t>28</m:t>
        </m:r>
      </m:oMath>
      <w:r>
        <w:t xml:space="preserve">. Таким образом, число людей восприимчивых к болезни, но пока здоровых, в начальный момент времени</w:t>
      </w:r>
      <w:r>
        <w:t xml:space="preserve"> </w:t>
      </w:r>
      <m:oMath>
        <m:r>
          <m:t>S</m:t>
        </m:r>
        <m:d>
          <m:dPr>
            <m:begChr m:val="("/>
            <m:endChr m:val=")"/>
            <m:sepChr m:val=""/>
            <m:grow/>
          </m:dPr>
          <m:e>
            <m:r>
              <m:t>0</m:t>
            </m:r>
          </m:e>
        </m:d>
        <m:r>
          <m:rPr>
            <m:sty m:val="p"/>
          </m:rPr>
          <m:t>=</m:t>
        </m:r>
        <m:r>
          <m:t>N</m:t>
        </m:r>
        <m:r>
          <m:rPr>
            <m:sty m:val="p"/>
          </m:rPr>
          <m:t>−</m:t>
        </m:r>
        <m:r>
          <m:t>I</m:t>
        </m:r>
        <m:d>
          <m:dPr>
            <m:begChr m:val="("/>
            <m:endChr m:val=")"/>
            <m:sepChr m:val=""/>
            <m:grow/>
          </m:dPr>
          <m:e>
            <m:r>
              <m:t>0</m:t>
            </m:r>
          </m:e>
        </m:d>
        <m:r>
          <m:rPr>
            <m:sty m:val="p"/>
          </m:rPr>
          <m:t>−</m:t>
        </m:r>
        <m:r>
          <m:t>R</m:t>
        </m:r>
        <m:d>
          <m:dPr>
            <m:begChr m:val="("/>
            <m:endChr m:val=")"/>
            <m:sepChr m:val=""/>
            <m:grow/>
          </m:dPr>
          <m:e>
            <m:r>
              <m:t>0</m:t>
            </m:r>
          </m:e>
        </m:d>
      </m:oMath>
      <w:r>
        <w:t xml:space="preserve">.</w:t>
      </w:r>
      <w:r>
        <w:t xml:space="preserve"> </w:t>
      </w:r>
      <w:r>
        <w:t xml:space="preserve">Постройте графики изменения числа особей в каждой из трех групп. Рассмотрите, как будет протекать эпидемия в случае:</w:t>
      </w:r>
    </w:p>
    <w:p>
      <w:pPr>
        <w:numPr>
          <w:ilvl w:val="0"/>
          <w:numId w:val="1002"/>
        </w:numPr>
        <w:pStyle w:val="Compact"/>
      </w:pPr>
      <w:r>
        <w:t xml:space="preserve">если</w:t>
      </w:r>
      <w:r>
        <w:t xml:space="preserve"> </w:t>
      </w:r>
      <m:oMath>
        <m:r>
          <m:t>I</m:t>
        </m:r>
        <m:d>
          <m:dPr>
            <m:begChr m:val="("/>
            <m:endChr m:val=")"/>
            <m:sepChr m:val=""/>
            <m:grow/>
          </m:dPr>
          <m:e>
            <m:r>
              <m:t>0</m:t>
            </m:r>
          </m:e>
        </m:d>
        <m:r>
          <m:rPr>
            <m:sty m:val="p"/>
          </m:rPr>
          <m:t>≤</m:t>
        </m:r>
        <m:sSup>
          <m:e>
            <m:r>
              <m:t>I</m:t>
            </m:r>
          </m:e>
          <m:sup>
            <m:r>
              <m:rPr>
                <m:sty m:val="p"/>
              </m:rPr>
              <m:t>*</m:t>
            </m:r>
          </m:sup>
        </m:sSup>
      </m:oMath>
    </w:p>
    <w:p>
      <w:pPr>
        <w:numPr>
          <w:ilvl w:val="0"/>
          <w:numId w:val="1002"/>
        </w:numPr>
        <w:pStyle w:val="Compact"/>
      </w:pPr>
      <w:r>
        <w:t xml:space="preserve">если</w:t>
      </w:r>
      <w:r>
        <w:t xml:space="preserve"> </w:t>
      </w:r>
      <m:oMath>
        <m:r>
          <m:t>I</m:t>
        </m:r>
        <m:d>
          <m:dPr>
            <m:begChr m:val="("/>
            <m:endChr m:val=")"/>
            <m:sepChr m:val=""/>
            <m:grow/>
          </m:dPr>
          <m:e>
            <m:r>
              <m:t>0</m:t>
            </m:r>
          </m:e>
        </m:d>
        <m:r>
          <m:rPr>
            <m:sty m:val="p"/>
          </m:rPr>
          <m:t>&gt;</m:t>
        </m:r>
        <m:sSup>
          <m:e>
            <m:r>
              <m:t>I</m:t>
            </m:r>
          </m:e>
          <m:sup>
            <m:r>
              <m:rPr>
                <m:sty m:val="p"/>
              </m:rPr>
              <m:t>*</m:t>
            </m:r>
          </m:sup>
        </m:sSup>
      </m:oMath>
    </w:p>
    <w:bookmarkEnd w:id="21"/>
    <w:bookmarkEnd w:id="22"/>
    <w:bookmarkStart w:id="23" w:name="теоретическое-введение"/>
    <w:p>
      <w:pPr>
        <w:pStyle w:val="Heading1"/>
      </w:pPr>
      <w:r>
        <w:t xml:space="preserve">Теоретическое введение</w:t>
      </w:r>
    </w:p>
    <w:p>
      <w:pPr>
        <w:pStyle w:val="FirstParagraph"/>
      </w:pPr>
      <w:r>
        <w:t xml:space="preserve">Компартментальные модели являются очень общей техникой моделирования. Они часто применяются для математического моделирования инфекционных заболеваний. Популяция присваивается отсекам с метками, например, S, I или R (восприимчивые, заразные или выздоровевшие). Люди могут перемещаться между отсеками.</w:t>
      </w:r>
    </w:p>
    <w:p>
      <w:pPr>
        <w:pStyle w:val="BodyText"/>
      </w:pPr>
      <w:r>
        <w:t xml:space="preserve">Происхождение таких моделей относится к началу 20 века, с важными работами Росса в 1916 году, Росса и Хадсона в 1917 году, Кермака и МакКендрика в 1927 году и Кендалла в 1956 году.</w:t>
      </w:r>
    </w:p>
    <w:p>
      <w:pPr>
        <w:pStyle w:val="BodyText"/>
      </w:pPr>
      <w:r>
        <w:t xml:space="preserve">Модели чаще всего работают с обыкновенными дифференциальными уравнениями (которые являются детерминированными), но также могут использоваться со стохастической (случайной) структурой, которая является более реалистичной, но гораздо более сложной для анализа.</w:t>
      </w:r>
    </w:p>
    <w:p>
      <w:pPr>
        <w:pStyle w:val="BodyText"/>
      </w:pPr>
      <w:r>
        <w:t xml:space="preserve">Модели пытаются предсказать такие вещи, как распространение болезни, общее число инфицированных или продолжительность эпидемии, а также оценить различные эпидемиологические параметры, такие как репродуктивное число. Такие модели могут показать, как различные меры общественного здравоохранения могут повлиять на исход эпидемии, например, каков наиболее эффективный метод выпуска ограниченного количества вакцин для данной группы населения. [1]</w:t>
      </w:r>
    </w:p>
    <w:p>
      <w:pPr>
        <w:pStyle w:val="BodyText"/>
      </w:pPr>
      <w:r>
        <w:t xml:space="preserve">Рассмотрим простейшую модель эпидемии. Предположим, что некая популяция, состоящая из N особей, (считаем, что популяция изолирована) подразделяется на три группы.</w:t>
      </w:r>
    </w:p>
    <w:p>
      <w:pPr>
        <w:pStyle w:val="BodyText"/>
      </w:pPr>
      <w:r>
        <w:t xml:space="preserve">До того, как число заболевших не превышает критического значения</w:t>
      </w:r>
      <w:r>
        <w:t xml:space="preserve"> </w:t>
      </w:r>
      <m:oMath>
        <m:sSup>
          <m:e>
            <m:r>
              <m:t>I</m:t>
            </m:r>
          </m:e>
          <m:sup>
            <m:r>
              <m:rPr>
                <m:sty m:val="p"/>
              </m:rPr>
              <m:t>*</m:t>
            </m:r>
          </m:sup>
        </m:sSup>
      </m:oMath>
      <w:r>
        <w:t xml:space="preserve">, считаем, что все больные изолированы и не заражают здоровых. Когда</w:t>
      </w:r>
      <w:r>
        <w:t xml:space="preserve"> </w:t>
      </w:r>
      <m:oMath>
        <m:r>
          <m:t>I</m:t>
        </m:r>
        <m:d>
          <m:dPr>
            <m:begChr m:val="("/>
            <m:endChr m:val=")"/>
            <m:sepChr m:val=""/>
            <m:grow/>
          </m:dPr>
          <m:e>
            <m:r>
              <m:t>t</m:t>
            </m:r>
          </m:e>
        </m:d>
        <m:r>
          <m:rPr>
            <m:sty m:val="p"/>
          </m:rPr>
          <m:t>&gt;</m:t>
        </m:r>
        <m:sSup>
          <m:e>
            <m:r>
              <m:t>I</m:t>
            </m:r>
          </m:e>
          <m:sup>
            <m:r>
              <m:rPr>
                <m:sty m:val="p"/>
              </m:rPr>
              <m:t>*</m:t>
            </m:r>
          </m:sup>
        </m:sSup>
      </m:oMath>
      <w:r>
        <w:t xml:space="preserve">,</w:t>
      </w:r>
      <w:r>
        <w:t xml:space="preserve"> </w:t>
      </w:r>
      <w:r>
        <w:t xml:space="preserve">тогда инфицирование способны заражать восприимчивых к болезни особей. [2]</w:t>
      </w:r>
    </w:p>
    <w:p>
      <w:pPr>
        <w:pStyle w:val="BodyText"/>
      </w:pPr>
      <w:r>
        <w:t xml:space="preserve">Изменения числа особей в группах происходит по следующим законам:</w:t>
      </w:r>
    </w:p>
    <w:p>
      <w:pPr>
        <w:pStyle w:val="BodyText"/>
      </w:pPr>
      <m:oMathPara>
        <m:oMathParaPr>
          <m:jc m:val="center"/>
        </m:oMathParaPr>
        <m:oMath>
          <m:f>
            <m:fPr>
              <m:type m:val="bar"/>
            </m:fPr>
            <m:num>
              <m:r>
                <m:t>d</m:t>
              </m:r>
              <m:r>
                <m:t>S</m:t>
              </m:r>
            </m:num>
            <m:den>
              <m:r>
                <m:t>d</m:t>
              </m:r>
              <m:r>
                <m:t>t</m:t>
              </m:r>
            </m:den>
          </m:f>
          <m:r>
            <m:rPr>
              <m:sty m:val="p"/>
            </m:rPr>
            <m:t>=</m:t>
          </m:r>
          <m:d>
            <m:dPr>
              <m:begChr m:val="{"/>
              <m:endChr m:val=""/>
              <m:sepChr m:val=""/>
              <m:grow/>
            </m:dPr>
            <m:e>
              <m:m>
                <m:mPr>
                  <m:baseJc m:val="center"/>
                  <m:plcHide m:val="1"/>
                  <m:mcs>
                    <m:mc>
                      <m:mcPr>
                        <m:mcJc m:val="left"/>
                        <m:count m:val="1"/>
                      </m:mcPr>
                    </m:mc>
                  </m:mcs>
                </m:mPr>
                <m:mr>
                  <m:e>
                    <m:r>
                      <m:rPr>
                        <m:sty m:val="p"/>
                      </m:rPr>
                      <m:t>−</m:t>
                    </m:r>
                    <m:r>
                      <m:t>α</m:t>
                    </m:r>
                    <m:r>
                      <m:t>S</m:t>
                    </m:r>
                    <m:r>
                      <m:rPr>
                        <m:sty m:val="p"/>
                      </m:rPr>
                      <m:t>,</m:t>
                    </m:r>
                    <m:r>
                      <m:t>I</m:t>
                    </m:r>
                    <m:d>
                      <m:dPr>
                        <m:begChr m:val="("/>
                        <m:endChr m:val=")"/>
                        <m:sepChr m:val=""/>
                        <m:grow/>
                      </m:dPr>
                      <m:e>
                        <m:r>
                          <m:t>t</m:t>
                        </m:r>
                      </m:e>
                    </m:d>
                    <m:r>
                      <m:rPr>
                        <m:sty m:val="p"/>
                      </m:rPr>
                      <m:t>&gt;</m:t>
                    </m:r>
                    <m:sSup>
                      <m:e>
                        <m:r>
                          <m:t>I</m:t>
                        </m:r>
                      </m:e>
                      <m:sup>
                        <m:r>
                          <m:rPr>
                            <m:sty m:val="p"/>
                          </m:rPr>
                          <m:t>*</m:t>
                        </m:r>
                      </m:sup>
                    </m:sSup>
                  </m:e>
                </m:mr>
                <m:mr>
                  <m:e>
                    <m:r>
                      <m:t>0</m:t>
                    </m:r>
                    <m:r>
                      <m:rPr>
                        <m:sty m:val="p"/>
                      </m:rPr>
                      <m:t>,</m:t>
                    </m:r>
                    <m:r>
                      <m:t>I</m:t>
                    </m:r>
                    <m:d>
                      <m:dPr>
                        <m:begChr m:val="("/>
                        <m:endChr m:val=")"/>
                        <m:sepChr m:val=""/>
                        <m:grow/>
                      </m:dPr>
                      <m:e>
                        <m:r>
                          <m:t>t</m:t>
                        </m:r>
                      </m:e>
                    </m:d>
                    <m:r>
                      <m:rPr>
                        <m:sty m:val="p"/>
                      </m:rPr>
                      <m:t>≤</m:t>
                    </m:r>
                    <m:sSup>
                      <m:e>
                        <m:r>
                          <m:t>I</m:t>
                        </m:r>
                      </m:e>
                      <m:sup>
                        <m:r>
                          <m:rPr>
                            <m:sty m:val="p"/>
                          </m:rPr>
                          <m:t>*</m:t>
                        </m:r>
                      </m:sup>
                    </m:sSup>
                  </m:e>
                </m:mr>
              </m:m>
            </m:e>
          </m:d>
        </m:oMath>
      </m:oMathPara>
    </w:p>
    <w:p>
      <w:pPr>
        <w:pStyle w:val="FirstParagraph"/>
      </w:pPr>
      <m:oMathPara>
        <m:oMathParaPr>
          <m:jc m:val="center"/>
        </m:oMathParaPr>
        <m:oMath>
          <m:f>
            <m:fPr>
              <m:type m:val="bar"/>
            </m:fPr>
            <m:num>
              <m:r>
                <m:t>d</m:t>
              </m:r>
              <m:r>
                <m:t>I</m:t>
              </m:r>
            </m:num>
            <m:den>
              <m:r>
                <m:t>d</m:t>
              </m:r>
              <m:r>
                <m:t>t</m:t>
              </m:r>
            </m:den>
          </m:f>
          <m:r>
            <m:rPr>
              <m:sty m:val="p"/>
            </m:rPr>
            <m:t>=</m:t>
          </m:r>
          <m:d>
            <m:dPr>
              <m:begChr m:val="{"/>
              <m:endChr m:val=""/>
              <m:sepChr m:val=""/>
              <m:grow/>
            </m:dPr>
            <m:e>
              <m:m>
                <m:mPr>
                  <m:baseJc m:val="center"/>
                  <m:plcHide m:val="1"/>
                  <m:mcs>
                    <m:mc>
                      <m:mcPr>
                        <m:mcJc m:val="left"/>
                        <m:count m:val="1"/>
                      </m:mcPr>
                    </m:mc>
                  </m:mcs>
                </m:mPr>
                <m:mr>
                  <m:e>
                    <m:r>
                      <m:rPr>
                        <m:sty m:val="p"/>
                      </m:rPr>
                      <m:t>−</m:t>
                    </m:r>
                    <m:r>
                      <m:t>α</m:t>
                    </m:r>
                    <m:r>
                      <m:t>S</m:t>
                    </m:r>
                    <m:r>
                      <m:rPr>
                        <m:sty m:val="p"/>
                      </m:rPr>
                      <m:t>−</m:t>
                    </m:r>
                    <m:r>
                      <m:t>β</m:t>
                    </m:r>
                    <m:r>
                      <m:t>I</m:t>
                    </m:r>
                    <m:r>
                      <m:rPr>
                        <m:sty m:val="p"/>
                      </m:rPr>
                      <m:t>,</m:t>
                    </m:r>
                    <m:r>
                      <m:t>I</m:t>
                    </m:r>
                    <m:d>
                      <m:dPr>
                        <m:begChr m:val="("/>
                        <m:endChr m:val=")"/>
                        <m:sepChr m:val=""/>
                        <m:grow/>
                      </m:dPr>
                      <m:e>
                        <m:r>
                          <m:t>t</m:t>
                        </m:r>
                      </m:e>
                    </m:d>
                    <m:r>
                      <m:rPr>
                        <m:sty m:val="p"/>
                      </m:rPr>
                      <m:t>&gt;</m:t>
                    </m:r>
                    <m:sSup>
                      <m:e>
                        <m:r>
                          <m:t>I</m:t>
                        </m:r>
                      </m:e>
                      <m:sup>
                        <m:r>
                          <m:rPr>
                            <m:sty m:val="p"/>
                          </m:rPr>
                          <m:t>*</m:t>
                        </m:r>
                      </m:sup>
                    </m:sSup>
                  </m:e>
                </m:mr>
                <m:mr>
                  <m:e>
                    <m:r>
                      <m:rPr>
                        <m:sty m:val="p"/>
                      </m:rPr>
                      <m:t>−</m:t>
                    </m:r>
                    <m:r>
                      <m:t>β</m:t>
                    </m:r>
                    <m:r>
                      <m:t>I</m:t>
                    </m:r>
                    <m:r>
                      <m:rPr>
                        <m:sty m:val="p"/>
                      </m:rPr>
                      <m:t>,</m:t>
                    </m:r>
                    <m:r>
                      <m:t>I</m:t>
                    </m:r>
                    <m:d>
                      <m:dPr>
                        <m:begChr m:val="("/>
                        <m:endChr m:val=")"/>
                        <m:sepChr m:val=""/>
                        <m:grow/>
                      </m:dPr>
                      <m:e>
                        <m:r>
                          <m:t>t</m:t>
                        </m:r>
                      </m:e>
                    </m:d>
                    <m:r>
                      <m:rPr>
                        <m:sty m:val="p"/>
                      </m:rPr>
                      <m:t>≤</m:t>
                    </m:r>
                    <m:sSup>
                      <m:e>
                        <m:r>
                          <m:t>I</m:t>
                        </m:r>
                      </m:e>
                      <m:sup>
                        <m:r>
                          <m:rPr>
                            <m:sty m:val="p"/>
                          </m:rPr>
                          <m:t>*</m:t>
                        </m:r>
                      </m:sup>
                    </m:sSup>
                  </m:e>
                </m:mr>
              </m:m>
            </m:e>
          </m:d>
        </m:oMath>
      </m:oMathPara>
    </w:p>
    <w:p>
      <w:pPr>
        <w:pStyle w:val="FirstParagraph"/>
      </w:pPr>
      <m:oMath>
        <m:f>
          <m:fPr>
            <m:type m:val="bar"/>
          </m:fPr>
          <m:num>
            <m:r>
              <m:t>d</m:t>
            </m:r>
            <m:r>
              <m:t>R</m:t>
            </m:r>
          </m:num>
          <m:den>
            <m:r>
              <m:t>d</m:t>
            </m:r>
            <m:r>
              <m:t>t</m:t>
            </m:r>
          </m:den>
        </m:f>
        <m:r>
          <m:rPr>
            <m:sty m:val="p"/>
          </m:rPr>
          <m:t>=</m:t>
        </m:r>
        <m:r>
          <m:t>β</m:t>
        </m:r>
        <m:r>
          <m:t>I</m:t>
        </m:r>
      </m:oMath>
    </w:p>
    <w:p>
      <w:pPr>
        <w:pStyle w:val="BodyText"/>
      </w:pPr>
      <w:r>
        <w:t xml:space="preserve">где</w:t>
      </w:r>
      <w:r>
        <w:t xml:space="preserve"> </w:t>
      </w:r>
      <m:oMath>
        <m:r>
          <m:t>α</m:t>
        </m:r>
      </m:oMath>
      <w:r>
        <w:t xml:space="preserve"> </w:t>
      </w:r>
      <w:r>
        <w:t xml:space="preserve">- коэффициент заболеваемости,</w:t>
      </w:r>
      <w:r>
        <w:t xml:space="preserve"> </w:t>
      </w:r>
      <m:oMath>
        <m:r>
          <m:t>β</m:t>
        </m:r>
        <m:r>
          <m:rPr>
            <m:sty m:val="p"/>
          </m:rPr>
          <m:t>−</m:t>
        </m:r>
      </m:oMath>
      <w:r>
        <w:t xml:space="preserve"> </w:t>
      </w:r>
      <w:r>
        <w:t xml:space="preserve">коэффициент выздоровления.</w:t>
      </w:r>
    </w:p>
    <w:bookmarkEnd w:id="23"/>
    <w:bookmarkStart w:id="44" w:name="выполнение-лабораторной-работы"/>
    <w:p>
      <w:pPr>
        <w:pStyle w:val="Heading1"/>
      </w:pPr>
      <w:r>
        <w:t xml:space="preserve">Выполнение лабораторной работы</w:t>
      </w:r>
    </w:p>
    <w:p>
      <w:pPr>
        <w:numPr>
          <w:ilvl w:val="0"/>
          <w:numId w:val="1003"/>
        </w:numPr>
        <w:pStyle w:val="Compact"/>
      </w:pPr>
      <w:r>
        <w:t xml:space="preserve">Пишем код для случая</w:t>
      </w:r>
      <w:r>
        <w:t xml:space="preserve"> </w:t>
      </w:r>
      <m:oMath>
        <m:r>
          <m:t>I</m:t>
        </m:r>
        <m:d>
          <m:dPr>
            <m:begChr m:val="("/>
            <m:endChr m:val=")"/>
            <m:sepChr m:val=""/>
            <m:grow/>
          </m:dPr>
          <m:e>
            <m:r>
              <m:t>0</m:t>
            </m:r>
          </m:e>
        </m:d>
        <m:r>
          <m:rPr>
            <m:sty m:val="p"/>
          </m:rPr>
          <m:t>≤</m:t>
        </m:r>
        <m:sSup>
          <m:e>
            <m:r>
              <m:t>I</m:t>
            </m:r>
          </m:e>
          <m:sup>
            <m:r>
              <m:rPr>
                <m:sty m:val="p"/>
              </m:rPr>
              <m:t>*</m:t>
            </m:r>
          </m:sup>
        </m:sSup>
      </m:oMath>
      <w:r>
        <w:t xml:space="preserve">.(fig. 1)</w:t>
      </w:r>
    </w:p>
    <w:p>
      <w:pPr>
        <w:pStyle w:val="CaptionedFigure"/>
      </w:pPr>
      <w:bookmarkStart w:id="27" w:name="fig:001"/>
      <w:r>
        <w:drawing>
          <wp:inline>
            <wp:extent cx="5334000" cy="2595062"/>
            <wp:effectExtent b="0" l="0" r="0" t="0"/>
            <wp:docPr descr="Figure 1: Код программы для случая I(0) \leq I^*" title="" id="25" name="Picture"/>
            <a:graphic>
              <a:graphicData uri="http://schemas.openxmlformats.org/drawingml/2006/picture">
                <pic:pic>
                  <pic:nvPicPr>
                    <pic:cNvPr descr="mod-a.png" id="26" name="Picture"/>
                    <pic:cNvPicPr>
                      <a:picLocks noChangeArrowheads="1" noChangeAspect="1"/>
                    </pic:cNvPicPr>
                  </pic:nvPicPr>
                  <pic:blipFill>
                    <a:blip r:embed="rId24"/>
                    <a:stretch>
                      <a:fillRect/>
                    </a:stretch>
                  </pic:blipFill>
                  <pic:spPr bwMode="auto">
                    <a:xfrm>
                      <a:off x="0" y="0"/>
                      <a:ext cx="5334000" cy="2595062"/>
                    </a:xfrm>
                    <a:prstGeom prst="rect">
                      <a:avLst/>
                    </a:prstGeom>
                    <a:noFill/>
                    <a:ln w="9525">
                      <a:noFill/>
                      <a:headEnd/>
                      <a:tailEnd/>
                    </a:ln>
                  </pic:spPr>
                </pic:pic>
              </a:graphicData>
            </a:graphic>
          </wp:inline>
        </w:drawing>
      </w:r>
      <w:bookmarkEnd w:id="27"/>
    </w:p>
    <w:p>
      <w:pPr>
        <w:pStyle w:val="ImageCaption"/>
      </w:pPr>
      <w:r>
        <w:t xml:space="preserve">Figure 1: Код программы для случая</w:t>
      </w:r>
      <w:r>
        <w:t xml:space="preserve"> </w:t>
      </w:r>
      <m:oMath>
        <m:r>
          <m:t>I</m:t>
        </m:r>
        <m:d>
          <m:dPr>
            <m:begChr m:val="("/>
            <m:endChr m:val=")"/>
            <m:sepChr m:val=""/>
            <m:grow/>
          </m:dPr>
          <m:e>
            <m:r>
              <m:t>0</m:t>
            </m:r>
          </m:e>
        </m:d>
        <m:r>
          <m:rPr>
            <m:sty m:val="p"/>
          </m:rPr>
          <m:t>≤</m:t>
        </m:r>
        <m:sSup>
          <m:e>
            <m:r>
              <m:t>I</m:t>
            </m:r>
          </m:e>
          <m:sup>
            <m:r>
              <m:rPr>
                <m:sty m:val="p"/>
              </m:rPr>
              <m:t>*</m:t>
            </m:r>
          </m:sup>
        </m:sSup>
      </m:oMath>
    </w:p>
    <w:p>
      <w:pPr>
        <w:numPr>
          <w:ilvl w:val="0"/>
          <w:numId w:val="1004"/>
        </w:numPr>
        <w:pStyle w:val="Compact"/>
      </w:pPr>
      <w:r>
        <w:t xml:space="preserve">Компилируем, моделируем и получаем графики. (fig. 2 и fig. 3)</w:t>
      </w:r>
    </w:p>
    <w:p>
      <w:pPr>
        <w:pStyle w:val="CaptionedFigure"/>
      </w:pPr>
      <w:bookmarkStart w:id="31" w:name="fig:002"/>
      <w:r>
        <w:drawing>
          <wp:inline>
            <wp:extent cx="5334000" cy="1918540"/>
            <wp:effectExtent b="0" l="0" r="0" t="0"/>
            <wp:docPr descr="Figure 2: График для случая I(0) \leq I^*" title="" id="29" name="Picture"/>
            <a:graphic>
              <a:graphicData uri="http://schemas.openxmlformats.org/drawingml/2006/picture">
                <pic:pic>
                  <pic:nvPicPr>
                    <pic:cNvPr descr="1.png" id="30" name="Picture"/>
                    <pic:cNvPicPr>
                      <a:picLocks noChangeArrowheads="1" noChangeAspect="1"/>
                    </pic:cNvPicPr>
                  </pic:nvPicPr>
                  <pic:blipFill>
                    <a:blip r:embed="rId28"/>
                    <a:stretch>
                      <a:fillRect/>
                    </a:stretch>
                  </pic:blipFill>
                  <pic:spPr bwMode="auto">
                    <a:xfrm>
                      <a:off x="0" y="0"/>
                      <a:ext cx="5334000" cy="1918540"/>
                    </a:xfrm>
                    <a:prstGeom prst="rect">
                      <a:avLst/>
                    </a:prstGeom>
                    <a:noFill/>
                    <a:ln w="9525">
                      <a:noFill/>
                      <a:headEnd/>
                      <a:tailEnd/>
                    </a:ln>
                  </pic:spPr>
                </pic:pic>
              </a:graphicData>
            </a:graphic>
          </wp:inline>
        </w:drawing>
      </w:r>
      <w:bookmarkEnd w:id="31"/>
    </w:p>
    <w:p>
      <w:pPr>
        <w:pStyle w:val="ImageCaption"/>
      </w:pPr>
      <w:r>
        <w:t xml:space="preserve">Figure 2: График для случая</w:t>
      </w:r>
      <w:r>
        <w:t xml:space="preserve"> </w:t>
      </w:r>
      <m:oMath>
        <m:r>
          <m:t>I</m:t>
        </m:r>
        <m:d>
          <m:dPr>
            <m:begChr m:val="("/>
            <m:endChr m:val=")"/>
            <m:sepChr m:val=""/>
            <m:grow/>
          </m:dPr>
          <m:e>
            <m:r>
              <m:t>0</m:t>
            </m:r>
          </m:e>
        </m:d>
        <m:r>
          <m:rPr>
            <m:sty m:val="p"/>
          </m:rPr>
          <m:t>≤</m:t>
        </m:r>
        <m:sSup>
          <m:e>
            <m:r>
              <m:t>I</m:t>
            </m:r>
          </m:e>
          <m:sup>
            <m:r>
              <m:rPr>
                <m:sty m:val="p"/>
              </m:rPr>
              <m:t>*</m:t>
            </m:r>
          </m:sup>
        </m:sSup>
      </m:oMath>
    </w:p>
    <w:p>
      <w:pPr>
        <w:pStyle w:val="CaptionedFigure"/>
      </w:pPr>
      <w:bookmarkStart w:id="35" w:name="fig:003"/>
      <w:r>
        <w:drawing>
          <wp:inline>
            <wp:extent cx="5334000" cy="1968577"/>
            <wp:effectExtent b="0" l="0" r="0" t="0"/>
            <wp:docPr descr="Figure 3: График для случая I(0) \leq I^* (только группы I и R)" title="" id="33" name="Picture"/>
            <a:graphic>
              <a:graphicData uri="http://schemas.openxmlformats.org/drawingml/2006/picture">
                <pic:pic>
                  <pic:nvPicPr>
                    <pic:cNvPr descr="2.png" id="34" name="Picture"/>
                    <pic:cNvPicPr>
                      <a:picLocks noChangeArrowheads="1" noChangeAspect="1"/>
                    </pic:cNvPicPr>
                  </pic:nvPicPr>
                  <pic:blipFill>
                    <a:blip r:embed="rId32"/>
                    <a:stretch>
                      <a:fillRect/>
                    </a:stretch>
                  </pic:blipFill>
                  <pic:spPr bwMode="auto">
                    <a:xfrm>
                      <a:off x="0" y="0"/>
                      <a:ext cx="5334000" cy="1968577"/>
                    </a:xfrm>
                    <a:prstGeom prst="rect">
                      <a:avLst/>
                    </a:prstGeom>
                    <a:noFill/>
                    <a:ln w="9525">
                      <a:noFill/>
                      <a:headEnd/>
                      <a:tailEnd/>
                    </a:ln>
                  </pic:spPr>
                </pic:pic>
              </a:graphicData>
            </a:graphic>
          </wp:inline>
        </w:drawing>
      </w:r>
      <w:bookmarkEnd w:id="35"/>
    </w:p>
    <w:p>
      <w:pPr>
        <w:pStyle w:val="ImageCaption"/>
      </w:pPr>
      <w:r>
        <w:t xml:space="preserve">Figure 3: График для случая</w:t>
      </w:r>
      <w:r>
        <w:t xml:space="preserve"> </w:t>
      </w:r>
      <m:oMath>
        <m:r>
          <m:t>I</m:t>
        </m:r>
        <m:d>
          <m:dPr>
            <m:begChr m:val="("/>
            <m:endChr m:val=")"/>
            <m:sepChr m:val=""/>
            <m:grow/>
          </m:dPr>
          <m:e>
            <m:r>
              <m:t>0</m:t>
            </m:r>
          </m:e>
        </m:d>
        <m:r>
          <m:rPr>
            <m:sty m:val="p"/>
          </m:rPr>
          <m:t>≤</m:t>
        </m:r>
        <m:sSup>
          <m:e>
            <m:r>
              <m:t>I</m:t>
            </m:r>
          </m:e>
          <m:sup>
            <m:r>
              <m:rPr>
                <m:sty m:val="p"/>
              </m:rPr>
              <m:t>*</m:t>
            </m:r>
          </m:sup>
        </m:sSup>
      </m:oMath>
      <w:r>
        <w:t xml:space="preserve"> </w:t>
      </w:r>
      <w:r>
        <w:t xml:space="preserve">(только группы</w:t>
      </w:r>
      <w:r>
        <w:t xml:space="preserve"> </w:t>
      </w:r>
      <m:oMath>
        <m:r>
          <m:t>I</m:t>
        </m:r>
      </m:oMath>
      <w:r>
        <w:t xml:space="preserve"> </w:t>
      </w:r>
      <w:r>
        <w:t xml:space="preserve">и</w:t>
      </w:r>
      <w:r>
        <w:t xml:space="preserve"> </w:t>
      </w:r>
      <m:oMath>
        <m:r>
          <m:t>R</m:t>
        </m:r>
      </m:oMath>
      <w:r>
        <w:t xml:space="preserve">)</w:t>
      </w:r>
    </w:p>
    <w:p>
      <w:pPr>
        <w:numPr>
          <w:ilvl w:val="0"/>
          <w:numId w:val="1005"/>
        </w:numPr>
        <w:pStyle w:val="Compact"/>
      </w:pPr>
      <w:r>
        <w:t xml:space="preserve">Пишем код для случая</w:t>
      </w:r>
      <w:r>
        <w:t xml:space="preserve"> </w:t>
      </w:r>
      <m:oMath>
        <m:r>
          <m:t>I</m:t>
        </m:r>
        <m:d>
          <m:dPr>
            <m:begChr m:val="("/>
            <m:endChr m:val=")"/>
            <m:sepChr m:val=""/>
            <m:grow/>
          </m:dPr>
          <m:e>
            <m:r>
              <m:t>0</m:t>
            </m:r>
          </m:e>
        </m:d>
        <m:r>
          <m:rPr>
            <m:sty m:val="p"/>
          </m:rPr>
          <m:t>&gt;</m:t>
        </m:r>
        <m:sSup>
          <m:e>
            <m:r>
              <m:t>I</m:t>
            </m:r>
          </m:e>
          <m:sup>
            <m:r>
              <m:rPr>
                <m:sty m:val="p"/>
              </m:rPr>
              <m:t>*</m:t>
            </m:r>
          </m:sup>
        </m:sSup>
      </m:oMath>
      <w:r>
        <w:t xml:space="preserve">.(fig. 4)</w:t>
      </w:r>
    </w:p>
    <w:p>
      <w:pPr>
        <w:pStyle w:val="CaptionedFigure"/>
      </w:pPr>
      <w:bookmarkStart w:id="39" w:name="fig:004"/>
      <w:r>
        <w:drawing>
          <wp:inline>
            <wp:extent cx="5334000" cy="2501976"/>
            <wp:effectExtent b="0" l="0" r="0" t="0"/>
            <wp:docPr descr="Figure 4: Код программы для случая I(0) \leq I^*" title="" id="37" name="Picture"/>
            <a:graphic>
              <a:graphicData uri="http://schemas.openxmlformats.org/drawingml/2006/picture">
                <pic:pic>
                  <pic:nvPicPr>
                    <pic:cNvPr descr="mod-b.png" id="38" name="Picture"/>
                    <pic:cNvPicPr>
                      <a:picLocks noChangeArrowheads="1" noChangeAspect="1"/>
                    </pic:cNvPicPr>
                  </pic:nvPicPr>
                  <pic:blipFill>
                    <a:blip r:embed="rId36"/>
                    <a:stretch>
                      <a:fillRect/>
                    </a:stretch>
                  </pic:blipFill>
                  <pic:spPr bwMode="auto">
                    <a:xfrm>
                      <a:off x="0" y="0"/>
                      <a:ext cx="5334000" cy="2501976"/>
                    </a:xfrm>
                    <a:prstGeom prst="rect">
                      <a:avLst/>
                    </a:prstGeom>
                    <a:noFill/>
                    <a:ln w="9525">
                      <a:noFill/>
                      <a:headEnd/>
                      <a:tailEnd/>
                    </a:ln>
                  </pic:spPr>
                </pic:pic>
              </a:graphicData>
            </a:graphic>
          </wp:inline>
        </w:drawing>
      </w:r>
      <w:bookmarkEnd w:id="39"/>
    </w:p>
    <w:p>
      <w:pPr>
        <w:pStyle w:val="ImageCaption"/>
      </w:pPr>
      <w:r>
        <w:t xml:space="preserve">Figure 4: Код программы для случая</w:t>
      </w:r>
      <w:r>
        <w:t xml:space="preserve"> </w:t>
      </w:r>
      <m:oMath>
        <m:r>
          <m:t>I</m:t>
        </m:r>
        <m:d>
          <m:dPr>
            <m:begChr m:val="("/>
            <m:endChr m:val=")"/>
            <m:sepChr m:val=""/>
            <m:grow/>
          </m:dPr>
          <m:e>
            <m:r>
              <m:t>0</m:t>
            </m:r>
          </m:e>
        </m:d>
        <m:r>
          <m:rPr>
            <m:sty m:val="p"/>
          </m:rPr>
          <m:t>≤</m:t>
        </m:r>
        <m:sSup>
          <m:e>
            <m:r>
              <m:t>I</m:t>
            </m:r>
          </m:e>
          <m:sup>
            <m:r>
              <m:rPr>
                <m:sty m:val="p"/>
              </m:rPr>
              <m:t>*</m:t>
            </m:r>
          </m:sup>
        </m:sSup>
      </m:oMath>
    </w:p>
    <w:p>
      <w:pPr>
        <w:numPr>
          <w:ilvl w:val="0"/>
          <w:numId w:val="1006"/>
        </w:numPr>
        <w:pStyle w:val="Compact"/>
      </w:pPr>
      <w:r>
        <w:t xml:space="preserve">Компилируем, моделируем и получаем график. (fig. 5)</w:t>
      </w:r>
    </w:p>
    <w:p>
      <w:pPr>
        <w:pStyle w:val="CaptionedFigure"/>
      </w:pPr>
      <w:bookmarkStart w:id="43" w:name="fig:005"/>
      <w:r>
        <w:drawing>
          <wp:inline>
            <wp:extent cx="5334000" cy="1971331"/>
            <wp:effectExtent b="0" l="0" r="0" t="0"/>
            <wp:docPr descr="Figure 5: График для случая I(0) &gt; I^*" title="" id="41" name="Picture"/>
            <a:graphic>
              <a:graphicData uri="http://schemas.openxmlformats.org/drawingml/2006/picture">
                <pic:pic>
                  <pic:nvPicPr>
                    <pic:cNvPr descr="3.png" id="42" name="Picture"/>
                    <pic:cNvPicPr>
                      <a:picLocks noChangeArrowheads="1" noChangeAspect="1"/>
                    </pic:cNvPicPr>
                  </pic:nvPicPr>
                  <pic:blipFill>
                    <a:blip r:embed="rId40"/>
                    <a:stretch>
                      <a:fillRect/>
                    </a:stretch>
                  </pic:blipFill>
                  <pic:spPr bwMode="auto">
                    <a:xfrm>
                      <a:off x="0" y="0"/>
                      <a:ext cx="5334000" cy="1971331"/>
                    </a:xfrm>
                    <a:prstGeom prst="rect">
                      <a:avLst/>
                    </a:prstGeom>
                    <a:noFill/>
                    <a:ln w="9525">
                      <a:noFill/>
                      <a:headEnd/>
                      <a:tailEnd/>
                    </a:ln>
                  </pic:spPr>
                </pic:pic>
              </a:graphicData>
            </a:graphic>
          </wp:inline>
        </w:drawing>
      </w:r>
      <w:bookmarkEnd w:id="43"/>
    </w:p>
    <w:p>
      <w:pPr>
        <w:pStyle w:val="ImageCaption"/>
      </w:pPr>
      <w:r>
        <w:t xml:space="preserve">Figure 5: График для случая</w:t>
      </w:r>
      <w:r>
        <w:t xml:space="preserve"> </w:t>
      </w:r>
      <m:oMath>
        <m:r>
          <m:t>I</m:t>
        </m:r>
        <m:d>
          <m:dPr>
            <m:begChr m:val="("/>
            <m:endChr m:val=")"/>
            <m:sepChr m:val=""/>
            <m:grow/>
          </m:dPr>
          <m:e>
            <m:r>
              <m:t>0</m:t>
            </m:r>
          </m:e>
        </m:d>
        <m:r>
          <m:rPr>
            <m:sty m:val="p"/>
          </m:rPr>
          <m:t>&gt;</m:t>
        </m:r>
        <m:sSup>
          <m:e>
            <m:r>
              <m:t>I</m:t>
            </m:r>
          </m:e>
          <m:sup>
            <m:r>
              <m:rPr>
                <m:sty m:val="p"/>
              </m:rPr>
              <m:t>*</m:t>
            </m:r>
          </m:sup>
        </m:sSup>
      </m:oMath>
    </w:p>
    <w:bookmarkEnd w:id="44"/>
    <w:bookmarkStart w:id="45" w:name="вывод"/>
    <w:p>
      <w:pPr>
        <w:pStyle w:val="Heading1"/>
      </w:pPr>
      <w:r>
        <w:t xml:space="preserve">Вывод</w:t>
      </w:r>
    </w:p>
    <w:p>
      <w:pPr>
        <w:pStyle w:val="FirstParagraph"/>
      </w:pPr>
      <w:r>
        <w:t xml:space="preserve">В ходе выполнения лабораторной работы мы познакомились с моделью</w:t>
      </w:r>
      <w:r>
        <w:t xml:space="preserve"> </w:t>
      </w:r>
      <m:oMath>
        <m:r>
          <m:t>S</m:t>
        </m:r>
        <m:r>
          <m:t>I</m:t>
        </m:r>
        <m:r>
          <m:t>R</m:t>
        </m:r>
      </m:oMath>
      <w:r>
        <w:t xml:space="preserve">, постороили графики для этой модели при</w:t>
      </w:r>
      <w:r>
        <w:t xml:space="preserve"> </w:t>
      </w:r>
      <m:oMath>
        <m:r>
          <m:t>I</m:t>
        </m:r>
        <m:d>
          <m:dPr>
            <m:begChr m:val="("/>
            <m:endChr m:val=")"/>
            <m:sepChr m:val=""/>
            <m:grow/>
          </m:dPr>
          <m:e>
            <m:r>
              <m:t>0</m:t>
            </m:r>
          </m:e>
        </m:d>
        <m:r>
          <m:rPr>
            <m:sty m:val="p"/>
          </m:rPr>
          <m:t>≤</m:t>
        </m:r>
        <m:sSup>
          <m:e>
            <m:r>
              <m:t>I</m:t>
            </m:r>
          </m:e>
          <m:sup>
            <m:r>
              <m:rPr>
                <m:sty m:val="p"/>
              </m:rPr>
              <m:t>*</m:t>
            </m:r>
          </m:sup>
        </m:sSup>
      </m:oMath>
      <w:r>
        <w:t xml:space="preserve"> </w:t>
      </w:r>
      <w:r>
        <w:t xml:space="preserve">и</w:t>
      </w:r>
      <w:r>
        <w:t xml:space="preserve"> </w:t>
      </w:r>
      <m:oMath>
        <m:r>
          <m:t>I</m:t>
        </m:r>
        <m:d>
          <m:dPr>
            <m:begChr m:val="("/>
            <m:endChr m:val=")"/>
            <m:sepChr m:val=""/>
            <m:grow/>
          </m:dPr>
          <m:e>
            <m:r>
              <m:t>0</m:t>
            </m:r>
          </m:e>
        </m:d>
        <m:r>
          <m:rPr>
            <m:sty m:val="p"/>
          </m:rPr>
          <m:t>&gt;</m:t>
        </m:r>
        <m:sSup>
          <m:e>
            <m:r>
              <m:t>I</m:t>
            </m:r>
          </m:e>
          <m:sup>
            <m:r>
              <m:rPr>
                <m:sty m:val="p"/>
              </m:rPr>
              <m:t>*</m:t>
            </m:r>
          </m:sup>
        </m:sSup>
      </m:oMath>
      <w:r>
        <w:t xml:space="preserve">.</w:t>
      </w:r>
    </w:p>
    <w:bookmarkEnd w:id="45"/>
    <w:bookmarkStart w:id="46" w:name="список-литературы"/>
    <w:p>
      <w:pPr>
        <w:pStyle w:val="Heading1"/>
      </w:pPr>
      <w:r>
        <w:t xml:space="preserve">Список литературы</w:t>
      </w:r>
    </w:p>
    <w:p>
      <w:pPr>
        <w:numPr>
          <w:ilvl w:val="0"/>
          <w:numId w:val="1007"/>
        </w:numPr>
        <w:pStyle w:val="Compact"/>
      </w:pPr>
      <w:r>
        <w:t xml:space="preserve">Wikipedia - Compartmental models in epidemiology (https://en.wikipedia.org/wiki/</w:t>
      </w:r>
      <w:r>
        <w:t xml:space="preserve"> </w:t>
      </w:r>
      <w:r>
        <w:t xml:space="preserve">Compartmental_models_in_epidemiology)[1]</w:t>
      </w:r>
    </w:p>
    <w:p>
      <w:pPr>
        <w:numPr>
          <w:ilvl w:val="0"/>
          <w:numId w:val="1007"/>
        </w:numPr>
        <w:pStyle w:val="Compact"/>
      </w:pPr>
      <w:r>
        <w:t xml:space="preserve">Теоретические материалы курса.[2]</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40" Target="media/rId40.png" /><Relationship Type="http://schemas.openxmlformats.org/officeDocument/2006/relationships/image" Id="rId24" Target="media/rId24.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№6</dc:title>
  <dc:creator>Ишанова А.И. группа НФИБД-02-19</dc:creator>
  <dc:language>ru-RU</dc:language>
  <cp:keywords/>
  <dcterms:created xsi:type="dcterms:W3CDTF">2022-03-15T22:02:42Z</dcterms:created>
  <dcterms:modified xsi:type="dcterms:W3CDTF">2022-03-15T22:02:42Z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odeBlockCaptions">
    <vt:lpwstr>False</vt:lpwstr>
  </property>
  <property fmtid="{D5CDD505-2E9C-101B-9397-08002B2CF9AE}" pid="14" name="cref">
    <vt:lpwstr>False</vt:lpwstr>
  </property>
  <property fmtid="{D5CDD505-2E9C-101B-9397-08002B2CF9AE}" pid="15" name="crossrefYaml">
    <vt:lpwstr>pandoc-crossref.yaml</vt:lpwstr>
  </property>
  <property fmtid="{D5CDD505-2E9C-101B-9397-08002B2CF9AE}" pid="16" name="documentclass">
    <vt:lpwstr>scrreprt</vt:lpwstr>
  </property>
  <property fmtid="{D5CDD505-2E9C-101B-9397-08002B2CF9AE}" pid="17" name="eqLabels">
    <vt:lpwstr>arabic</vt:lpwstr>
  </property>
  <property fmtid="{D5CDD505-2E9C-101B-9397-08002B2CF9AE}" pid="18" name="eqnPrefix">
    <vt:lpwstr/>
  </property>
  <property fmtid="{D5CDD505-2E9C-101B-9397-08002B2CF9AE}" pid="19" name="eqnPrefixTemplate">
    <vt:lpwstr>p i</vt:lpwstr>
  </property>
  <property fmtid="{D5CDD505-2E9C-101B-9397-08002B2CF9AE}" pid="20" name="equationNumberTeX">
    <vt:lpwstr>qquad</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ureTemplate">
    <vt:lpwstr>figureTitle ititleDelim t</vt:lpwstr>
  </property>
  <property fmtid="{D5CDD505-2E9C-101B-9397-08002B2CF9AE}" pid="25" name="figureTitle">
    <vt:lpwstr>Figure</vt:lpwstr>
  </property>
  <property fmtid="{D5CDD505-2E9C-101B-9397-08002B2CF9AE}" pid="26" name="fontsize">
    <vt:lpwstr>12pt</vt:lpwstr>
  </property>
  <property fmtid="{D5CDD505-2E9C-101B-9397-08002B2CF9AE}" pid="27" name="header-includes">
    <vt:lpwstr/>
  </property>
  <property fmtid="{D5CDD505-2E9C-101B-9397-08002B2CF9AE}" pid="28" name="indent">
    <vt:lpwstr>True</vt:lpwstr>
  </property>
  <property fmtid="{D5CDD505-2E9C-101B-9397-08002B2CF9AE}" pid="29" name="lastDelim">
    <vt:lpwstr>, </vt:lpwstr>
  </property>
  <property fmtid="{D5CDD505-2E9C-101B-9397-08002B2CF9AE}" pid="30" name="linestretch">
    <vt:lpwstr>1.5</vt:lpwstr>
  </property>
  <property fmtid="{D5CDD505-2E9C-101B-9397-08002B2CF9AE}" pid="31" name="linkReferences">
    <vt:lpwstr>False</vt:lpwstr>
  </property>
  <property fmtid="{D5CDD505-2E9C-101B-9397-08002B2CF9AE}" pid="32" name="listingTemplate">
    <vt:lpwstr>listingTitle ititleDelim t</vt:lpwstr>
  </property>
  <property fmtid="{D5CDD505-2E9C-101B-9397-08002B2CF9AE}" pid="33" name="listingTitle">
    <vt:lpwstr>Listing</vt:lpwstr>
  </property>
  <property fmtid="{D5CDD505-2E9C-101B-9397-08002B2CF9AE}" pid="34" name="listings">
    <vt:lpwstr>False</vt:lpwstr>
  </property>
  <property fmtid="{D5CDD505-2E9C-101B-9397-08002B2CF9AE}" pid="35" name="lof">
    <vt:lpwstr>True</vt:lpwstr>
  </property>
  <property fmtid="{D5CDD505-2E9C-101B-9397-08002B2CF9AE}" pid="36" name="lofTitle">
    <vt:lpwstr>List of Figures</vt:lpwstr>
  </property>
  <property fmtid="{D5CDD505-2E9C-101B-9397-08002B2CF9AE}" pid="37" name="lolTitle">
    <vt:lpwstr>List of Listings</vt:lpwstr>
  </property>
  <property fmtid="{D5CDD505-2E9C-101B-9397-08002B2CF9AE}" pid="38" name="lot">
    <vt:lpwstr>False</vt:lpwstr>
  </property>
  <property fmtid="{D5CDD505-2E9C-101B-9397-08002B2CF9AE}" pid="39" name="lotTitle">
    <vt:lpwstr>List of Tables</vt:lpwstr>
  </property>
  <property fmtid="{D5CDD505-2E9C-101B-9397-08002B2CF9AE}" pid="40" name="lstLabels">
    <vt:lpwstr>arabic</vt:lpwstr>
  </property>
  <property fmtid="{D5CDD505-2E9C-101B-9397-08002B2CF9AE}" pid="41" name="lstPrefix">
    <vt:lpwstr/>
  </property>
  <property fmtid="{D5CDD505-2E9C-101B-9397-08002B2CF9AE}" pid="42" name="lstPrefixTemplate">
    <vt:lpwstr>p i</vt:lpwstr>
  </property>
  <property fmtid="{D5CDD505-2E9C-101B-9397-08002B2CF9AE}" pid="43" name="mainfont">
    <vt:lpwstr>PT Serif</vt:lpwstr>
  </property>
  <property fmtid="{D5CDD505-2E9C-101B-9397-08002B2CF9AE}" pid="44" name="mainfontoptions">
    <vt:lpwstr>Ligatures=TeX</vt:lpwstr>
  </property>
  <property fmtid="{D5CDD505-2E9C-101B-9397-08002B2CF9AE}" pid="45" name="monofont">
    <vt:lpwstr>PT Mono</vt:lpwstr>
  </property>
  <property fmtid="{D5CDD505-2E9C-101B-9397-08002B2CF9AE}" pid="46" name="monofontoptions">
    <vt:lpwstr>Scale=MatchLowercase,Scale=0.9</vt:lpwstr>
  </property>
  <property fmtid="{D5CDD505-2E9C-101B-9397-08002B2CF9AE}" pid="47" name="nameInLink">
    <vt:lpwstr>False</vt:lpwstr>
  </property>
  <property fmtid="{D5CDD505-2E9C-101B-9397-08002B2CF9AE}" pid="48" name="numberSections">
    <vt:lpwstr>False</vt:lpwstr>
  </property>
  <property fmtid="{D5CDD505-2E9C-101B-9397-08002B2CF9AE}" pid="49" name="pairDelim">
    <vt:lpwstr>, </vt:lpwstr>
  </property>
  <property fmtid="{D5CDD505-2E9C-101B-9397-08002B2CF9AE}" pid="50" name="papersize">
    <vt:lpwstr>a4</vt:lpwstr>
  </property>
  <property fmtid="{D5CDD505-2E9C-101B-9397-08002B2CF9AE}" pid="51" name="polyglossia-lang">
    <vt:lpwstr/>
  </property>
  <property fmtid="{D5CDD505-2E9C-101B-9397-08002B2CF9AE}" pid="52" name="polyglossia-otherlangs">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romanfont">
    <vt:lpwstr>PT Serif</vt:lpwstr>
  </property>
  <property fmtid="{D5CDD505-2E9C-101B-9397-08002B2CF9AE}" pid="57" name="romanfontoptions">
    <vt:lpwstr>Ligatures=TeX</vt:lpwstr>
  </property>
  <property fmtid="{D5CDD505-2E9C-101B-9397-08002B2CF9AE}" pid="58" name="sansfont">
    <vt:lpwstr>PT Sans</vt:lpwstr>
  </property>
  <property fmtid="{D5CDD505-2E9C-101B-9397-08002B2CF9AE}" pid="59" name="sansfontoptions">
    <vt:lpwstr>Ligatures=TeX,Scale=MatchLowercase</vt:lpwstr>
  </property>
  <property fmtid="{D5CDD505-2E9C-101B-9397-08002B2CF9AE}" pid="60" name="secHeaderDelim">
    <vt:lpwstr> </vt:lpwstr>
  </property>
  <property fmtid="{D5CDD505-2E9C-101B-9397-08002B2CF9AE}" pid="61" name="secHeaderTemplate">
    <vt:lpwstr>isecHeaderDelim[n]t</vt:lpwstr>
  </property>
  <property fmtid="{D5CDD505-2E9C-101B-9397-08002B2CF9AE}" pid="62" name="secLabels">
    <vt:lpwstr>arabic</vt:lpwstr>
  </property>
  <property fmtid="{D5CDD505-2E9C-101B-9397-08002B2CF9AE}" pid="63" name="secPrefix">
    <vt:lpwstr/>
  </property>
  <property fmtid="{D5CDD505-2E9C-101B-9397-08002B2CF9AE}" pid="64" name="secPrefixTemplate">
    <vt:lpwstr>p i</vt:lpwstr>
  </property>
  <property fmtid="{D5CDD505-2E9C-101B-9397-08002B2CF9AE}" pid="65" name="sectionsDepth">
    <vt:lpwstr>0</vt:lpwstr>
  </property>
  <property fmtid="{D5CDD505-2E9C-101B-9397-08002B2CF9AE}" pid="66" name="subfigGrid">
    <vt:lpwstr>False</vt:lpwstr>
  </property>
  <property fmtid="{D5CDD505-2E9C-101B-9397-08002B2CF9AE}" pid="67" name="subfigLabels">
    <vt:lpwstr>alpha a</vt:lpwstr>
  </property>
  <property fmtid="{D5CDD505-2E9C-101B-9397-08002B2CF9AE}" pid="68" name="subfigureChildTemplate">
    <vt:lpwstr>i</vt:lpwstr>
  </property>
  <property fmtid="{D5CDD505-2E9C-101B-9397-08002B2CF9AE}" pid="69" name="subfigureRefIndexTemplate">
    <vt:lpwstr>isuf (s)</vt:lpwstr>
  </property>
  <property fmtid="{D5CDD505-2E9C-101B-9397-08002B2CF9AE}" pid="70" name="subfigureTemplate">
    <vt:lpwstr>figureTitle ititleDelim t. ccs</vt:lpwstr>
  </property>
  <property fmtid="{D5CDD505-2E9C-101B-9397-08002B2CF9AE}" pid="71" name="subtitle">
    <vt:lpwstr>Задача об эпидемии</vt:lpwstr>
  </property>
  <property fmtid="{D5CDD505-2E9C-101B-9397-08002B2CF9AE}" pid="72" name="tableEqns">
    <vt:lpwstr>False</vt:lpwstr>
  </property>
  <property fmtid="{D5CDD505-2E9C-101B-9397-08002B2CF9AE}" pid="73" name="tableTemplate">
    <vt:lpwstr>tableTitle ititleDelim t</vt:lpwstr>
  </property>
  <property fmtid="{D5CDD505-2E9C-101B-9397-08002B2CF9AE}" pid="74" name="tableTitle">
    <vt:lpwstr>Table</vt:lpwstr>
  </property>
  <property fmtid="{D5CDD505-2E9C-101B-9397-08002B2CF9AE}" pid="75" name="tblLabels">
    <vt:lpwstr>arabic</vt:lpwstr>
  </property>
  <property fmtid="{D5CDD505-2E9C-101B-9397-08002B2CF9AE}" pid="76" name="tblPrefix">
    <vt:lpwstr/>
  </property>
  <property fmtid="{D5CDD505-2E9C-101B-9397-08002B2CF9AE}" pid="77" name="tblPrefixTemplate">
    <vt:lpwstr>p i</vt:lpwstr>
  </property>
  <property fmtid="{D5CDD505-2E9C-101B-9397-08002B2CF9AE}" pid="78" name="titleDelim">
    <vt:lpwstr>:</vt:lpwstr>
  </property>
  <property fmtid="{D5CDD505-2E9C-101B-9397-08002B2CF9AE}" pid="79" name="toc">
    <vt:lpwstr>True</vt:lpwstr>
  </property>
  <property fmtid="{D5CDD505-2E9C-101B-9397-08002B2CF9AE}" pid="80" name="toc-title">
    <vt:lpwstr>Содержание</vt:lpwstr>
  </property>
  <property fmtid="{D5CDD505-2E9C-101B-9397-08002B2CF9AE}" pid="81" name="toc_depth">
    <vt:lpwstr>2</vt:lpwstr>
  </property>
</Properties>
</file>