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</w:p>
    <w:p>
      <w:pPr>
        <w:pStyle w:val="Author"/>
      </w:pPr>
      <w:r>
        <w:t xml:space="preserve">Ишанова</w:t>
      </w:r>
      <w:r>
        <w:t xml:space="preserve"> </w:t>
      </w:r>
      <w:r>
        <w:t xml:space="preserve">А.И.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 конкуренции фирм, реализовать модель в OpenModelica.</w:t>
      </w:r>
    </w:p>
    <w:bookmarkEnd w:id="20"/>
    <w:bookmarkStart w:id="22" w:name="задание-работы"/>
    <w:p>
      <w:pPr>
        <w:pStyle w:val="Heading1"/>
      </w:pPr>
      <w:r>
        <w:t xml:space="preserve">Задание работы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введенной нормировкой для случая 1.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фирмы 1 и фирмы 2 без учета постоянных издержек и с введенной нормировкой для случая 2.</w:t>
      </w:r>
    </w:p>
    <w:bookmarkStart w:id="21" w:name="вариант-18"/>
    <w:p>
      <w:pPr>
        <w:pStyle w:val="Heading3"/>
      </w:pPr>
      <w:r>
        <w:t xml:space="preserve">Вариант 18</w:t>
      </w:r>
    </w:p>
    <w:p>
      <w:pPr>
        <w:pStyle w:val="FirstParagraph"/>
      </w:pPr>
      <w:r>
        <w:rPr>
          <w:iCs/>
          <w:i/>
        </w:rPr>
        <w:t xml:space="preserve">Случай 1.</w:t>
      </w:r>
      <w:r>
        <w:t xml:space="preserve"> </w:t>
      </w: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</m:num>
          <m:den>
            <m:sSubSup>
              <m:e>
                <m:r>
                  <m:t>τ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sSubSup>
              <m:e>
                <m:r>
                  <m:t>τ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  <m:sSup>
              <m:e>
                <m:acc>
                  <m:accPr>
                    <m:chr m:val="̃"/>
                  </m:acc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acc>
              </m:e>
              <m:sup>
                <m:r>
                  <m:t>2</m:t>
                </m:r>
              </m:sup>
            </m:sSup>
            <m:r>
              <m:t>N</m:t>
            </m:r>
            <m:r>
              <m:t>q</m:t>
            </m:r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1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</m:e>
            </m:acc>
          </m:den>
        </m:f>
      </m:oMath>
      <w:r>
        <w:t xml:space="preserve">,</w:t>
      </w:r>
      <w:r>
        <w:t xml:space="preserve"> </w:t>
      </w:r>
      <m:oMath>
        <m:sSub>
          <m:e>
            <m:r>
              <m:t>c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c</m:t>
                </m:r>
                <m:r>
                  <m:t>r</m:t>
                </m:r>
              </m:sub>
            </m:sSub>
            <m:r>
              <m:rPr>
                <m:sty m:val="p"/>
              </m:rPr>
              <m:t>−</m:t>
            </m:r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num>
          <m:den>
            <m:sSub>
              <m:e>
                <m:r>
                  <m:t>τ</m:t>
                </m:r>
              </m:e>
              <m:sub>
                <m:r>
                  <m:t>2</m:t>
                </m:r>
              </m:sub>
            </m:sSub>
            <m:acc>
              <m:accPr>
                <m:chr m:val="̃"/>
              </m:accPr>
              <m:e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</m:e>
            </m:acc>
          </m:den>
        </m:f>
      </m:oMath>
    </w:p>
    <w:p>
      <w:pPr>
        <w:pStyle w:val="BodyText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rPr>
          <w:iCs/>
          <w:i/>
        </w:rPr>
        <w:t xml:space="preserve">Случай 2.</w:t>
      </w:r>
      <w:r>
        <w:t xml:space="preserve"> </w:t>
      </w:r>
      <w:r>
        <w:t xml:space="preserve">Рассмотрим модель, когда, помимо экономического фактора влияния(изменение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0.0009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>
        <m:sSubSup>
          <m:e>
            <m:r>
              <m:t>M</m:t>
            </m:r>
          </m:e>
          <m:sub>
            <m:r>
              <m:t>0</m:t>
            </m:r>
          </m:sub>
          <m:sup>
            <m:r>
              <m:t>1</m:t>
            </m:r>
          </m:sup>
        </m:sSubSup>
        <m:r>
          <m:rPr>
            <m:sty m:val="p"/>
          </m:rPr>
          <m:t>=</m:t>
        </m:r>
        <m:r>
          <m:t>4.2</m:t>
        </m:r>
        <m:r>
          <m:rPr>
            <m:sty m:val="p"/>
          </m:rPr>
          <m:t>,</m:t>
        </m:r>
        <m:sSubSup>
          <m:e>
            <m:r>
              <m:t>M</m:t>
            </m:r>
          </m:e>
          <m:sub>
            <m:r>
              <m:t>0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3.8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11.4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=</m:t>
        </m:r>
        <m:r>
          <m:t>26</m:t>
        </m:r>
        <m:r>
          <m:rPr>
            <m:sty m:val="p"/>
          </m:rPr>
          <m:t>,</m:t>
        </m:r>
        <m:r>
          <m:t>q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sSub>
          <m:e>
            <m:r>
              <m:t>τ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e>
        </m:acc>
        <m:r>
          <m:rPr>
            <m:sty m:val="p"/>
          </m:rPr>
          <m:t>=</m:t>
        </m:r>
        <m:r>
          <m:t>6.6</m:t>
        </m:r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acc>
        <m:r>
          <m:rPr>
            <m:sty m:val="p"/>
          </m:rPr>
          <m:t>=</m:t>
        </m:r>
        <m:r>
          <m:t>4.5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Замечание:</w:t>
      </w:r>
    </w:p>
    <w:p>
      <w:pPr>
        <w:pStyle w:val="BodyText"/>
      </w:pPr>
      <w:r>
        <w:t xml:space="preserve">Значения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,</m:t>
        </m:r>
        <m:acc>
          <m:accPr>
            <m:chr m:val="̃"/>
          </m:accPr>
          <m:e>
            <m:sSub>
              <m:e>
                <m:r>
                  <m:t>p</m:t>
                </m:r>
              </m:e>
              <m:sub>
                <m:r>
                  <m:t>1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e>
        </m:acc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указаны в тысячах единиц, а значения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sub>
        </m:sSub>
      </m:oMath>
      <w:r>
        <w:t xml:space="preserve"> </w:t>
      </w:r>
      <w:r>
        <w:t xml:space="preserve">указаны в млн. единиц.</w:t>
      </w:r>
    </w:p>
    <w:p>
      <w:pPr>
        <w:pStyle w:val="BodyText"/>
      </w:pPr>
      <w:r>
        <w:rPr>
          <w:bCs/>
          <w:b/>
        </w:rPr>
        <w:t xml:space="preserve">Обозначения:</w:t>
      </w:r>
    </w:p>
    <w:p>
      <w:pPr>
        <w:pStyle w:val="BodyText"/>
      </w:pPr>
      <w:r>
        <w:t xml:space="preserve">N – число потребителей производимого продукта.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w:r>
        <w:t xml:space="preserve">p 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w:r>
        <w:t xml:space="preserve">q – максимальная потребность одного человека в продукте в единицу времени.</w:t>
      </w:r>
    </w:p>
    <w:p>
      <w:pPr>
        <w:pStyle w:val="BodyText"/>
      </w:pPr>
      <m:oMath>
        <m:r>
          <m:t>θ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sSub>
              <m:e>
                <m:r>
                  <m:t>c</m:t>
                </m:r>
              </m:e>
              <m:sub>
                <m:r>
                  <m:t>1</m:t>
                </m:r>
              </m:sub>
            </m:sSub>
          </m:den>
        </m:f>
      </m:oMath>
      <w:r>
        <w:t xml:space="preserve"> </w:t>
      </w:r>
      <w:r>
        <w:t xml:space="preserve">- безразмерное время.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 учета постоянных издержек и с введенной нормировкой для случая 2.</w:t>
      </w:r>
    </w:p>
    <w:bookmarkEnd w:id="21"/>
    <w:bookmarkEnd w:id="22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Модель одной фирмы</w:t>
      </w:r>
    </w:p>
    <w:p>
      <w:pPr>
        <w:pStyle w:val="BodyText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–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предприятия.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– длительность производственного цикла.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– рыночная цена товара.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>
        <m:r>
          <m:t>κ</m:t>
        </m:r>
      </m:oMath>
      <w:r>
        <w:t xml:space="preserve"> </w:t>
      </w: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/</m:t>
            </m:r>
            <m:r>
              <m:t>p</m:t>
            </m:r>
          </m:e>
        </m:d>
      </m:oMath>
      <w:r>
        <w:t xml:space="preserve"> </w:t>
      </w: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 q – максимальная потребность одного человека в продукте в единицу времени. Эта функция падает с ростом цены и при p =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= Sq/k. Параметр k – мера эластичности функции спроса по цене. Таким образом, функция спроса в форме выше является пороговой (то есть, Q(S/p) = 0 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этого следует, что равновесное значение цены p равно: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приобретает вид: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имеет два стационарных решения, соответствующих условию dM/dt = 0: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Cледует,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 При</w:t>
      </w:r>
      <w:r>
        <w:t xml:space="preserve"> </w:t>
      </w:r>
      <m:oMath>
        <m:r>
          <m:t>b</m:t>
        </m:r>
        <m:r>
          <m:rPr>
            <m:sty m:val="p"/>
          </m:rPr>
          <m:t>≪</m:t>
        </m:r>
        <m:r>
          <m:t>a</m:t>
        </m:r>
      </m:oMath>
      <w:r>
        <w:t xml:space="preserve"> </w:t>
      </w:r>
      <w:r>
        <w:t xml:space="preserve">стационарные значения M равны.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(dM/dt &lt; 0),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= 1,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сказанного.[1]</w:t>
      </w:r>
    </w:p>
    <w:bookmarkEnd w:id="23"/>
    <w:bookmarkStart w:id="4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Пишем код для первого случая. (fig. 1)</w:t>
      </w:r>
    </w:p>
    <w:p>
      <w:pPr>
        <w:pStyle w:val="CaptionedFigure"/>
      </w:pPr>
      <w:bookmarkStart w:id="27" w:name="fig:001"/>
      <w:r>
        <w:drawing>
          <wp:inline>
            <wp:extent cx="5334000" cy="4023160"/>
            <wp:effectExtent b="0" l="0" r="0" t="0"/>
            <wp:docPr descr="Figure 1: Код программы для 1 случая (не учитываются социально-психологические факторы)" title="" id="25" name="Picture"/>
            <a:graphic>
              <a:graphicData uri="http://schemas.openxmlformats.org/drawingml/2006/picture">
                <pic:pic>
                  <pic:nvPicPr>
                    <pic:cNvPr descr="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Код программы для 1 случая (не учитываются социально-психологические факторы)</w:t>
      </w:r>
    </w:p>
    <w:p>
      <w:pPr>
        <w:numPr>
          <w:ilvl w:val="0"/>
          <w:numId w:val="1004"/>
        </w:numPr>
        <w:pStyle w:val="Compact"/>
      </w:pPr>
      <w:r>
        <w:t xml:space="preserve">Компилируем и получаем график. (fig. 2)</w:t>
      </w:r>
    </w:p>
    <w:p>
      <w:pPr>
        <w:pStyle w:val="CaptionedFigure"/>
      </w:pPr>
      <w:bookmarkStart w:id="31" w:name="fig:002"/>
      <w:r>
        <w:drawing>
          <wp:inline>
            <wp:extent cx="5263563" cy="4326110"/>
            <wp:effectExtent b="0" l="0" r="0" t="0"/>
            <wp:docPr descr="Figure 2: График для 1 случая (не учитываются социально-психологические факторы)" title="" id="29" name="Picture"/>
            <a:graphic>
              <a:graphicData uri="http://schemas.openxmlformats.org/drawingml/2006/picture">
                <pic:pic>
                  <pic:nvPicPr>
                    <pic:cNvPr descr="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3" cy="432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2: График для 1 случая (не учитываются социально-психологические факторы)</w:t>
      </w:r>
    </w:p>
    <w:p>
      <w:pPr>
        <w:numPr>
          <w:ilvl w:val="0"/>
          <w:numId w:val="1005"/>
        </w:numPr>
        <w:pStyle w:val="Compact"/>
      </w:pPr>
      <w:r>
        <w:t xml:space="preserve">Пишем код для второго случая.(fig. 3).</w:t>
      </w:r>
    </w:p>
    <w:p>
      <w:pPr>
        <w:pStyle w:val="CaptionedFigure"/>
      </w:pPr>
      <w:bookmarkStart w:id="35" w:name="fig:003"/>
      <w:r>
        <w:drawing>
          <wp:inline>
            <wp:extent cx="5334000" cy="3913028"/>
            <wp:effectExtent b="0" l="0" r="0" t="0"/>
            <wp:docPr descr="Figure 3: Код программы для 2 случая (учитываются социально-психологические факторы)" title="" id="33" name="Picture"/>
            <a:graphic>
              <a:graphicData uri="http://schemas.openxmlformats.org/drawingml/2006/picture">
                <pic:pic>
                  <pic:nvPicPr>
                    <pic:cNvPr descr="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3: Код программы для 2 случая (учитываются социально-психологические факторы)</w:t>
      </w:r>
    </w:p>
    <w:p>
      <w:pPr>
        <w:numPr>
          <w:ilvl w:val="0"/>
          <w:numId w:val="1006"/>
        </w:numPr>
        <w:pStyle w:val="Compact"/>
      </w:pPr>
      <w:r>
        <w:t xml:space="preserve">Компилируем и получаем график. (fig. 4)</w:t>
      </w:r>
    </w:p>
    <w:p>
      <w:pPr>
        <w:pStyle w:val="CaptionedFigure"/>
      </w:pPr>
      <w:bookmarkStart w:id="39" w:name="fig:004"/>
      <w:r>
        <w:drawing>
          <wp:inline>
            <wp:extent cx="5209774" cy="4326110"/>
            <wp:effectExtent b="0" l="0" r="0" t="0"/>
            <wp:docPr descr="Figure 4: График для 2 случая (учитываются социально-психологические факторы)" title="" id="37" name="Picture"/>
            <a:graphic>
              <a:graphicData uri="http://schemas.openxmlformats.org/drawingml/2006/picture">
                <pic:pic>
                  <pic:nvPicPr>
                    <pic:cNvPr descr="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774" cy="4326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4: График для 2 случая (учитываются социально-психологические факторы)</w:t>
      </w:r>
    </w:p>
    <w:bookmarkEnd w:id="40"/>
    <w:bookmarkStart w:id="4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работы мы познакомились с моделью конкуренции фирм, реализовали модели в случае, когда не учитываются социально-психологические факторы, и в случае, когда они учитываются. И получили два графика зависимости оборотных средст предприятий от нормированного времени.</w:t>
      </w:r>
    </w:p>
    <w:bookmarkEnd w:id="41"/>
    <w:bookmarkStart w:id="4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r>
        <w:t xml:space="preserve">Теоретические материалы курса.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Ишанова А.И. группа НФИбд-02-19</dc:creator>
  <dc:language>ru-RU</dc:language>
  <cp:keywords/>
  <dcterms:created xsi:type="dcterms:W3CDTF">2022-04-01T17:19:17Z</dcterms:created>
  <dcterms:modified xsi:type="dcterms:W3CDTF">2022-04-01T17:19:17Z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Prefix">
    <vt:lpwstr/>
  </property>
  <property fmtid="{D5CDD505-2E9C-101B-9397-08002B2CF9AE}" pid="19" name="eqnPrefixTemplate">
    <vt:lpwstr>p i</vt:lpwstr>
  </property>
  <property fmtid="{D5CDD505-2E9C-101B-9397-08002B2CF9AE}" pid="20" name="equationNumberTeX">
    <vt:lpwstr>qquad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fontsize">
    <vt:lpwstr>12pt</vt:lpwstr>
  </property>
  <property fmtid="{D5CDD505-2E9C-101B-9397-08002B2CF9AE}" pid="27" name="header-includes">
    <vt:lpwstr/>
  </property>
  <property fmtid="{D5CDD505-2E9C-101B-9397-08002B2CF9AE}" pid="28" name="indent">
    <vt:lpwstr>True</vt:lpwstr>
  </property>
  <property fmtid="{D5CDD505-2E9C-101B-9397-08002B2CF9AE}" pid="29" name="lastDelim">
    <vt:lpwstr>, </vt:lpwstr>
  </property>
  <property fmtid="{D5CDD505-2E9C-101B-9397-08002B2CF9AE}" pid="30" name="linestretch">
    <vt:lpwstr>1.5</vt:lpwstr>
  </property>
  <property fmtid="{D5CDD505-2E9C-101B-9397-08002B2CF9AE}" pid="31" name="linkReferences">
    <vt:lpwstr>False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">
    <vt:lpwstr>True</vt:lpwstr>
  </property>
  <property fmtid="{D5CDD505-2E9C-101B-9397-08002B2CF9AE}" pid="36" name="lofTitle">
    <vt:lpwstr>List of Figures</vt:lpwstr>
  </property>
  <property fmtid="{D5CDD505-2E9C-101B-9397-08002B2CF9AE}" pid="37" name="lolTitle">
    <vt:lpwstr>List of Listings</vt:lpwstr>
  </property>
  <property fmtid="{D5CDD505-2E9C-101B-9397-08002B2CF9AE}" pid="38" name="lot">
    <vt:lpwstr>False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Модель конкуренции двух фирм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