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</w:p>
    <w:p>
      <w:pPr>
        <w:pStyle w:val="Author"/>
      </w:pPr>
      <w:r>
        <w:t xml:space="preserve">Ишанова</w:t>
      </w:r>
      <w:r>
        <w:t xml:space="preserve"> </w:t>
      </w:r>
      <w:r>
        <w:t xml:space="preserve">А.И.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SELinux на практике совместно с веб-сервером Apache.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SELinux (англ. Security-Enhanced Linux — Linux с улучшенной безопасностью) — реализация системы принудительного контроля доступа, которая может работать параллельно с классической избирательной системой контроля доступа. [2]</w:t>
      </w:r>
    </w:p>
    <w:p>
      <w:pPr>
        <w:pStyle w:val="BodyText"/>
      </w:pPr>
      <w:r>
        <w:t xml:space="preserve">Apache HTTP-сервер — свободный веб-сервер. Apache является кроссплатформенным ПО, поддерживает операционные системы Linux, BSD, macOS, Microsoft Windows, Novell NetWare, BeOS.</w:t>
      </w:r>
    </w:p>
    <w:p>
      <w:pPr>
        <w:pStyle w:val="BodyText"/>
      </w:pPr>
      <w:r>
        <w:t xml:space="preserve">Основными достоинствами Apache считаются надёжность и гибкость конфигурации. Он позволяет подключать внешние модули для предоставления данных, использовать СУБД для аутентификации пользователей, модифицировать сообщения об ошибках и т. д. Поддерживает IPv4. [3]</w:t>
      </w:r>
    </w:p>
    <w:bookmarkEnd w:id="21"/>
    <w:bookmarkStart w:id="11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4" w:name="подготовка-лабораторного-стенда"/>
    <w:p>
      <w:pPr>
        <w:pStyle w:val="Heading2"/>
      </w:pPr>
      <w:r>
        <w:t xml:space="preserve">Подготовка лабораторного стенда</w:t>
      </w:r>
    </w:p>
    <w:p>
      <w:pPr>
        <w:numPr>
          <w:ilvl w:val="0"/>
          <w:numId w:val="1001"/>
        </w:numPr>
        <w:pStyle w:val="Compact"/>
      </w:pPr>
      <w:r>
        <w:t xml:space="preserve">Установили httpd. (fig. 1)</w:t>
      </w:r>
    </w:p>
    <w:p>
      <w:pPr>
        <w:pStyle w:val="CaptionedFigure"/>
      </w:pPr>
      <w:bookmarkStart w:id="25" w:name="fig:001"/>
      <w:r>
        <w:drawing>
          <wp:inline>
            <wp:extent cx="5334000" cy="1867261"/>
            <wp:effectExtent b="0" l="0" r="0" t="0"/>
            <wp:docPr descr="Figure 1: Установка httpd" title="" id="23" name="Picture"/>
            <a:graphic>
              <a:graphicData uri="http://schemas.openxmlformats.org/drawingml/2006/picture">
                <pic:pic>
                  <pic:nvPicPr>
                    <pic:cNvPr descr="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7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Установка httpd</w:t>
      </w:r>
    </w:p>
    <w:p>
      <w:pPr>
        <w:numPr>
          <w:ilvl w:val="0"/>
          <w:numId w:val="1002"/>
        </w:numPr>
        <w:pStyle w:val="Compact"/>
      </w:pPr>
      <w:r>
        <w:t xml:space="preserve">В конфигурационном файле /etc/httpd/httpd.conf необходимо задали параметр ServerName. (fig. 2)</w:t>
      </w:r>
    </w:p>
    <w:p>
      <w:pPr>
        <w:pStyle w:val="CaptionedFigure"/>
      </w:pPr>
      <w:bookmarkStart w:id="29" w:name="fig:002"/>
      <w:r>
        <w:drawing>
          <wp:inline>
            <wp:extent cx="4479791" cy="322729"/>
            <wp:effectExtent b="0" l="0" r="0" t="0"/>
            <wp:docPr descr="Figure 2: Задача параметра ServerName" title="" id="27" name="Picture"/>
            <a:graphic>
              <a:graphicData uri="http://schemas.openxmlformats.org/drawingml/2006/picture">
                <pic:pic>
                  <pic:nvPicPr>
                    <pic:cNvPr descr="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791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Задача параметра ServerName</w:t>
      </w:r>
    </w:p>
    <w:p>
      <w:pPr>
        <w:numPr>
          <w:ilvl w:val="0"/>
          <w:numId w:val="1003"/>
        </w:numPr>
        <w:pStyle w:val="Compact"/>
      </w:pPr>
      <w:r>
        <w:t xml:space="preserve">Отключили фильтры. (fig. 3)</w:t>
      </w:r>
    </w:p>
    <w:p>
      <w:pPr>
        <w:pStyle w:val="CaptionedFigure"/>
      </w:pPr>
      <w:bookmarkStart w:id="33" w:name="fig:003"/>
      <w:r>
        <w:drawing>
          <wp:inline>
            <wp:extent cx="3626863" cy="476410"/>
            <wp:effectExtent b="0" l="0" r="0" t="0"/>
            <wp:docPr descr="Figure 3: Отключение фильтров" title="" id="31" name="Picture"/>
            <a:graphic>
              <a:graphicData uri="http://schemas.openxmlformats.org/drawingml/2006/picture">
                <pic:pic>
                  <pic:nvPicPr>
                    <pic:cNvPr descr="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863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Отключение фильтров</w:t>
      </w:r>
    </w:p>
    <w:bookmarkEnd w:id="34"/>
    <w:bookmarkStart w:id="115" w:name="основная-часть"/>
    <w:p>
      <w:pPr>
        <w:pStyle w:val="Heading2"/>
      </w:pPr>
      <w:r>
        <w:t xml:space="preserve">Основная часть</w:t>
      </w:r>
    </w:p>
    <w:p>
      <w:pPr>
        <w:numPr>
          <w:ilvl w:val="0"/>
          <w:numId w:val="1004"/>
        </w:numPr>
        <w:pStyle w:val="Compact"/>
      </w:pPr>
      <w:r>
        <w:t xml:space="preserve">Убедились, что SELinux работает в режиме enforcing политики targeted. (fig. 4)</w:t>
      </w:r>
    </w:p>
    <w:p>
      <w:pPr>
        <w:pStyle w:val="CaptionedFigure"/>
      </w:pPr>
      <w:bookmarkStart w:id="38" w:name="fig:004"/>
      <w:r>
        <w:drawing>
          <wp:inline>
            <wp:extent cx="3427078" cy="1828800"/>
            <wp:effectExtent b="0" l="0" r="0" t="0"/>
            <wp:docPr descr="Figure 4: Режим работы SELinux" title="" id="36" name="Picture"/>
            <a:graphic>
              <a:graphicData uri="http://schemas.openxmlformats.org/drawingml/2006/picture">
                <pic:pic>
                  <pic:nvPicPr>
                    <pic:cNvPr descr="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78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Режим работы SELinux</w:t>
      </w:r>
    </w:p>
    <w:p>
      <w:pPr>
        <w:numPr>
          <w:ilvl w:val="0"/>
          <w:numId w:val="1005"/>
        </w:numPr>
        <w:pStyle w:val="Compact"/>
      </w:pPr>
      <w:r>
        <w:t xml:space="preserve">Увидели, что сервер не работает и запустили его. (fig. 5, fig. 6 )</w:t>
      </w:r>
    </w:p>
    <w:p>
      <w:pPr>
        <w:pStyle w:val="CaptionedFigure"/>
      </w:pPr>
      <w:bookmarkStart w:id="42" w:name="fig:005"/>
      <w:r>
        <w:drawing>
          <wp:inline>
            <wp:extent cx="5334000" cy="1814735"/>
            <wp:effectExtent b="0" l="0" r="0" t="0"/>
            <wp:docPr descr="Figure 5: Проверка работы сервера" title="" id="40" name="Picture"/>
            <a:graphic>
              <a:graphicData uri="http://schemas.openxmlformats.org/drawingml/2006/picture">
                <pic:pic>
                  <pic:nvPicPr>
                    <pic:cNvPr descr="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4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Проверка работы сервера</w:t>
      </w:r>
    </w:p>
    <w:p>
      <w:pPr>
        <w:pStyle w:val="CaptionedFigure"/>
      </w:pPr>
      <w:bookmarkStart w:id="46" w:name="fig:006"/>
      <w:r>
        <w:drawing>
          <wp:inline>
            <wp:extent cx="5334000" cy="977900"/>
            <wp:effectExtent b="0" l="0" r="0" t="0"/>
            <wp:docPr descr="Figure 6: Запуск сервера" title="" id="44" name="Picture"/>
            <a:graphic>
              <a:graphicData uri="http://schemas.openxmlformats.org/drawingml/2006/picture">
                <pic:pic>
                  <pic:nvPicPr>
                    <pic:cNvPr descr="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Запуск сервера</w:t>
      </w:r>
    </w:p>
    <w:p>
      <w:pPr>
        <w:numPr>
          <w:ilvl w:val="0"/>
          <w:numId w:val="1006"/>
        </w:numPr>
        <w:pStyle w:val="Compact"/>
      </w:pPr>
      <w:r>
        <w:t xml:space="preserve">Определили контекст безопасности Appache - unconfined_u:unconfined_r:unconfined_t. (fig. 7)</w:t>
      </w:r>
    </w:p>
    <w:p>
      <w:pPr>
        <w:pStyle w:val="CaptionedFigure"/>
      </w:pPr>
      <w:bookmarkStart w:id="50" w:name="fig:007"/>
      <w:r>
        <w:drawing>
          <wp:inline>
            <wp:extent cx="5334000" cy="1699846"/>
            <wp:effectExtent b="0" l="0" r="0" t="0"/>
            <wp:docPr descr="Figure 7: Определение контекста безопасности" title="" id="48" name="Picture"/>
            <a:graphic>
              <a:graphicData uri="http://schemas.openxmlformats.org/drawingml/2006/picture">
                <pic:pic>
                  <pic:nvPicPr>
                    <pic:cNvPr descr="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9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7: Определение контекста безопасности</w:t>
      </w:r>
    </w:p>
    <w:p>
      <w:pPr>
        <w:numPr>
          <w:ilvl w:val="0"/>
          <w:numId w:val="1007"/>
        </w:numPr>
        <w:pStyle w:val="Compact"/>
      </w:pPr>
      <w:r>
        <w:t xml:space="preserve">Посмотрели текущее состояние переключателей SELinux для Apache. (fig. 8)</w:t>
      </w:r>
    </w:p>
    <w:p>
      <w:pPr>
        <w:pStyle w:val="CaptionedFigure"/>
      </w:pPr>
      <w:bookmarkStart w:id="54" w:name="fig:008"/>
      <w:r>
        <w:drawing>
          <wp:inline>
            <wp:extent cx="3511603" cy="5739973"/>
            <wp:effectExtent b="0" l="0" r="0" t="0"/>
            <wp:docPr descr="Figure 8: Текущее состояние переключателей SELinux для Apache" title="" id="52" name="Picture"/>
            <a:graphic>
              <a:graphicData uri="http://schemas.openxmlformats.org/drawingml/2006/picture">
                <pic:pic>
                  <pic:nvPicPr>
                    <pic:cNvPr descr="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03" cy="573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Текущее состояние переключателей SELinux для Apache</w:t>
      </w:r>
    </w:p>
    <w:p>
      <w:pPr>
        <w:numPr>
          <w:ilvl w:val="0"/>
          <w:numId w:val="1008"/>
        </w:numPr>
        <w:pStyle w:val="Compact"/>
      </w:pPr>
      <w:r>
        <w:t xml:space="preserve">осмотрели статистику по политике с помощью команды seinfo. (fig. 9)</w:t>
      </w:r>
    </w:p>
    <w:p>
      <w:pPr>
        <w:pStyle w:val="CaptionedFigure"/>
      </w:pPr>
      <w:bookmarkStart w:id="58" w:name="fig:009"/>
      <w:r>
        <w:drawing>
          <wp:inline>
            <wp:extent cx="3857384" cy="3550023"/>
            <wp:effectExtent b="0" l="0" r="0" t="0"/>
            <wp:docPr descr="Figure 9: Статистика по политике" title="" id="56" name="Picture"/>
            <a:graphic>
              <a:graphicData uri="http://schemas.openxmlformats.org/drawingml/2006/picture">
                <pic:pic>
                  <pic:nvPicPr>
                    <pic:cNvPr descr="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84" cy="3550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9: Статистика по политике</w:t>
      </w:r>
    </w:p>
    <w:p>
      <w:pPr>
        <w:numPr>
          <w:ilvl w:val="0"/>
          <w:numId w:val="1009"/>
        </w:numPr>
        <w:pStyle w:val="Compact"/>
      </w:pPr>
      <w:r>
        <w:t xml:space="preserve">Определили тип файлов и поддиректорий, находящихся в директории /var/www. (fig. 10)</w:t>
      </w:r>
    </w:p>
    <w:p>
      <w:pPr>
        <w:pStyle w:val="CaptionedFigure"/>
      </w:pPr>
      <w:bookmarkStart w:id="62" w:name="fig:010"/>
      <w:r>
        <w:drawing>
          <wp:inline>
            <wp:extent cx="5334000" cy="808844"/>
            <wp:effectExtent b="0" l="0" r="0" t="0"/>
            <wp:docPr descr="Figure 10: Тип файлов и поддиректорий в /var/www" title="" id="60" name="Picture"/>
            <a:graphic>
              <a:graphicData uri="http://schemas.openxmlformats.org/drawingml/2006/picture">
                <pic:pic>
                  <pic:nvPicPr>
                    <pic:cNvPr descr="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 10: Тип файлов и поддиректорий в /var/www</w:t>
      </w:r>
    </w:p>
    <w:p>
      <w:pPr>
        <w:numPr>
          <w:ilvl w:val="0"/>
          <w:numId w:val="1010"/>
        </w:numPr>
        <w:pStyle w:val="Compact"/>
      </w:pPr>
      <w:r>
        <w:t xml:space="preserve">Определили тип файлов и поддиректорий, находящихся в директории /var/www/html. (fig. 11)</w:t>
      </w:r>
    </w:p>
    <w:p>
      <w:pPr>
        <w:pStyle w:val="CaptionedFigure"/>
      </w:pPr>
      <w:bookmarkStart w:id="66" w:name="fig:011"/>
      <w:r>
        <w:drawing>
          <wp:inline>
            <wp:extent cx="2850776" cy="307361"/>
            <wp:effectExtent b="0" l="0" r="0" t="0"/>
            <wp:docPr descr="Figure 11: Тип файлов и поддиректорий в /var/www/html" title="" id="64" name="Picture"/>
            <a:graphic>
              <a:graphicData uri="http://schemas.openxmlformats.org/drawingml/2006/picture">
                <pic:pic>
                  <pic:nvPicPr>
                    <pic:cNvPr descr="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776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 11: Тип файлов и поддиректорий в /var/www/html</w:t>
      </w:r>
    </w:p>
    <w:p>
      <w:pPr>
        <w:numPr>
          <w:ilvl w:val="0"/>
          <w:numId w:val="1011"/>
        </w:numPr>
        <w:pStyle w:val="Compact"/>
      </w:pPr>
      <w:r>
        <w:t xml:space="preserve">Создали файл test.html и проверили его контест. (fig. 12)</w:t>
      </w:r>
    </w:p>
    <w:p>
      <w:pPr>
        <w:pStyle w:val="CaptionedFigure"/>
      </w:pPr>
      <w:bookmarkStart w:id="70" w:name="fig:012"/>
      <w:r>
        <w:drawing>
          <wp:inline>
            <wp:extent cx="5334000" cy="1080024"/>
            <wp:effectExtent b="0" l="0" r="0" t="0"/>
            <wp:docPr descr="Figure 12: Создание test.html" title="" id="68" name="Picture"/>
            <a:graphic>
              <a:graphicData uri="http://schemas.openxmlformats.org/drawingml/2006/picture">
                <pic:pic>
                  <pic:nvPicPr>
                    <pic:cNvPr descr="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0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 12: Создание test.html</w:t>
      </w:r>
    </w:p>
    <w:p>
      <w:pPr>
        <w:numPr>
          <w:ilvl w:val="0"/>
          <w:numId w:val="1012"/>
        </w:numPr>
        <w:pStyle w:val="Compact"/>
      </w:pPr>
      <w:r>
        <w:t xml:space="preserve">Обратились к файлу через веб-сервер. (fig. 13)</w:t>
      </w:r>
    </w:p>
    <w:p>
      <w:pPr>
        <w:pStyle w:val="CaptionedFigure"/>
      </w:pPr>
      <w:bookmarkStart w:id="74" w:name="fig:013"/>
      <w:r>
        <w:drawing>
          <wp:inline>
            <wp:extent cx="4003381" cy="1406178"/>
            <wp:effectExtent b="0" l="0" r="0" t="0"/>
            <wp:docPr descr="Figure 13: Обращение к файлу через браузер" title="" id="72" name="Picture"/>
            <a:graphic>
              <a:graphicData uri="http://schemas.openxmlformats.org/drawingml/2006/picture">
                <pic:pic>
                  <pic:nvPicPr>
                    <pic:cNvPr descr="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381" cy="140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 13: Обращение к файлу через браузер</w:t>
      </w:r>
    </w:p>
    <w:p>
      <w:pPr>
        <w:numPr>
          <w:ilvl w:val="0"/>
          <w:numId w:val="1013"/>
        </w:numPr>
        <w:pStyle w:val="Compact"/>
      </w:pPr>
      <w:r>
        <w:t xml:space="preserve">Изменили контекст файла и проверили что он поменялся. (fig. 14)</w:t>
      </w:r>
    </w:p>
    <w:p>
      <w:pPr>
        <w:pStyle w:val="CaptionedFigure"/>
      </w:pPr>
      <w:bookmarkStart w:id="78" w:name="fig:014"/>
      <w:r>
        <w:drawing>
          <wp:inline>
            <wp:extent cx="5334000" cy="566507"/>
            <wp:effectExtent b="0" l="0" r="0" t="0"/>
            <wp:docPr descr="Figure 14: Смена контекста test.html" title="" id="76" name="Picture"/>
            <a:graphic>
              <a:graphicData uri="http://schemas.openxmlformats.org/drawingml/2006/picture">
                <pic:pic>
                  <pic:nvPicPr>
                    <pic:cNvPr descr="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 14: Смена контекста test.html</w:t>
      </w:r>
    </w:p>
    <w:p>
      <w:pPr>
        <w:numPr>
          <w:ilvl w:val="0"/>
          <w:numId w:val="1014"/>
        </w:numPr>
        <w:pStyle w:val="Compact"/>
      </w:pPr>
      <w:r>
        <w:t xml:space="preserve">Попробовали получить доступ к файлу через браузер. (fig. 15)</w:t>
      </w:r>
    </w:p>
    <w:p>
      <w:pPr>
        <w:pStyle w:val="CaptionedFigure"/>
      </w:pPr>
      <w:bookmarkStart w:id="82" w:name="fig:015"/>
      <w:r>
        <w:drawing>
          <wp:inline>
            <wp:extent cx="4172430" cy="2305210"/>
            <wp:effectExtent b="0" l="0" r="0" t="0"/>
            <wp:docPr descr="Figure 15: Обращение к файлу через браузер после смены контекста" title="" id="80" name="Picture"/>
            <a:graphic>
              <a:graphicData uri="http://schemas.openxmlformats.org/drawingml/2006/picture">
                <pic:pic>
                  <pic:nvPicPr>
                    <pic:cNvPr descr="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30" cy="230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 15: Обращение к файлу через браузер после смены контекста</w:t>
      </w:r>
    </w:p>
    <w:p>
      <w:pPr>
        <w:numPr>
          <w:ilvl w:val="0"/>
          <w:numId w:val="1015"/>
        </w:numPr>
        <w:pStyle w:val="Compact"/>
      </w:pPr>
      <w:r>
        <w:t xml:space="preserve">Просмотрели системный лог-файл. Увидели, что проблема в смененном контексте. (fig. 16)</w:t>
      </w:r>
    </w:p>
    <w:p>
      <w:pPr>
        <w:pStyle w:val="CaptionedFigure"/>
      </w:pPr>
      <w:bookmarkStart w:id="86" w:name="fig:016"/>
      <w:r>
        <w:drawing>
          <wp:inline>
            <wp:extent cx="5334000" cy="1810013"/>
            <wp:effectExtent b="0" l="0" r="0" t="0"/>
            <wp:docPr descr="Figure 16: Просмотр системного лог-файла" title="" id="84" name="Picture"/>
            <a:graphic>
              <a:graphicData uri="http://schemas.openxmlformats.org/drawingml/2006/picture">
                <pic:pic>
                  <pic:nvPicPr>
                    <pic:cNvPr descr="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 16: Просмотр системного лог-файла</w:t>
      </w:r>
    </w:p>
    <w:p>
      <w:pPr>
        <w:numPr>
          <w:ilvl w:val="0"/>
          <w:numId w:val="1016"/>
        </w:numPr>
        <w:pStyle w:val="Compact"/>
      </w:pPr>
      <w:r>
        <w:t xml:space="preserve">Поменяли прослушивание TCP-порта на 81. (fig. 17)</w:t>
      </w:r>
    </w:p>
    <w:p>
      <w:pPr>
        <w:pStyle w:val="CaptionedFigure"/>
      </w:pPr>
      <w:bookmarkStart w:id="90" w:name="fig:017"/>
      <w:r>
        <w:drawing>
          <wp:inline>
            <wp:extent cx="4771784" cy="1229445"/>
            <wp:effectExtent b="0" l="0" r="0" t="0"/>
            <wp:docPr descr="Figure 17: Изменение прослушивания TCP-порта" title="" id="88" name="Picture"/>
            <a:graphic>
              <a:graphicData uri="http://schemas.openxmlformats.org/drawingml/2006/picture">
                <pic:pic>
                  <pic:nvPicPr>
                    <pic:cNvPr descr="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784" cy="1229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 17: Изменение прослушивания TCP-порта</w:t>
      </w:r>
    </w:p>
    <w:p>
      <w:pPr>
        <w:numPr>
          <w:ilvl w:val="0"/>
          <w:numId w:val="1017"/>
        </w:numPr>
        <w:pStyle w:val="Compact"/>
      </w:pPr>
      <w:r>
        <w:t xml:space="preserve">Перезапустили Apache, не получили ошибки. (fig. 18)</w:t>
      </w:r>
    </w:p>
    <w:p>
      <w:pPr>
        <w:pStyle w:val="CaptionedFigure"/>
      </w:pPr>
      <w:bookmarkStart w:id="94" w:name="fig:018"/>
      <w:r>
        <w:drawing>
          <wp:inline>
            <wp:extent cx="5334000" cy="649228"/>
            <wp:effectExtent b="0" l="0" r="0" t="0"/>
            <wp:docPr descr="Figure 18: Перезапуск Apache" title="" id="92" name="Picture"/>
            <a:graphic>
              <a:graphicData uri="http://schemas.openxmlformats.org/drawingml/2006/picture">
                <pic:pic>
                  <pic:nvPicPr>
                    <pic:cNvPr descr="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 18: Перезапуск Apache</w:t>
      </w:r>
    </w:p>
    <w:p>
      <w:pPr>
        <w:numPr>
          <w:ilvl w:val="0"/>
          <w:numId w:val="1018"/>
        </w:numPr>
        <w:pStyle w:val="Compact"/>
      </w:pPr>
      <w:r>
        <w:t xml:space="preserve">Добавили порт 81 и проверили, что он появился в списке. (fig. 19)</w:t>
      </w:r>
    </w:p>
    <w:p>
      <w:pPr>
        <w:pStyle w:val="CaptionedFigure"/>
      </w:pPr>
      <w:bookmarkStart w:id="98" w:name="fig:019"/>
      <w:r>
        <w:drawing>
          <wp:inline>
            <wp:extent cx="5334000" cy="824544"/>
            <wp:effectExtent b="0" l="0" r="0" t="0"/>
            <wp:docPr descr="Figure 19: Добавление порта 81" title="" id="96" name="Picture"/>
            <a:graphic>
              <a:graphicData uri="http://schemas.openxmlformats.org/drawingml/2006/picture">
                <pic:pic>
                  <pic:nvPicPr>
                    <pic:cNvPr descr="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 19: Добавление порта 81</w:t>
      </w:r>
    </w:p>
    <w:p>
      <w:pPr>
        <w:numPr>
          <w:ilvl w:val="0"/>
          <w:numId w:val="1019"/>
        </w:numPr>
        <w:pStyle w:val="Compact"/>
      </w:pPr>
      <w:r>
        <w:t xml:space="preserve">Перезапустили Apache, вернули изначальный контекст test.html. (fig. 20)</w:t>
      </w:r>
    </w:p>
    <w:p>
      <w:pPr>
        <w:pStyle w:val="CaptionedFigure"/>
      </w:pPr>
      <w:bookmarkStart w:id="102" w:name="fig:020"/>
      <w:r>
        <w:drawing>
          <wp:inline>
            <wp:extent cx="5117566" cy="322729"/>
            <wp:effectExtent b="0" l="0" r="0" t="0"/>
            <wp:docPr descr="Figure 20: Перезапуск Apache, возвращение изначального контекста test.html" title="" id="100" name="Picture"/>
            <a:graphic>
              <a:graphicData uri="http://schemas.openxmlformats.org/drawingml/2006/picture">
                <pic:pic>
                  <pic:nvPicPr>
                    <pic:cNvPr descr="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66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 20: Перезапуск Apache, возвращение изначального контекста test.html</w:t>
      </w:r>
    </w:p>
    <w:p>
      <w:pPr>
        <w:numPr>
          <w:ilvl w:val="0"/>
          <w:numId w:val="1020"/>
        </w:numPr>
        <w:pStyle w:val="Compact"/>
      </w:pPr>
      <w:r>
        <w:t xml:space="preserve">Обратились к файлу через веб-сервер. (fig. 21)</w:t>
      </w:r>
    </w:p>
    <w:p>
      <w:pPr>
        <w:pStyle w:val="CaptionedFigure"/>
      </w:pPr>
      <w:bookmarkStart w:id="106" w:name="fig:021"/>
      <w:r>
        <w:drawing>
          <wp:inline>
            <wp:extent cx="3350238" cy="1590594"/>
            <wp:effectExtent b="0" l="0" r="0" t="0"/>
            <wp:docPr descr="Figure 21: Обращение к файлу через браузер после возвращения контекста" title="" id="104" name="Picture"/>
            <a:graphic>
              <a:graphicData uri="http://schemas.openxmlformats.org/drawingml/2006/picture">
                <pic:pic>
                  <pic:nvPicPr>
                    <pic:cNvPr descr="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38" cy="159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 21: Обращение к файлу через браузер после возвращения контекста</w:t>
      </w:r>
    </w:p>
    <w:p>
      <w:pPr>
        <w:numPr>
          <w:ilvl w:val="0"/>
          <w:numId w:val="1021"/>
        </w:numPr>
        <w:pStyle w:val="Compact"/>
      </w:pPr>
      <w:r>
        <w:t xml:space="preserve">Вернули порт 80. (fig. 22)</w:t>
      </w:r>
    </w:p>
    <w:p>
      <w:pPr>
        <w:pStyle w:val="CaptionedFigure"/>
      </w:pPr>
      <w:bookmarkStart w:id="110" w:name="fig:022"/>
      <w:r>
        <w:drawing>
          <wp:inline>
            <wp:extent cx="4318426" cy="1859536"/>
            <wp:effectExtent b="0" l="0" r="0" t="0"/>
            <wp:docPr descr="Figure 22: Возвращение порта 80 в httpd.conf" title="" id="108" name="Picture"/>
            <a:graphic>
              <a:graphicData uri="http://schemas.openxmlformats.org/drawingml/2006/picture">
                <pic:pic>
                  <pic:nvPicPr>
                    <pic:cNvPr descr="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185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 22: Возвращение порта 80 в httpd.conf</w:t>
      </w:r>
    </w:p>
    <w:p>
      <w:pPr>
        <w:numPr>
          <w:ilvl w:val="0"/>
          <w:numId w:val="1022"/>
        </w:numPr>
        <w:pStyle w:val="Compact"/>
      </w:pPr>
      <w:r>
        <w:t xml:space="preserve">Ввели команду для удаления порта 81 из списка. Удалили файл test.html. (fig. 23)</w:t>
      </w:r>
    </w:p>
    <w:p>
      <w:pPr>
        <w:pStyle w:val="CaptionedFigure"/>
      </w:pPr>
      <w:bookmarkStart w:id="114" w:name="fig:023"/>
      <w:r>
        <w:drawing>
          <wp:inline>
            <wp:extent cx="4587368" cy="791455"/>
            <wp:effectExtent b="0" l="0" r="0" t="0"/>
            <wp:docPr descr="Figure 23: Работа команды удаления порта 81 и удаление test.html" title="" id="112" name="Picture"/>
            <a:graphic>
              <a:graphicData uri="http://schemas.openxmlformats.org/drawingml/2006/picture">
                <pic:pic>
                  <pic:nvPicPr>
                    <pic:cNvPr descr="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791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Figure 23: Работа команды удаления порта 81 и удаление test.html</w:t>
      </w:r>
    </w:p>
    <w:bookmarkEnd w:id="115"/>
    <w:bookmarkEnd w:id="116"/>
    <w:bookmarkStart w:id="11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развиты навыки администрирования ОС Linux и проверена работа SELinux на практике совместно с веб-сервером Apache.</w:t>
      </w:r>
    </w:p>
    <w:bookmarkEnd w:id="117"/>
    <w:bookmarkStart w:id="118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23"/>
        </w:numPr>
        <w:pStyle w:val="Compact"/>
      </w:pPr>
      <w:r>
        <w:t xml:space="preserve">Методические материалы курса.</w:t>
      </w:r>
    </w:p>
    <w:p>
      <w:pPr>
        <w:numPr>
          <w:ilvl w:val="0"/>
          <w:numId w:val="1023"/>
        </w:numPr>
        <w:pStyle w:val="Compact"/>
      </w:pPr>
      <w:r>
        <w:t xml:space="preserve">Wikipedia: SELinux (URL: https://ru.wikipedia.org/wiki/SELinux)</w:t>
      </w:r>
    </w:p>
    <w:p>
      <w:pPr>
        <w:numPr>
          <w:ilvl w:val="0"/>
          <w:numId w:val="1023"/>
        </w:numPr>
        <w:pStyle w:val="Compact"/>
      </w:pPr>
      <w:r>
        <w:t xml:space="preserve">Wikipedia: Apache HTTP Server (URL: https://ru.wikipedia.org/wiki/Apache_HTTP_Server)</w:t>
      </w:r>
    </w:p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9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20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1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2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№6.</dc:title>
  <dc:creator>Ишанова А.И. группа НФИ-02-19</dc:creator>
  <dc:language>ru-RU</dc:language>
  <cp:keywords/>
  <dcterms:created xsi:type="dcterms:W3CDTF">2022-10-15T17:02:38Z</dcterms:created>
  <dcterms:modified xsi:type="dcterms:W3CDTF">2022-10-15T17:02:38Z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False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Мандатное разграничение прав в Linux.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