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randrange</w:t>
      </w:r>
      <w:r>
        <w:br/>
      </w:r>
      <w:r>
        <w:br/>
      </w:r>
      <w:r>
        <w:rPr>
          <w:rStyle w:val="CommentTok"/>
        </w:rPr>
        <w:t xml:space="preserve"># 1/ задаем строку для шифрования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CommentTok"/>
        </w:rPr>
        <w:t xml:space="preserve"># 2/ переведем строку в hex </w:t>
      </w:r>
      <w:r>
        <w:br/>
      </w:r>
      <w:r>
        <w:br/>
      </w:r>
      <w:r>
        <w:rPr>
          <w:rStyle w:val="NormalTok"/>
        </w:rPr>
        <w:t xml:space="preserve">hex_message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t:</w:t>
      </w:r>
      <w:r>
        <w:br/>
      </w:r>
      <w:r>
        <w:rPr>
          <w:rStyle w:val="NormalTok"/>
        </w:rPr>
        <w:t xml:space="preserve">    hex_message.append(i.encode(</w:t>
      </w:r>
      <w:r>
        <w:rPr>
          <w:rStyle w:val="StringTok"/>
        </w:rPr>
        <w:t xml:space="preserve">"cp866"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(hex_message)</w:t>
      </w:r>
      <w:r>
        <w:br/>
      </w:r>
      <w:r>
        <w:br/>
      </w:r>
      <w:r>
        <w:rPr>
          <w:rStyle w:val="CommentTok"/>
        </w:rPr>
        <w:t xml:space="preserve"># 3/ задаем ключ, такой же длины, что и строка для шифрования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gen_key(length: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,length):</w:t>
      </w:r>
      <w:r>
        <w:br/>
      </w:r>
      <w:r>
        <w:rPr>
          <w:rStyle w:val="NormalTok"/>
        </w:rPr>
        <w:t xml:space="preserve">        key.append(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(randrange(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NormalTok"/>
        </w:rPr>
        <w:t xml:space="preserve">key_1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(hex_message))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(key_1)</w:t>
      </w:r>
      <w:r>
        <w:br/>
      </w:r>
      <w:r>
        <w:br/>
      </w:r>
      <w:r>
        <w:rPr>
          <w:rStyle w:val="CommentTok"/>
        </w:rPr>
        <w:t xml:space="preserve"># 4/ кодируем строку с помощью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encode_message(hex_message,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(hex_message, key)]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encoded_message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encode_message(hex_message, key_1)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(encoded_message)</w:t>
      </w:r>
      <w:r>
        <w:br/>
      </w:r>
      <w:r>
        <w:br/>
      </w:r>
      <w:r>
        <w:rPr>
          <w:rStyle w:val="CommentTok"/>
        </w:rPr>
        <w:t xml:space="preserve"># сообщение текстом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code_to_lang(encoded_message):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.join(encoded_message)).decode(</w:t>
      </w:r>
      <w:r>
        <w:rPr>
          <w:rStyle w:val="StringTok"/>
        </w:rPr>
        <w:t xml:space="preserve">"cp866"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code_to_lang(encoded_message)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(encoded_text)</w:t>
      </w:r>
      <w:r>
        <w:br/>
      </w:r>
      <w:r>
        <w:br/>
      </w:r>
      <w:r>
        <w:rPr>
          <w:rStyle w:val="CommentTok"/>
        </w:rPr>
        <w:t xml:space="preserve"># 5/ задаем ключ для расшифровки</w:t>
      </w:r>
      <w:r>
        <w:br/>
      </w:r>
      <w:r>
        <w:rPr>
          <w:rStyle w:val="NormalTok"/>
        </w:rPr>
        <w:t xml:space="preserve">key_2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(hex_message))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(key_2)</w:t>
      </w:r>
      <w:r>
        <w:br/>
      </w:r>
      <w:r>
        <w:br/>
      </w:r>
      <w:r>
        <w:rPr>
          <w:rStyle w:val="CommentTok"/>
        </w:rPr>
        <w:t xml:space="preserve"># 6/ декодируем с помощью нового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decode_message(key, 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(key, encoded_message)]</w:t>
      </w:r>
      <w:r>
        <w:br/>
      </w:r>
      <w:r>
        <w:br/>
      </w:r>
      <w:r>
        <w:rPr>
          <w:rStyle w:val="NormalTok"/>
        </w:rPr>
        <w:t xml:space="preserve">decoded_message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decode_message(key_2, encoded_message)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(decoded_message)</w:t>
      </w:r>
      <w:r>
        <w:br/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code_to_lang(decoded_message)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(decoded_text)</w:t>
      </w:r>
      <w:r>
        <w:br/>
      </w:r>
      <w:r>
        <w:br/>
      </w:r>
      <w:r>
        <w:rPr>
          <w:rStyle w:val="CommentTok"/>
        </w:rPr>
        <w:t xml:space="preserve"># 7/ декодируем с помощью правильного ключа</w:t>
      </w:r>
      <w:r>
        <w:br/>
      </w:r>
      <w:r>
        <w:br/>
      </w:r>
      <w:r>
        <w:rPr>
          <w:rStyle w:val="NormalTok"/>
        </w:rPr>
        <w:t xml:space="preserve">decoded_message_r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decode_message(key_1, encoded_message)</w:t>
      </w:r>
      <w:r>
        <w:br/>
      </w:r>
      <w:r>
        <w:rPr>
          <w:rStyle w:val="NormalTok"/>
        </w:rPr>
        <w:t xml:space="preserve">decoded_text_r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code_to_lang(decoded_message_r)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(decoded_text_r)</w:t>
      </w:r>
    </w:p>
    <w:p>
      <w:pPr>
        <w:numPr>
          <w:ilvl w:val="0"/>
          <w:numId w:val="1002"/>
        </w:numPr>
        <w:pStyle w:val="Compact"/>
      </w:pPr>
      <w:r>
        <w:t xml:space="preserve">Запустили программу. Получили:</w:t>
      </w:r>
    </w:p>
    <w:p>
      <w:pPr>
        <w:numPr>
          <w:ilvl w:val="0"/>
          <w:numId w:val="1003"/>
        </w:numPr>
        <w:pStyle w:val="Compact"/>
      </w:pPr>
      <w:r>
        <w:t xml:space="preserve">сообщение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91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ключ для кодировки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закодированное сообщение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37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bc</w:t>
      </w:r>
      <w:r>
        <w:t xml:space="preserve">’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закодированное сообщение в виде текста (fig. 1)</w:t>
      </w:r>
    </w:p>
    <w:p>
      <w:pPr>
        <w:pStyle w:val="CaptionedFigure"/>
      </w:pPr>
      <w:bookmarkStart w:id="25" w:name="fig:001"/>
      <w:r>
        <w:drawing>
          <wp:inline>
            <wp:extent cx="5334000" cy="1366630"/>
            <wp:effectExtent b="0" l="0" r="0" t="0"/>
            <wp:docPr descr="Figure 1: Вывод программы: закодированное сообщение в виде текста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Вывод программы: закодированное сообщение в виде текста</w:t>
      </w:r>
    </w:p>
    <w:p>
      <w:pPr>
        <w:numPr>
          <w:ilvl w:val="0"/>
          <w:numId w:val="1007"/>
        </w:numPr>
        <w:pStyle w:val="Compact"/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раскодированное сообщение текстом (fig. 2)</w:t>
      </w:r>
    </w:p>
    <w:p>
      <w:pPr>
        <w:pStyle w:val="CaptionedFigure"/>
      </w:pPr>
      <w:bookmarkStart w:id="29" w:name="fig:002"/>
      <w:r>
        <w:drawing>
          <wp:inline>
            <wp:extent cx="5334000" cy="753717"/>
            <wp:effectExtent b="0" l="0" r="0" t="0"/>
            <wp:docPr descr="Figure 2: Вывод программы: раскодированное сообщение в виде текста (неверный ключ)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Вывод программы: раскодированное сообщение в виде текста (неверный ключ)</w:t>
      </w:r>
    </w:p>
    <w:p>
      <w:pPr>
        <w:numPr>
          <w:ilvl w:val="0"/>
          <w:numId w:val="1010"/>
        </w:numPr>
        <w:pStyle w:val="Compact"/>
      </w:pPr>
      <w:r>
        <w:t xml:space="preserve">текст сообщения, раскодированного ключом для кодировки (fig. 3)</w:t>
      </w:r>
    </w:p>
    <w:p>
      <w:pPr>
        <w:pStyle w:val="CaptionedFigure"/>
      </w:pPr>
      <w:bookmarkStart w:id="33" w:name="fig:003"/>
      <w:r>
        <w:drawing>
          <wp:inline>
            <wp:extent cx="5334000" cy="1118152"/>
            <wp:effectExtent b="0" l="0" r="0" t="0"/>
            <wp:docPr descr="Figure 3: Вывод программы: раскодированное сообщение в виде текста (верный ключ)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Вывод программы: раскодированное сообщение в виде текста (верный ключ)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и реализована программа на python, шифрующая и расшифровавующая заданную строку этим методом.</w:t>
      </w:r>
    </w:p>
    <w:bookmarkEnd w:id="35"/>
    <w:bookmarkStart w:id="3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1"/>
        </w:numPr>
        <w:pStyle w:val="Compact"/>
      </w:pPr>
      <w:r>
        <w:t xml:space="preserve">Wikipedia: Гаммирование (URL: https://ru.wikipedia.org/wiki/%D0%93%D0%B0%D0%BC%D0%BC%D0%B8%D1%80%D0%BE%D0%B2%D0%B0%D0%BD%D0%B8%D0%B5)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Ишанова А.И. группа НФИ-02-19</dc:creator>
  <dc:language>ru-RU</dc:language>
  <cp:keywords/>
  <dcterms:created xsi:type="dcterms:W3CDTF">2022-10-17T19:52:43Z</dcterms:created>
  <dcterms:modified xsi:type="dcterms:W3CDTF">2022-10-17T19:52:43Z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