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4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60.png" ContentType="image/png"/>
  <Override PartName="/word/media/rId62.png" ContentType="image/png"/>
  <Override PartName="/word/media/rId25.png" ContentType="image/png"/>
  <Override PartName="/word/media/rId64.png" ContentType="image/png"/>
  <Override PartName="/word/media/rId66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27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31.png" ContentType="image/png"/>
  <Override PartName="/word/media/rId4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Ишанова</w:t>
      </w:r>
      <w:r>
        <w:t xml:space="preserve"> </w:t>
      </w:r>
      <w:r>
        <w:t xml:space="preserve">А.И.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в Octave параметрические графики, графики в полярных координатах, графики неявных функций, графики в комплексной плоскости и графики специальных функций.</w:t>
      </w:r>
    </w:p>
    <w:bookmarkEnd w:id="20"/>
    <w:bookmarkStart w:id="21" w:name="задание-работы"/>
    <w:p>
      <w:pPr>
        <w:pStyle w:val="Heading1"/>
      </w:pPr>
      <w:r>
        <w:t xml:space="preserve">Задание работы</w:t>
      </w:r>
    </w:p>
    <w:p>
      <w:pPr>
        <w:pStyle w:val="FirstParagraph"/>
      </w:pPr>
      <w:r>
        <w:t xml:space="preserve">Выполнить лабораторную работу и сделать отчет по лабораторной работе в форматах md, docx и pdf.</w:t>
      </w:r>
    </w:p>
    <w:bookmarkEnd w:id="21"/>
    <w:bookmarkStart w:id="22" w:name="теоретичсекое-введение"/>
    <w:p>
      <w:pPr>
        <w:pStyle w:val="Heading1"/>
      </w:pPr>
      <w:r>
        <w:t xml:space="preserve">Теоретичсекое введение</w:t>
      </w:r>
    </w:p>
    <w:p>
      <w:pPr>
        <w:numPr>
          <w:ilvl w:val="0"/>
          <w:numId w:val="1001"/>
        </w:numPr>
      </w:pPr>
      <w:r>
        <w:t xml:space="preserve">Параметрические функции — функции, представленные в таком виде, что зависимость переменных выражается через дополнительную величину (параметр). Предположим, что функциональная зависимость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не задана непосредственно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grow/>
          </m:dPr>
          <m:e>
            <m:r>
              <m:t>x</m:t>
            </m:r>
          </m:e>
        </m:d>
      </m:oMath>
      <w:r>
        <w:t xml:space="preserve">, а через промежуточную величину —</w:t>
      </w:r>
      <w:r>
        <w:t xml:space="preserve"> </w:t>
      </w:r>
      <m:oMath>
        <m:r>
          <m:t>t</m:t>
        </m:r>
      </m:oMath>
      <w:r>
        <w:t xml:space="preserve">. Тогда формулы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ϕ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;</m:t>
        </m:r>
      </m:oMath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ψ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задают параметрическое представление функции одной переменной. [2]</w:t>
      </w:r>
    </w:p>
    <w:p>
      <w:pPr>
        <w:numPr>
          <w:ilvl w:val="0"/>
          <w:numId w:val="1001"/>
        </w:numPr>
      </w:pPr>
      <w:r>
        <w:t xml:space="preserve">Полярная система координат — двумерная система координат, в которой каждая точка на плоскости определяется двумя числами — полярным углом и полярным радиусом. Полярная система координат особенно полезна в случаях, когда отношения между точками проще изобразить в виде радиусов и углов; в более распространённой декартовой, или прямоугольной, системе координат, такие отношения можно установить только путём применения тригонометрических уравнений.[3]</w:t>
      </w:r>
    </w:p>
    <w:p>
      <w:pPr>
        <w:numPr>
          <w:ilvl w:val="0"/>
          <w:numId w:val="1001"/>
        </w:numPr>
      </w:pPr>
      <w:r>
        <w:t xml:space="preserve">Неявное уравнение — это отношение вида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, где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является функцией нескольких переменных (зачастую многочленом). Например, мы будем работать с неявной функцией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F</m:t>
        </m:r>
        <m:d>
          <m:dPr>
            <m:begChr m:val="(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). [4]</w:t>
      </w:r>
    </w:p>
    <w:p>
      <w:pPr>
        <w:numPr>
          <w:ilvl w:val="0"/>
          <w:numId w:val="1001"/>
        </w:numPr>
      </w:pPr>
      <w:r>
        <w:t xml:space="preserve">Комплексные числа — числа вида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, где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вещественные числа,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— мнимая единица, то есть число, для которого выполняется равенство: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.[5]</w:t>
      </w:r>
    </w:p>
    <w:p>
      <w:pPr>
        <w:numPr>
          <w:ilvl w:val="0"/>
          <w:numId w:val="1001"/>
        </w:numPr>
      </w:pPr>
      <w:r>
        <w:t xml:space="preserve">Гамма-функция — математическая функция, обычно обозначается</w:t>
      </w:r>
      <w:r>
        <w:t xml:space="preserve"> </w:t>
      </w:r>
      <m:oMath>
        <m:r>
          <m:t>Γ</m:t>
        </m:r>
        <m:d>
          <m:dPr>
            <m:begChr m:val="("/>
            <m:endChr m:val=")"/>
            <m:grow/>
          </m:dPr>
          <m:e>
            <m:r>
              <m:t>z</m:t>
            </m:r>
          </m:e>
        </m:d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Если вещественная часть комплексного числа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положительна, то гамма-функция определяется через абсолютно сходящийся интеграл:</w:t>
      </w:r>
      <w:r>
        <w:t xml:space="preserve"> </w:t>
      </w:r>
      <m:oMath>
        <m:r>
          <m:t>Γ</m:t>
        </m:r>
        <m:d>
          <m:dPr>
            <m:begChr m:val="("/>
            <m:endChr m:val=")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sup>
          <m:e>
            <m:sSup>
              <m:e>
                <m:r>
                  <m:t>t</m:t>
                </m:r>
              </m:e>
              <m:sup>
                <m:r>
                  <m:t>z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nary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  <m:r>
          <m:t>d</m:t>
        </m:r>
        <m:r>
          <m:t>t</m:t>
        </m:r>
      </m:oMath>
      <w:r>
        <w:t xml:space="preserve">,</w:t>
      </w:r>
      <w:r>
        <w:t xml:space="preserve"> </w:t>
      </w:r>
      <m:oMath>
        <m:r>
          <m:t>z</m:t>
        </m:r>
        <m:r>
          <m:rPr>
            <m:sty m:val="p"/>
          </m:rPr>
          <m:t>∈</m:t>
        </m:r>
      </m:oMath>
      <w:r>
        <w:t xml:space="preserve"> </w:t>
      </w:r>
      <m:oMath>
        <m:r>
          <m:rPr>
            <m:sty m:val="p"/>
            <m:scr m:val="double-struck"/>
          </m:rPr>
          <m:t>C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Если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— натуральное число, то</w:t>
      </w:r>
    </w:p>
    <w:p>
      <w:pPr>
        <w:numPr>
          <w:ilvl w:val="0"/>
          <w:numId w:val="1000"/>
        </w:numPr>
      </w:pPr>
      <m:oMath>
        <m:r>
          <m:t>Γ</m:t>
        </m:r>
        <m:d>
          <m:dPr>
            <m:begChr m:val="(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!</m:t>
        </m:r>
      </m:oMath>
    </w:p>
    <w:p>
      <w:pPr>
        <w:numPr>
          <w:ilvl w:val="0"/>
          <w:numId w:val="1000"/>
        </w:numPr>
      </w:pPr>
      <w:r>
        <w:t xml:space="preserve">Основное свойство гамма-функции — это её рекуррентное уравнение</w:t>
      </w:r>
    </w:p>
    <w:p>
      <w:pPr>
        <w:numPr>
          <w:ilvl w:val="0"/>
          <w:numId w:val="1000"/>
        </w:numPr>
      </w:pPr>
      <m:oMath>
        <m:r>
          <m:t>Γ</m:t>
        </m:r>
        <m:d>
          <m:dPr>
            <m:begChr m:val="("/>
            <m:endChr m:val=")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z</m:t>
        </m:r>
        <m:r>
          <m:t>Γ</m:t>
        </m:r>
        <m:d>
          <m:dPr>
            <m:begChr m:val="("/>
            <m:endChr m:val=")"/>
            <m:grow/>
          </m:dPr>
          <m:e>
            <m:r>
              <m:t>z</m:t>
            </m:r>
          </m:e>
        </m:d>
      </m:oMath>
      <w:r>
        <w:t xml:space="preserve">,</w:t>
      </w:r>
    </w:p>
    <w:p>
      <w:pPr>
        <w:numPr>
          <w:ilvl w:val="0"/>
          <w:numId w:val="1000"/>
        </w:numPr>
      </w:pPr>
      <w:r>
        <w:t xml:space="preserve">которое при фиксированном начальном условии единственным образом определяет логарифмически выпуклое решение, то есть саму гамма-функцию.</w:t>
      </w:r>
    </w:p>
    <w:p>
      <w:pPr>
        <w:numPr>
          <w:ilvl w:val="0"/>
          <w:numId w:val="1000"/>
        </w:numPr>
      </w:pPr>
      <w:r>
        <w:t xml:space="preserve">Гамма-функция чрезвычайно широко применяется в науке. Среди основных областей её применения — математический анализ, теория вероятностей, комбинаторика, статистика, атомная физика, астрофизика, гидродинамика, сейсмология и экономика. В частности, гамма-функция используется для обобщения понятия факториала на множества действительных и комплексных значений аргумента. [6]</w:t>
      </w:r>
    </w:p>
    <w:bookmarkEnd w:id="22"/>
    <w:bookmarkStart w:id="8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(Работа выполена согласно методическому пособию[1].)</w:t>
      </w:r>
    </w:p>
    <w:p>
      <w:pPr>
        <w:numPr>
          <w:ilvl w:val="0"/>
          <w:numId w:val="1002"/>
        </w:numPr>
        <w:pStyle w:val="Compact"/>
      </w:pPr>
      <w:r>
        <w:t xml:space="preserve">Создаем каталог для работы в папке laboratory. (mkdir) (fig. 1)</w:t>
      </w:r>
    </w:p>
    <w:p>
      <w:pPr>
        <w:pStyle w:val="CaptionedFigure"/>
      </w:pPr>
      <w:bookmarkStart w:id="24" w:name="fig:001"/>
      <w:r>
        <w:drawing>
          <wp:inline>
            <wp:extent cx="5334000" cy="790948"/>
            <wp:effectExtent b="0" l="0" r="0" t="0"/>
            <wp:docPr descr="Figure 1: подготовка к лабораторной работе" title="" id="1" name="Picture"/>
            <a:graphic>
              <a:graphicData uri="http://schemas.openxmlformats.org/drawingml/2006/picture">
                <pic:pic>
                  <pic:nvPicPr>
                    <pic:cNvPr descr="лаб07рис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лабораторной работе</w:t>
      </w:r>
    </w:p>
    <w:p>
      <w:pPr>
        <w:numPr>
          <w:ilvl w:val="0"/>
          <w:numId w:val="1003"/>
        </w:numPr>
        <w:pStyle w:val="Compact"/>
      </w:pPr>
      <w:r>
        <w:t xml:space="preserve">Начинаем сессию журналирования. (fig. 2)</w:t>
      </w:r>
    </w:p>
    <w:p>
      <w:pPr>
        <w:pStyle w:val="CaptionedFigure"/>
      </w:pPr>
      <w:bookmarkStart w:id="26" w:name="fig:002"/>
      <w:r>
        <w:drawing>
          <wp:inline>
            <wp:extent cx="2159000" cy="457200"/>
            <wp:effectExtent b="0" l="0" r="0" t="0"/>
            <wp:docPr descr="Figure 2: начало журналирования" title="" id="1" name="Picture"/>
            <a:graphic>
              <a:graphicData uri="http://schemas.openxmlformats.org/drawingml/2006/picture">
                <pic:pic>
                  <pic:nvPicPr>
                    <pic:cNvPr descr="лаб07рис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начало журналирования</w:t>
      </w:r>
    </w:p>
    <w:bookmarkStart w:id="35" w:name="параметрические-графики"/>
    <w:p>
      <w:pPr>
        <w:pStyle w:val="Heading2"/>
      </w:pPr>
      <w:r>
        <w:t xml:space="preserve">Параметрические графики</w:t>
      </w:r>
    </w:p>
    <w:p>
      <w:pPr>
        <w:pStyle w:val="FirstParagraph"/>
      </w:pPr>
      <w:r>
        <w:t xml:space="preserve">Строим параметрический график циклоиды: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r</m:t>
        </m:r>
        <m:d>
          <m:dPr>
            <m:begChr m:val="("/>
            <m:endChr m:val=")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r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Задаем значения параметров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и переменных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. (fig. 3)</w:t>
      </w:r>
    </w:p>
    <w:p>
      <w:pPr>
        <w:pStyle w:val="CaptionedFigure"/>
      </w:pPr>
      <w:bookmarkStart w:id="28" w:name="fig:003"/>
      <w:r>
        <w:drawing>
          <wp:inline>
            <wp:extent cx="3657600" cy="838200"/>
            <wp:effectExtent b="0" l="0" r="0" t="0"/>
            <wp:docPr descr="Figure 3: задача t и r, x и y" title="" id="1" name="Picture"/>
            <a:graphic>
              <a:graphicData uri="http://schemas.openxmlformats.org/drawingml/2006/picture">
                <pic:pic>
                  <pic:nvPicPr>
                    <pic:cNvPr descr="лаб07рис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задача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</w:p>
    <w:p>
      <w:pPr>
        <w:numPr>
          <w:ilvl w:val="0"/>
          <w:numId w:val="1005"/>
        </w:numPr>
        <w:pStyle w:val="Compact"/>
      </w:pPr>
      <w:r>
        <w:t xml:space="preserve">Строим график и меняем длину осей. (fig. 4 и fig. 5)</w:t>
      </w:r>
    </w:p>
    <w:p>
      <w:pPr>
        <w:pStyle w:val="CaptionedFigure"/>
      </w:pPr>
      <w:bookmarkStart w:id="30" w:name="fig:004"/>
      <w:r>
        <w:drawing>
          <wp:inline>
            <wp:extent cx="4584700" cy="1219200"/>
            <wp:effectExtent b="0" l="0" r="0" t="0"/>
            <wp:docPr descr="Figure 4: построение графика" title="" id="1" name="Picture"/>
            <a:graphic>
              <a:graphicData uri="http://schemas.openxmlformats.org/drawingml/2006/picture">
                <pic:pic>
                  <pic:nvPicPr>
                    <pic:cNvPr descr="лаб07рис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построение графика</w:t>
      </w:r>
    </w:p>
    <w:p>
      <w:pPr>
        <w:pStyle w:val="CaptionedFigure"/>
      </w:pPr>
      <w:bookmarkStart w:id="32" w:name="fig:005"/>
      <w:r>
        <w:drawing>
          <wp:inline>
            <wp:extent cx="5334000" cy="3997036"/>
            <wp:effectExtent b="0" l="0" r="0" t="0"/>
            <wp:docPr descr="Figure 5: построение графика" title="" id="1" name="Picture"/>
            <a:graphic>
              <a:graphicData uri="http://schemas.openxmlformats.org/drawingml/2006/picture">
                <pic:pic>
                  <pic:nvPicPr>
                    <pic:cNvPr descr="лаб07рис/cyclo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построение графика</w:t>
      </w:r>
    </w:p>
    <w:p>
      <w:pPr>
        <w:numPr>
          <w:ilvl w:val="0"/>
          <w:numId w:val="1006"/>
        </w:numPr>
        <w:pStyle w:val="Compact"/>
      </w:pPr>
      <w:r>
        <w:t xml:space="preserve">Сохраняем график. (fig. 6)</w:t>
      </w:r>
    </w:p>
    <w:p>
      <w:pPr>
        <w:pStyle w:val="CaptionedFigure"/>
      </w:pPr>
      <w:bookmarkStart w:id="34" w:name="fig:006"/>
      <w:r>
        <w:drawing>
          <wp:inline>
            <wp:extent cx="4864100" cy="1206500"/>
            <wp:effectExtent b="0" l="0" r="0" t="0"/>
            <wp:docPr descr="Figure 6: сохранение графика" title="" id="1" name="Picture"/>
            <a:graphic>
              <a:graphicData uri="http://schemas.openxmlformats.org/drawingml/2006/picture">
                <pic:pic>
                  <pic:nvPicPr>
                    <pic:cNvPr descr="лаб07рис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сохранение графика</w:t>
      </w:r>
    </w:p>
    <w:bookmarkEnd w:id="35"/>
    <w:bookmarkStart w:id="46" w:name="полярные-координаты"/>
    <w:p>
      <w:pPr>
        <w:pStyle w:val="Heading2"/>
      </w:pPr>
      <w:r>
        <w:t xml:space="preserve">Полярные координаты</w:t>
      </w:r>
    </w:p>
    <w:p>
      <w:pPr>
        <w:numPr>
          <w:ilvl w:val="0"/>
          <w:numId w:val="1007"/>
        </w:numPr>
        <w:pStyle w:val="Compact"/>
      </w:pPr>
      <w:r>
        <w:t xml:space="preserve">Задаем векторы полярных координат: полярный угол(</w:t>
      </w:r>
      <m:oMath>
        <m:r>
          <m:t>θ</m:t>
        </m:r>
      </m:oMath>
      <w:r>
        <w:t xml:space="preserve">) и полярный радиус(</w:t>
      </w:r>
      <m:oMath>
        <m:r>
          <m:t>r</m:t>
        </m:r>
      </m:oMath>
      <w:r>
        <w:t xml:space="preserve">); и переводим их в декартовы —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. (fig. 7)</w:t>
      </w:r>
    </w:p>
    <w:p>
      <w:pPr>
        <w:pStyle w:val="CaptionedFigure"/>
      </w:pPr>
      <w:bookmarkStart w:id="37" w:name="fig:007"/>
      <w:r>
        <w:drawing>
          <wp:inline>
            <wp:extent cx="5334000" cy="1362778"/>
            <wp:effectExtent b="0" l="0" r="0" t="0"/>
            <wp:docPr descr="Figure 7: задача \theta и r, x и y" title="" id="1" name="Picture"/>
            <a:graphic>
              <a:graphicData uri="http://schemas.openxmlformats.org/drawingml/2006/picture">
                <pic:pic>
                  <pic:nvPicPr>
                    <pic:cNvPr descr="лаб07рис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задача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</w:p>
    <w:p>
      <w:pPr>
        <w:numPr>
          <w:ilvl w:val="0"/>
          <w:numId w:val="1008"/>
        </w:numPr>
        <w:pStyle w:val="Compact"/>
      </w:pPr>
      <w:r>
        <w:t xml:space="preserve">Строим график в декартовой системе координат и сохраняем его в двух форматах (pdf и png).(fig. 8 и fig. 9)</w:t>
      </w:r>
    </w:p>
    <w:p>
      <w:pPr>
        <w:pStyle w:val="CaptionedFigure"/>
      </w:pPr>
      <w:bookmarkStart w:id="39" w:name="fig:008"/>
      <w:r>
        <w:drawing>
          <wp:inline>
            <wp:extent cx="5334000" cy="3997036"/>
            <wp:effectExtent b="0" l="0" r="0" t="0"/>
            <wp:docPr descr="Figure 8: график в декартовой системе координат" title="" id="1" name="Picture"/>
            <a:graphic>
              <a:graphicData uri="http://schemas.openxmlformats.org/drawingml/2006/picture">
                <pic:pic>
                  <pic:nvPicPr>
                    <pic:cNvPr descr="лаб07рис/limac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8: график в декартовой системе координат</w:t>
      </w:r>
    </w:p>
    <w:p>
      <w:pPr>
        <w:pStyle w:val="CaptionedFigure"/>
      </w:pPr>
      <w:bookmarkStart w:id="41" w:name="fig:009"/>
      <w:r>
        <w:drawing>
          <wp:inline>
            <wp:extent cx="5054600" cy="1206500"/>
            <wp:effectExtent b="0" l="0" r="0" t="0"/>
            <wp:docPr descr="Figure 9: команды в Octave" title="" id="1" name="Picture"/>
            <a:graphic>
              <a:graphicData uri="http://schemas.openxmlformats.org/drawingml/2006/picture">
                <pic:pic>
                  <pic:nvPicPr>
                    <pic:cNvPr descr="лаб07рис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9: команды в Octave</w:t>
      </w:r>
    </w:p>
    <w:p>
      <w:pPr>
        <w:numPr>
          <w:ilvl w:val="0"/>
          <w:numId w:val="1009"/>
        </w:numPr>
        <w:pStyle w:val="Compact"/>
      </w:pPr>
      <w:r>
        <w:t xml:space="preserve">Строим тот же график в полярной системе координат и сохраняем его. (fig. 10 и fig. 11)</w:t>
      </w:r>
    </w:p>
    <w:p>
      <w:pPr>
        <w:pStyle w:val="CaptionedFigure"/>
      </w:pPr>
      <w:bookmarkStart w:id="43" w:name="fig:010"/>
      <w:r>
        <w:drawing>
          <wp:inline>
            <wp:extent cx="5334000" cy="3997036"/>
            <wp:effectExtent b="0" l="0" r="0" t="0"/>
            <wp:docPr descr="Figure 10: график в полярной системе координат" title="" id="1" name="Picture"/>
            <a:graphic>
              <a:graphicData uri="http://schemas.openxmlformats.org/drawingml/2006/picture">
                <pic:pic>
                  <pic:nvPicPr>
                    <pic:cNvPr descr="лаб07рис/limacon-pol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10: график в полярной системе координат</w:t>
      </w:r>
    </w:p>
    <w:p>
      <w:pPr>
        <w:pStyle w:val="CaptionedFigure"/>
      </w:pPr>
      <w:bookmarkStart w:id="45" w:name="fig:011"/>
      <w:r>
        <w:drawing>
          <wp:inline>
            <wp:extent cx="5334000" cy="1080594"/>
            <wp:effectExtent b="0" l="0" r="0" t="0"/>
            <wp:docPr descr="Figure 11: команды в Octave" title="" id="1" name="Picture"/>
            <a:graphic>
              <a:graphicData uri="http://schemas.openxmlformats.org/drawingml/2006/picture">
                <pic:pic>
                  <pic:nvPicPr>
                    <pic:cNvPr descr="лаб07рис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11: команды в Octave</w:t>
      </w:r>
    </w:p>
    <w:bookmarkEnd w:id="46"/>
    <w:bookmarkStart w:id="59" w:name="графики-неявных-функций"/>
    <w:p>
      <w:pPr>
        <w:pStyle w:val="Heading2"/>
      </w:pPr>
      <w:r>
        <w:t xml:space="preserve">Графики неявных функций</w:t>
      </w:r>
    </w:p>
    <w:p>
      <w:pPr>
        <w:numPr>
          <w:ilvl w:val="0"/>
          <w:numId w:val="1010"/>
        </w:numPr>
        <w:pStyle w:val="Compact"/>
      </w:pPr>
      <w:r>
        <w:t xml:space="preserve">Задаем неявную функцию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1</m:t>
        </m:r>
      </m:oMath>
      <w:r>
        <w:t xml:space="preserve">, как анонимную. (fig. 12)</w:t>
      </w:r>
    </w:p>
    <w:p>
      <w:pPr>
        <w:pStyle w:val="CaptionedFigure"/>
      </w:pPr>
      <w:bookmarkStart w:id="48" w:name="fig:012"/>
      <w:r>
        <w:drawing>
          <wp:inline>
            <wp:extent cx="5334000" cy="1061861"/>
            <wp:effectExtent b="0" l="0" r="0" t="0"/>
            <wp:docPr descr="Figure 12: задание первой неявной функции" title="" id="1" name="Picture"/>
            <a:graphic>
              <a:graphicData uri="http://schemas.openxmlformats.org/drawingml/2006/picture">
                <pic:pic>
                  <pic:nvPicPr>
                    <pic:cNvPr descr="лаб07рис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12: задание первой неявной функции</w:t>
      </w:r>
    </w:p>
    <w:p>
      <w:pPr>
        <w:numPr>
          <w:ilvl w:val="0"/>
          <w:numId w:val="1011"/>
        </w:numPr>
        <w:pStyle w:val="Compact"/>
      </w:pPr>
      <w:r>
        <w:t xml:space="preserve">Строим график и сохраняем его. (fig. 13 и fig. 14)</w:t>
      </w:r>
    </w:p>
    <w:p>
      <w:pPr>
        <w:pStyle w:val="CaptionedFigure"/>
      </w:pPr>
      <w:bookmarkStart w:id="50" w:name="fig:013"/>
      <w:r>
        <w:drawing>
          <wp:inline>
            <wp:extent cx="5334000" cy="4612341"/>
            <wp:effectExtent b="0" l="0" r="0" t="0"/>
            <wp:docPr descr="Figure 13: график неявной функции" title="" id="1" name="Picture"/>
            <a:graphic>
              <a:graphicData uri="http://schemas.openxmlformats.org/drawingml/2006/picture">
                <pic:pic>
                  <pic:nvPicPr>
                    <pic:cNvPr descr="лаб07рис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2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13: график неявной функции</w:t>
      </w:r>
    </w:p>
    <w:p>
      <w:pPr>
        <w:pStyle w:val="CaptionedFigure"/>
      </w:pPr>
      <w:bookmarkStart w:id="52" w:name="fig:014"/>
      <w:r>
        <w:drawing>
          <wp:inline>
            <wp:extent cx="4508500" cy="863600"/>
            <wp:effectExtent b="0" l="0" r="0" t="0"/>
            <wp:docPr descr="Figure 14: команды в Octave" title="" id="1" name="Picture"/>
            <a:graphic>
              <a:graphicData uri="http://schemas.openxmlformats.org/drawingml/2006/picture">
                <pic:pic>
                  <pic:nvPicPr>
                    <pic:cNvPr descr="лаб07рис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14: команды в Octave</w:t>
      </w:r>
    </w:p>
    <w:p>
      <w:pPr>
        <w:numPr>
          <w:ilvl w:val="0"/>
          <w:numId w:val="1012"/>
        </w:numPr>
        <w:pStyle w:val="Compact"/>
      </w:pPr>
      <w:r>
        <w:t xml:space="preserve">Задаем окружность как неявную функцию и строим ее. (fig. 15)</w:t>
      </w:r>
    </w:p>
    <w:p>
      <w:pPr>
        <w:pStyle w:val="CaptionedFigure"/>
      </w:pPr>
      <w:bookmarkStart w:id="54" w:name="fig:015"/>
      <w:r>
        <w:drawing>
          <wp:inline>
            <wp:extent cx="5334000" cy="775854"/>
            <wp:effectExtent b="0" l="0" r="0" t="0"/>
            <wp:docPr descr="Figure 15: график неявной функции" title="" id="1" name="Picture"/>
            <a:graphic>
              <a:graphicData uri="http://schemas.openxmlformats.org/drawingml/2006/picture">
                <pic:pic>
                  <pic:nvPicPr>
                    <pic:cNvPr descr="лаб07рис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15: график неявной функции</w:t>
      </w:r>
    </w:p>
    <w:p>
      <w:pPr>
        <w:numPr>
          <w:ilvl w:val="0"/>
          <w:numId w:val="1013"/>
        </w:numPr>
        <w:pStyle w:val="Compact"/>
      </w:pPr>
      <w:r>
        <w:t xml:space="preserve">Задаем касательную через два вектора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строим ее на том же графике и сохраняем. (fig. 16 и fig. 17)</w:t>
      </w:r>
    </w:p>
    <w:p>
      <w:pPr>
        <w:pStyle w:val="CaptionedFigure"/>
      </w:pPr>
      <w:bookmarkStart w:id="56" w:name="fig:016"/>
      <w:r>
        <w:drawing>
          <wp:inline>
            <wp:extent cx="5334000" cy="4668549"/>
            <wp:effectExtent b="0" l="0" r="0" t="0"/>
            <wp:docPr descr="Figure 16: график окружности и касательной" title="" id="1" name="Picture"/>
            <a:graphic>
              <a:graphicData uri="http://schemas.openxmlformats.org/drawingml/2006/picture">
                <pic:pic>
                  <pic:nvPicPr>
                    <pic:cNvPr descr="лаб07рис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16: график окружности и касательной</w:t>
      </w:r>
    </w:p>
    <w:p>
      <w:pPr>
        <w:pStyle w:val="CaptionedFigure"/>
      </w:pPr>
      <w:bookmarkStart w:id="58" w:name="fig:017"/>
      <w:r>
        <w:drawing>
          <wp:inline>
            <wp:extent cx="4432300" cy="1981200"/>
            <wp:effectExtent b="0" l="0" r="0" t="0"/>
            <wp:docPr descr="Figure 17: команды в Octave" title="" id="1" name="Picture"/>
            <a:graphic>
              <a:graphicData uri="http://schemas.openxmlformats.org/drawingml/2006/picture">
                <pic:pic>
                  <pic:nvPicPr>
                    <pic:cNvPr descr="лаб07рис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17: команды в Octave</w:t>
      </w:r>
    </w:p>
    <w:bookmarkEnd w:id="59"/>
    <w:bookmarkStart w:id="68" w:name="коплексные-числа"/>
    <w:p>
      <w:pPr>
        <w:pStyle w:val="Heading2"/>
      </w:pPr>
      <w:r>
        <w:t xml:space="preserve">Коплексные числа</w:t>
      </w:r>
    </w:p>
    <w:p>
      <w:pPr>
        <w:numPr>
          <w:ilvl w:val="0"/>
          <w:numId w:val="1014"/>
        </w:numPr>
        <w:pStyle w:val="Compact"/>
      </w:pPr>
      <w:r>
        <w:t xml:space="preserve">Задаем коплексные числа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, выолняем арифметические опреации над ними (умножение, вычитание, умножение, деление). (fig. 18)</w:t>
      </w:r>
    </w:p>
    <w:p>
      <w:pPr>
        <w:pStyle w:val="CaptionedFigure"/>
      </w:pPr>
      <w:bookmarkStart w:id="61" w:name="fig:018"/>
      <w:r>
        <w:drawing>
          <wp:inline>
            <wp:extent cx="4381500" cy="3873500"/>
            <wp:effectExtent b="0" l="0" r="0" t="0"/>
            <wp:docPr descr="Figure 18: арифметические операции над комплекснеыми числами" title="" id="1" name="Picture"/>
            <a:graphic>
              <a:graphicData uri="http://schemas.openxmlformats.org/drawingml/2006/picture">
                <pic:pic>
                  <pic:nvPicPr>
                    <pic:cNvPr descr="лаб07рис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18: арифметические операции над комплекснеыми числами</w:t>
      </w:r>
    </w:p>
    <w:p>
      <w:pPr>
        <w:numPr>
          <w:ilvl w:val="0"/>
          <w:numId w:val="1015"/>
        </w:numPr>
        <w:pStyle w:val="Compact"/>
      </w:pPr>
      <w:r>
        <w:t xml:space="preserve">Строим график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 сохраняем его. (fig. 19 и fig. 20)</w:t>
      </w:r>
    </w:p>
    <w:p>
      <w:pPr>
        <w:pStyle w:val="CaptionedFigure"/>
      </w:pPr>
      <w:bookmarkStart w:id="63" w:name="fig:019"/>
      <w:r>
        <w:drawing>
          <wp:inline>
            <wp:extent cx="4800600" cy="4762500"/>
            <wp:effectExtent b="0" l="0" r="0" t="0"/>
            <wp:docPr descr="Figure 19: график комплексных чисел z_1, z_2 и z_1+z_2" title="" id="1" name="Picture"/>
            <a:graphic>
              <a:graphicData uri="http://schemas.openxmlformats.org/drawingml/2006/picture">
                <pic:pic>
                  <pic:nvPicPr>
                    <pic:cNvPr descr="лаб07рис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19: график комплексных чисел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</m:oMath>
    </w:p>
    <w:p>
      <w:pPr>
        <w:pStyle w:val="CaptionedFigure"/>
      </w:pPr>
      <w:bookmarkStart w:id="65" w:name="fig:020"/>
      <w:r>
        <w:drawing>
          <wp:inline>
            <wp:extent cx="5334000" cy="2493818"/>
            <wp:effectExtent b="0" l="0" r="0" t="0"/>
            <wp:docPr descr="Figure 20: команды в Octave" title="" id="1" name="Picture"/>
            <a:graphic>
              <a:graphicData uri="http://schemas.openxmlformats.org/drawingml/2006/picture">
                <pic:pic>
                  <pic:nvPicPr>
                    <pic:cNvPr descr="лаб07рис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20: команды в Octave</w:t>
      </w:r>
    </w:p>
    <w:p>
      <w:pPr>
        <w:numPr>
          <w:ilvl w:val="0"/>
          <w:numId w:val="1016"/>
        </w:numPr>
        <w:pStyle w:val="Compact"/>
      </w:pPr>
      <w:r>
        <w:t xml:space="preserve">Извлекаем кубический корень из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двумя способами (возведение в степень и команда nthroot), получаем два разных ответа. (fig. 21)</w:t>
      </w:r>
    </w:p>
    <w:p>
      <w:pPr>
        <w:pStyle w:val="CaptionedFigure"/>
      </w:pPr>
      <w:bookmarkStart w:id="67" w:name="fig:021"/>
      <w:r>
        <w:drawing>
          <wp:inline>
            <wp:extent cx="5334000" cy="2101272"/>
            <wp:effectExtent b="0" l="0" r="0" t="0"/>
            <wp:docPr descr="Figure 21: рассчет \sqrt[3]{-8} с получением комплексного и действительного числа" title="" id="1" name="Picture"/>
            <a:graphic>
              <a:graphicData uri="http://schemas.openxmlformats.org/drawingml/2006/picture">
                <pic:pic>
                  <pic:nvPicPr>
                    <pic:cNvPr descr="лаб07рис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 21: рассчет</w:t>
      </w:r>
      <w:r>
        <w:t xml:space="preserve"> </w:t>
      </w:r>
      <m:oMath>
        <m:rad>
          <m:deg>
            <m:r>
              <m:t>3</m:t>
            </m:r>
          </m:deg>
          <m:e>
            <m:r>
              <m:rPr>
                <m:sty m:val="p"/>
              </m:rPr>
              <m:t>−</m:t>
            </m:r>
            <m:r>
              <m:t>8</m:t>
            </m:r>
          </m:e>
        </m:rad>
      </m:oMath>
      <w:r>
        <w:t xml:space="preserve"> </w:t>
      </w:r>
      <w:r>
        <w:t xml:space="preserve">с получением комплексного и действительного числа</w:t>
      </w:r>
    </w:p>
    <w:bookmarkEnd w:id="68"/>
    <w:bookmarkStart w:id="79" w:name="специальные-функции"/>
    <w:p>
      <w:pPr>
        <w:pStyle w:val="Heading2"/>
      </w:pPr>
      <w:r>
        <w:t xml:space="preserve">Специальные функции</w:t>
      </w:r>
    </w:p>
    <w:p>
      <w:pPr>
        <w:numPr>
          <w:ilvl w:val="0"/>
          <w:numId w:val="1017"/>
        </w:numPr>
        <w:pStyle w:val="Compact"/>
      </w:pPr>
      <w:r>
        <w:t xml:space="preserve">Строим график</w:t>
      </w:r>
      <w:r>
        <w:t xml:space="preserve"> </w:t>
      </w:r>
      <m:oMath>
        <m:r>
          <m:t>Γ</m:t>
        </m:r>
        <m:d>
          <m:dPr>
            <m:begChr m:val="(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  <w:r>
        <w:t xml:space="preserve"> </w:t>
      </w:r>
      <w:r>
        <w:t xml:space="preserve">и сохраняем его. (fig. 22 и fig. 23)</w:t>
      </w:r>
    </w:p>
    <w:p>
      <w:pPr>
        <w:pStyle w:val="CaptionedFigure"/>
      </w:pPr>
      <w:bookmarkStart w:id="70" w:name="fig:022"/>
      <w:r>
        <w:drawing>
          <wp:inline>
            <wp:extent cx="5334000" cy="4327389"/>
            <wp:effectExtent b="0" l="0" r="0" t="0"/>
            <wp:docPr descr="Figure 22: график \Gamma(n+1) и n!" title="" id="1" name="Picture"/>
            <a:graphic>
              <a:graphicData uri="http://schemas.openxmlformats.org/drawingml/2006/picture">
                <pic:pic>
                  <pic:nvPicPr>
                    <pic:cNvPr descr="лаб07рис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7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22: график</w:t>
      </w:r>
      <w:r>
        <w:t xml:space="preserve"> </w:t>
      </w:r>
      <m:oMath>
        <m:r>
          <m:t>Γ</m:t>
        </m:r>
        <m:d>
          <m:dPr>
            <m:begChr m:val="(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</w:p>
    <w:p>
      <w:pPr>
        <w:pStyle w:val="CaptionedFigure"/>
      </w:pPr>
      <w:bookmarkStart w:id="72" w:name="fig:023"/>
      <w:r>
        <w:drawing>
          <wp:inline>
            <wp:extent cx="5334000" cy="2175116"/>
            <wp:effectExtent b="0" l="0" r="0" t="0"/>
            <wp:docPr descr="Figure 23: команды в Octave" title="" id="1" name="Picture"/>
            <a:graphic>
              <a:graphicData uri="http://schemas.openxmlformats.org/drawingml/2006/picture">
                <pic:pic>
                  <pic:nvPicPr>
                    <pic:cNvPr descr="лаб07рис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23: команды в Octave</w:t>
      </w:r>
    </w:p>
    <w:p>
      <w:pPr>
        <w:numPr>
          <w:ilvl w:val="0"/>
          <w:numId w:val="1018"/>
        </w:numPr>
        <w:pStyle w:val="Compact"/>
      </w:pPr>
      <w:r>
        <w:t xml:space="preserve">Разбиваем на 5 частей и строим их все. (fig. 24 и fig. 25)</w:t>
      </w:r>
    </w:p>
    <w:p>
      <w:pPr>
        <w:pStyle w:val="CaptionedFigure"/>
      </w:pPr>
      <w:bookmarkStart w:id="74" w:name="fig:024"/>
      <w:r>
        <w:drawing>
          <wp:inline>
            <wp:extent cx="5334000" cy="4335887"/>
            <wp:effectExtent b="0" l="0" r="0" t="0"/>
            <wp:docPr descr="Figure 24: график \Gamma(n+1) и n!" title="" id="1" name="Picture"/>
            <a:graphic>
              <a:graphicData uri="http://schemas.openxmlformats.org/drawingml/2006/picture">
                <pic:pic>
                  <pic:nvPicPr>
                    <pic:cNvPr descr="лаб07рис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5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 24: график</w:t>
      </w:r>
      <w:r>
        <w:t xml:space="preserve"> </w:t>
      </w:r>
      <m:oMath>
        <m:r>
          <m:t>Γ</m:t>
        </m:r>
        <m:d>
          <m:dPr>
            <m:begChr m:val="(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</w:p>
    <w:p>
      <w:pPr>
        <w:pStyle w:val="CaptionedFigure"/>
      </w:pPr>
      <w:bookmarkStart w:id="76" w:name="fig:025"/>
      <w:r>
        <w:drawing>
          <wp:inline>
            <wp:extent cx="5334000" cy="6028660"/>
            <wp:effectExtent b="0" l="0" r="0" t="0"/>
            <wp:docPr descr="Figure 25: команды в Octave" title="" id="1" name="Picture"/>
            <a:graphic>
              <a:graphicData uri="http://schemas.openxmlformats.org/drawingml/2006/picture">
                <pic:pic>
                  <pic:nvPicPr>
                    <pic:cNvPr descr="лаб07рис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 25: команды в Octave</w:t>
      </w:r>
    </w:p>
    <w:p>
      <w:pPr>
        <w:numPr>
          <w:ilvl w:val="0"/>
          <w:numId w:val="1019"/>
        </w:numPr>
        <w:pStyle w:val="Compact"/>
      </w:pPr>
      <w:r>
        <w:t xml:space="preserve">Завершаем сессию журналирования. (fig. 26)</w:t>
      </w:r>
    </w:p>
    <w:p>
      <w:pPr>
        <w:pStyle w:val="CaptionedFigure"/>
      </w:pPr>
      <w:bookmarkStart w:id="78" w:name="fig:026"/>
      <w:r>
        <w:drawing>
          <wp:inline>
            <wp:extent cx="2362200" cy="482600"/>
            <wp:effectExtent b="0" l="0" r="0" t="0"/>
            <wp:docPr descr="Figure 26: Завершение сессии журналирования" title="" id="1" name="Picture"/>
            <a:graphic>
              <a:graphicData uri="http://schemas.openxmlformats.org/drawingml/2006/picture">
                <pic:pic>
                  <pic:nvPicPr>
                    <pic:cNvPr descr="лаб07рис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 26: Завершение сессии журналирования</w:t>
      </w:r>
    </w:p>
    <w:bookmarkEnd w:id="79"/>
    <w:bookmarkEnd w:id="80"/>
    <w:bookmarkStart w:id="8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работы мы научились строить графики для неявных функций, специальных функций, комплексных чисел и графики на полярных координатах.</w:t>
      </w:r>
    </w:p>
    <w:bookmarkEnd w:id="81"/>
    <w:bookmarkStart w:id="82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20"/>
        </w:numPr>
        <w:pStyle w:val="Compact"/>
      </w:pPr>
      <w:r>
        <w:rPr>
          <w:iCs/>
          <w:i/>
        </w:rPr>
        <w:t xml:space="preserve">Lachniet J.</w:t>
      </w:r>
      <w:r>
        <w:t xml:space="preserve"> </w:t>
      </w:r>
      <w:r>
        <w:t xml:space="preserve">Introduction to GNU Octave. 2nd ed. 2019. pp. 46-50,59-62</w:t>
      </w:r>
    </w:p>
    <w:p>
      <w:pPr>
        <w:numPr>
          <w:ilvl w:val="0"/>
          <w:numId w:val="1020"/>
        </w:numPr>
        <w:pStyle w:val="Compact"/>
      </w:pPr>
      <w:r>
        <w:t xml:space="preserve">Wikipedia: Параметрическое представление(https://en.wikipedia.org/wiki/</w:t>
      </w:r>
      <w:r>
        <w:t xml:space="preserve"> </w:t>
      </w:r>
      <w:r>
        <w:t xml:space="preserve">Parametric_equation)</w:t>
      </w:r>
    </w:p>
    <w:p>
      <w:pPr>
        <w:numPr>
          <w:ilvl w:val="0"/>
          <w:numId w:val="1020"/>
        </w:numPr>
        <w:pStyle w:val="Compact"/>
      </w:pPr>
      <w:r>
        <w:t xml:space="preserve">Wikipedia: Полярная система координат(https://en.wikipedia.org/wiki/</w:t>
      </w:r>
      <w:r>
        <w:t xml:space="preserve"> </w:t>
      </w:r>
      <w:r>
        <w:t xml:space="preserve">Polar_coordinate_system)</w:t>
      </w:r>
    </w:p>
    <w:p>
      <w:pPr>
        <w:numPr>
          <w:ilvl w:val="0"/>
          <w:numId w:val="1020"/>
        </w:numPr>
        <w:pStyle w:val="Compact"/>
      </w:pPr>
      <w:r>
        <w:t xml:space="preserve">Wikipedia: Неявная функция (https://en.wikipedia.org/wiki/Implicit_function)</w:t>
      </w:r>
    </w:p>
    <w:p>
      <w:pPr>
        <w:numPr>
          <w:ilvl w:val="0"/>
          <w:numId w:val="1020"/>
        </w:numPr>
        <w:pStyle w:val="Compact"/>
      </w:pPr>
      <w:r>
        <w:t xml:space="preserve">Wikipedia: Комплексное число (https://en.wikipedia.org/wiki/Complex_number)</w:t>
      </w:r>
    </w:p>
    <w:p>
      <w:pPr>
        <w:numPr>
          <w:ilvl w:val="0"/>
          <w:numId w:val="1020"/>
        </w:numPr>
        <w:pStyle w:val="Compact"/>
      </w:pPr>
      <w:r>
        <w:t xml:space="preserve">Wikipedia: Гамма-функция (https://en.wikipedia.org/wiki/Gamma_function)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Ишанова А.И. группа НФИ-02-19</dc:creator>
  <dc:language>ru-RU</dc:language>
  <cp:keywords/>
  <dcterms:created xsi:type="dcterms:W3CDTF">2021-06-05T10:53:15Z</dcterms:created>
  <dcterms:modified xsi:type="dcterms:W3CDTF">2021-06-05T10:53:15Z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