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26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28.png" ContentType="image/png"/>
  <Override PartName="/word/media/rId30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</w:p>
    <w:p>
      <w:pPr>
        <w:pStyle w:val="Subtitle"/>
      </w:pPr>
      <w:r>
        <w:t xml:space="preserve">Julia.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настройка.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принципы.</w:t>
      </w:r>
    </w:p>
    <w:p>
      <w:pPr>
        <w:pStyle w:val="Author"/>
      </w:pPr>
      <w:r>
        <w:t xml:space="preserve">Ишанова</w:t>
      </w:r>
      <w:r>
        <w:t xml:space="preserve"> </w:t>
      </w:r>
      <w:r>
        <w:t xml:space="preserve">А.И.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Подготовить рабочее пространство и инструментарий для работы с языком программирования Julia, на простейших примерах познакомиться с основами синтаксиса Julia.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под свою операционную систему Julia, Jupyter.</w:t>
      </w:r>
    </w:p>
    <w:p>
      <w:pPr>
        <w:numPr>
          <w:ilvl w:val="0"/>
          <w:numId w:val="1001"/>
        </w:numPr>
        <w:pStyle w:val="Compact"/>
      </w:pPr>
      <w:r>
        <w:t xml:space="preserve">Используя JupyterLab, повторите примеры из раздела 1.3.3.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работы.[1]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C++ и Scheme. Имеет встроенную поддержку многопоточности и распределённых вычислений, реализованные в том числе в стандартных конструкциях. [2]</w:t>
      </w:r>
    </w:p>
    <w:p>
      <w:pPr>
        <w:pStyle w:val="BodyText"/>
      </w:pPr>
      <w:r>
        <w:t xml:space="preserve">Язык является динамическим, при этом поддерживает JIT-компиляцию (JIT-компилятор на основе LLVM входит в стандартный комплект), благодаря чему, по утверждению авторов языка, приложения, полностью написанные на языке (без использование низкоуровневых библиотек и векторных операций) практически не уступают в производительности приложениям, написанным на статически компилируемых языках, таких как Си или C++. Большая часть стандартной библиотеки языка написана на нём же. [2]</w:t>
      </w:r>
    </w:p>
    <w:bookmarkEnd w:id="22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3" w:name="установка-julia-и-jupyter"/>
    <w:p>
      <w:pPr>
        <w:pStyle w:val="Heading2"/>
      </w:pPr>
      <w:r>
        <w:t xml:space="preserve">Установка Julia и Jupyter</w:t>
      </w:r>
    </w:p>
    <w:p>
      <w:pPr>
        <w:pStyle w:val="FirstParagraph"/>
      </w:pPr>
      <w:r>
        <w:t xml:space="preserve">В ходе выполнения других курсов, мною уже была установлена Julia с IJulia для работы с Jupyter Notebook, поэтому этот пункт задания был мною опущен.</w:t>
      </w:r>
    </w:p>
    <w:bookmarkEnd w:id="23"/>
    <w:bookmarkStart w:id="32" w:name="повторение-примеров"/>
    <w:p>
      <w:pPr>
        <w:pStyle w:val="Heading2"/>
      </w:pPr>
      <w:r>
        <w:t xml:space="preserve">Повторение примеров</w:t>
      </w:r>
    </w:p>
    <w:p>
      <w:pPr>
        <w:numPr>
          <w:ilvl w:val="0"/>
          <w:numId w:val="1002"/>
        </w:numPr>
        <w:pStyle w:val="Compact"/>
      </w:pPr>
      <w:r>
        <w:t xml:space="preserve">Повторяем примеры с определением типа числовой величины. (fig. 1)</w:t>
      </w:r>
    </w:p>
    <w:p>
      <w:pPr>
        <w:pStyle w:val="CaptionedFigure"/>
      </w:pPr>
      <w:bookmarkStart w:id="25" w:name="fig:001"/>
      <w:r>
        <w:drawing>
          <wp:inline>
            <wp:extent cx="5334000" cy="4942416"/>
            <wp:effectExtent b="0" l="0" r="0" t="0"/>
            <wp:docPr descr="Figure 1: Примеры определения типа числовых величин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Примеры определения типа числовых величин</w:t>
      </w:r>
    </w:p>
    <w:p>
      <w:pPr>
        <w:numPr>
          <w:ilvl w:val="0"/>
          <w:numId w:val="1003"/>
        </w:numPr>
        <w:pStyle w:val="Compact"/>
      </w:pPr>
      <w:r>
        <w:t xml:space="preserve">Потворяем примеры приведения аргументов к одному типу. (fig. 2)</w:t>
      </w:r>
    </w:p>
    <w:p>
      <w:pPr>
        <w:pStyle w:val="CaptionedFigure"/>
      </w:pPr>
      <w:bookmarkStart w:id="27" w:name="fig:002"/>
      <w:r>
        <w:drawing>
          <wp:inline>
            <wp:extent cx="5334000" cy="3693583"/>
            <wp:effectExtent b="0" l="0" r="0" t="0"/>
            <wp:docPr descr="Figure 2: Примеры приведения аргументов к одному типу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2: Примеры приведения аргументов к одному типу</w:t>
      </w:r>
    </w:p>
    <w:p>
      <w:pPr>
        <w:numPr>
          <w:ilvl w:val="0"/>
          <w:numId w:val="1004"/>
        </w:numPr>
        <w:pStyle w:val="Compact"/>
      </w:pPr>
      <w:r>
        <w:t xml:space="preserve">Повторяем примеры определения функций. (fig. 3)</w:t>
      </w:r>
    </w:p>
    <w:p>
      <w:pPr>
        <w:pStyle w:val="CaptionedFigure"/>
      </w:pPr>
      <w:bookmarkStart w:id="29" w:name="fig:003"/>
      <w:r>
        <w:drawing>
          <wp:inline>
            <wp:extent cx="5334000" cy="2095500"/>
            <wp:effectExtent b="0" l="0" r="0" t="0"/>
            <wp:docPr descr="Figure 3: Примеры определения функций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Примеры определения функций</w:t>
      </w:r>
    </w:p>
    <w:p>
      <w:pPr>
        <w:numPr>
          <w:ilvl w:val="0"/>
          <w:numId w:val="1005"/>
        </w:numPr>
        <w:pStyle w:val="Compact"/>
      </w:pPr>
      <w:r>
        <w:t xml:space="preserve">Повторяем примеры работы с массивами. (fig. 4)</w:t>
      </w:r>
    </w:p>
    <w:p>
      <w:pPr>
        <w:pStyle w:val="CaptionedFigure"/>
      </w:pPr>
      <w:bookmarkStart w:id="31" w:name="fig:004"/>
      <w:r>
        <w:drawing>
          <wp:inline>
            <wp:extent cx="5334000" cy="3116791"/>
            <wp:effectExtent b="0" l="0" r="0" t="0"/>
            <wp:docPr descr="Figure 4: Примеры работы с массивами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Примеры работы с массивами</w:t>
      </w:r>
    </w:p>
    <w:bookmarkEnd w:id="32"/>
    <w:bookmarkStart w:id="73" w:name="задания-для-самостоятельной-работы"/>
    <w:p>
      <w:pPr>
        <w:pStyle w:val="Heading2"/>
      </w:pPr>
      <w:r>
        <w:t xml:space="preserve">Задания для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Изучили документацию по основным функциям Julia для чтения / записи / вывода информации на экран: read(), readline(), readlines(), readdlm(), print(), println(), show(), write(). Привели свои примеры их использования. (fig. 5 - fig. 16)</w:t>
      </w:r>
    </w:p>
    <w:p>
      <w:pPr>
        <w:pStyle w:val="CaptionedFigure"/>
      </w:pPr>
      <w:bookmarkStart w:id="34" w:name="fig:005"/>
      <w:r>
        <w:drawing>
          <wp:inline>
            <wp:extent cx="5334000" cy="1206500"/>
            <wp:effectExtent b="0" l="0" r="0" t="0"/>
            <wp:docPr descr="Figure 5: Фрагмент документации по команде read()" title="" id="1" name="Picture"/>
            <a:graphic>
              <a:graphicData uri="http://schemas.openxmlformats.org/drawingml/2006/picture">
                <pic:pic>
                  <pic:nvPicPr>
                    <pic:cNvPr descr="pic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Фрагмент документации по команде read()</w:t>
      </w:r>
    </w:p>
    <w:p>
      <w:pPr>
        <w:pStyle w:val="CaptionedFigure"/>
      </w:pPr>
      <w:bookmarkStart w:id="36" w:name="fig:006"/>
      <w:r>
        <w:drawing>
          <wp:inline>
            <wp:extent cx="5334000" cy="592666"/>
            <wp:effectExtent b="0" l="0" r="0" t="0"/>
            <wp:docPr descr="Figure 6: Пример по команде read()" title="" id="1" name="Picture"/>
            <a:graphic>
              <a:graphicData uri="http://schemas.openxmlformats.org/drawingml/2006/picture">
                <pic:pic>
                  <pic:nvPicPr>
                    <pic:cNvPr descr="pic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Пример по команде read()</w:t>
      </w:r>
    </w:p>
    <w:p>
      <w:pPr>
        <w:pStyle w:val="CaptionedFigure"/>
      </w:pPr>
      <w:bookmarkStart w:id="38" w:name="fig:007"/>
      <w:r>
        <w:drawing>
          <wp:inline>
            <wp:extent cx="5334000" cy="4460875"/>
            <wp:effectExtent b="0" l="0" r="0" t="0"/>
            <wp:docPr descr="Figure 7: Документация по команде readline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Документация по команде readline() и пример использования</w:t>
      </w:r>
    </w:p>
    <w:p>
      <w:pPr>
        <w:pStyle w:val="CaptionedFigure"/>
      </w:pPr>
      <w:bookmarkStart w:id="40" w:name="fig:008"/>
      <w:r>
        <w:drawing>
          <wp:inline>
            <wp:extent cx="5334000" cy="4296833"/>
            <wp:effectExtent b="0" l="0" r="0" t="0"/>
            <wp:docPr descr="Figure 8: Документация по команде readlines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8: Документация по команде readlines() и пример использования</w:t>
      </w:r>
    </w:p>
    <w:p>
      <w:pPr>
        <w:pStyle w:val="CaptionedFigure"/>
      </w:pPr>
      <w:bookmarkStart w:id="42" w:name="fig:009"/>
      <w:r>
        <w:drawing>
          <wp:inline>
            <wp:extent cx="5334000" cy="883708"/>
            <wp:effectExtent b="0" l="0" r="0" t="0"/>
            <wp:docPr descr="Figure 9: Фрагмент документации по команде readlm()" title="" id="1" name="Picture"/>
            <a:graphic>
              <a:graphicData uri="http://schemas.openxmlformats.org/drawingml/2006/picture">
                <pic:pic>
                  <pic:nvPicPr>
                    <pic:cNvPr descr="pic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9: Фрагмент документации по команде readlm()</w:t>
      </w:r>
    </w:p>
    <w:p>
      <w:pPr>
        <w:pStyle w:val="CaptionedFigure"/>
      </w:pPr>
      <w:bookmarkStart w:id="44" w:name="fig:010"/>
      <w:r>
        <w:drawing>
          <wp:inline>
            <wp:extent cx="5334000" cy="2270125"/>
            <wp:effectExtent b="0" l="0" r="0" t="0"/>
            <wp:docPr descr="Figure 10: Примеры по команде readlm()" title="" id="1" name="Picture"/>
            <a:graphic>
              <a:graphicData uri="http://schemas.openxmlformats.org/drawingml/2006/picture">
                <pic:pic>
                  <pic:nvPicPr>
                    <pic:cNvPr descr="pic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10: Примеры по команде readlm()</w:t>
      </w:r>
    </w:p>
    <w:p>
      <w:pPr>
        <w:pStyle w:val="CaptionedFigure"/>
      </w:pPr>
      <w:bookmarkStart w:id="46" w:name="fig:011"/>
      <w:r>
        <w:drawing>
          <wp:inline>
            <wp:extent cx="5334000" cy="3614208"/>
            <wp:effectExtent b="0" l="0" r="0" t="0"/>
            <wp:docPr descr="Figure 11: Документация по команде print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11: Документация по команде print() и пример использования</w:t>
      </w:r>
    </w:p>
    <w:p>
      <w:pPr>
        <w:pStyle w:val="CaptionedFigure"/>
      </w:pPr>
      <w:bookmarkStart w:id="48" w:name="fig:012"/>
      <w:r>
        <w:drawing>
          <wp:inline>
            <wp:extent cx="5334000" cy="3069166"/>
            <wp:effectExtent b="0" l="0" r="0" t="0"/>
            <wp:docPr descr="Figure 12: Документация по команде println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12: Документация по команде println() и пример использования</w:t>
      </w:r>
    </w:p>
    <w:p>
      <w:pPr>
        <w:pStyle w:val="CaptionedFigure"/>
      </w:pPr>
      <w:bookmarkStart w:id="50" w:name="fig:013"/>
      <w:r>
        <w:drawing>
          <wp:inline>
            <wp:extent cx="5334000" cy="2095500"/>
            <wp:effectExtent b="0" l="0" r="0" t="0"/>
            <wp:docPr descr="Figure 13: Фрагмент документации по команде show()" title="" id="1" name="Picture"/>
            <a:graphic>
              <a:graphicData uri="http://schemas.openxmlformats.org/drawingml/2006/picture">
                <pic:pic>
                  <pic:nvPicPr>
                    <pic:cNvPr descr="pic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13: Фрагмент документации по команде show()</w:t>
      </w:r>
    </w:p>
    <w:p>
      <w:pPr>
        <w:pStyle w:val="CaptionedFigure"/>
      </w:pPr>
      <w:bookmarkStart w:id="52" w:name="fig:014"/>
      <w:r>
        <w:drawing>
          <wp:inline>
            <wp:extent cx="5334000" cy="402166"/>
            <wp:effectExtent b="0" l="0" r="0" t="0"/>
            <wp:docPr descr="Figure 14: Пример по команде show()" title="" id="1" name="Picture"/>
            <a:graphic>
              <a:graphicData uri="http://schemas.openxmlformats.org/drawingml/2006/picture">
                <pic:pic>
                  <pic:nvPicPr>
                    <pic:cNvPr descr="pic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14: Пример по команде show()</w:t>
      </w:r>
    </w:p>
    <w:p>
      <w:pPr>
        <w:pStyle w:val="CaptionedFigure"/>
      </w:pPr>
      <w:bookmarkStart w:id="54" w:name="fig:015"/>
      <w:r>
        <w:drawing>
          <wp:inline>
            <wp:extent cx="5334000" cy="2121958"/>
            <wp:effectExtent b="0" l="0" r="0" t="0"/>
            <wp:docPr descr="Figure 15: Фрагмент документации по команде write()" title="" id="1" name="Picture"/>
            <a:graphic>
              <a:graphicData uri="http://schemas.openxmlformats.org/drawingml/2006/picture">
                <pic:pic>
                  <pic:nvPicPr>
                    <pic:cNvPr descr="pic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15: Фрагмент документации по команде write()</w:t>
      </w:r>
    </w:p>
    <w:p>
      <w:pPr>
        <w:pStyle w:val="CaptionedFigure"/>
      </w:pPr>
      <w:bookmarkStart w:id="56" w:name="fig:016"/>
      <w:r>
        <w:drawing>
          <wp:inline>
            <wp:extent cx="5334000" cy="1000125"/>
            <wp:effectExtent b="0" l="0" r="0" t="0"/>
            <wp:docPr descr="Figure 16: Пример по команде write()" title="" id="1" name="Picture"/>
            <a:graphic>
              <a:graphicData uri="http://schemas.openxmlformats.org/drawingml/2006/picture">
                <pic:pic>
                  <pic:nvPicPr>
                    <pic:cNvPr descr="pic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16: Пример по команде write()</w:t>
      </w:r>
    </w:p>
    <w:p>
      <w:pPr>
        <w:numPr>
          <w:ilvl w:val="0"/>
          <w:numId w:val="1007"/>
        </w:numPr>
        <w:pStyle w:val="Compact"/>
      </w:pPr>
      <w:r>
        <w:t xml:space="preserve">Изучили документацию по функции parse(). Привели свой пример её использования. (fig. 17)</w:t>
      </w:r>
    </w:p>
    <w:p>
      <w:pPr>
        <w:pStyle w:val="CaptionedFigure"/>
      </w:pPr>
      <w:bookmarkStart w:id="58" w:name="fig:017"/>
      <w:r>
        <w:drawing>
          <wp:inline>
            <wp:extent cx="5334000" cy="5445125"/>
            <wp:effectExtent b="0" l="0" r="0" t="0"/>
            <wp:docPr descr="Figure 17: Документация по команде parse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17: Документация по команде parse() и пример использования</w:t>
      </w:r>
    </w:p>
    <w:p>
      <w:pPr>
        <w:numPr>
          <w:ilvl w:val="0"/>
          <w:numId w:val="1008"/>
        </w:numPr>
        <w:pStyle w:val="Compact"/>
      </w:pPr>
      <w:r>
        <w:t xml:space="preserve">Изучили синтаксис Julia для базовых математических операций с разным типом переменных: сложение, вычитание, умножение, деление, возведение в степень, извлечение корня, сравнение, логические операции. Привели свои примеры. (fig. 18 - fig. 22)</w:t>
      </w:r>
    </w:p>
    <w:p>
      <w:pPr>
        <w:pStyle w:val="CaptionedFigure"/>
      </w:pPr>
      <w:bookmarkStart w:id="60" w:name="fig:018"/>
      <w:r>
        <w:drawing>
          <wp:inline>
            <wp:extent cx="5334000" cy="668664"/>
            <wp:effectExtent b="0" l="0" r="0" t="0"/>
            <wp:docPr descr="Figure 18: Примеры операций с типом int" title="" id="1" name="Picture"/>
            <a:graphic>
              <a:graphicData uri="http://schemas.openxmlformats.org/drawingml/2006/picture">
                <pic:pic>
                  <pic:nvPicPr>
                    <pic:cNvPr descr="pic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18: Примеры операций с типом int</w:t>
      </w:r>
    </w:p>
    <w:p>
      <w:pPr>
        <w:pStyle w:val="CaptionedFigure"/>
      </w:pPr>
      <w:bookmarkStart w:id="62" w:name="fig:019"/>
      <w:r>
        <w:drawing>
          <wp:inline>
            <wp:extent cx="5334000" cy="788166"/>
            <wp:effectExtent b="0" l="0" r="0" t="0"/>
            <wp:docPr descr="Figure 19: Примеры операций с типом float" title="" id="1" name="Picture"/>
            <a:graphic>
              <a:graphicData uri="http://schemas.openxmlformats.org/drawingml/2006/picture">
                <pic:pic>
                  <pic:nvPicPr>
                    <pic:cNvPr descr="pic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19: Примеры операций с типом float</w:t>
      </w:r>
    </w:p>
    <w:p>
      <w:pPr>
        <w:pStyle w:val="CaptionedFigure"/>
      </w:pPr>
      <w:bookmarkStart w:id="64" w:name="fig:020"/>
      <w:r>
        <w:drawing>
          <wp:inline>
            <wp:extent cx="5334000" cy="622884"/>
            <wp:effectExtent b="0" l="0" r="0" t="0"/>
            <wp:docPr descr="Figure 20: Примеры операций с типом complex" title="" id="1" name="Picture"/>
            <a:graphic>
              <a:graphicData uri="http://schemas.openxmlformats.org/drawingml/2006/picture">
                <pic:pic>
                  <pic:nvPicPr>
                    <pic:cNvPr descr="pic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20: Примеры операций с типом complex</w:t>
      </w:r>
    </w:p>
    <w:p>
      <w:pPr>
        <w:pStyle w:val="CaptionedFigure"/>
      </w:pPr>
      <w:bookmarkStart w:id="66" w:name="fig:021"/>
      <w:r>
        <w:drawing>
          <wp:inline>
            <wp:extent cx="5334000" cy="644546"/>
            <wp:effectExtent b="0" l="0" r="0" t="0"/>
            <wp:docPr descr="Figure 21: Примеры операций с типом rational" title="" id="1" name="Picture"/>
            <a:graphic>
              <a:graphicData uri="http://schemas.openxmlformats.org/drawingml/2006/picture">
                <pic:pic>
                  <pic:nvPicPr>
                    <pic:cNvPr descr="pic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21: Примеры операций с типом rational</w:t>
      </w:r>
    </w:p>
    <w:p>
      <w:pPr>
        <w:pStyle w:val="CaptionedFigure"/>
      </w:pPr>
      <w:bookmarkStart w:id="68" w:name="fig:022"/>
      <w:r>
        <w:drawing>
          <wp:inline>
            <wp:extent cx="5334000" cy="893229"/>
            <wp:effectExtent b="0" l="0" r="0" t="0"/>
            <wp:docPr descr="Figure 22: Примеры операций с типом irrational" title="" id="1" name="Picture"/>
            <a:graphic>
              <a:graphicData uri="http://schemas.openxmlformats.org/drawingml/2006/picture">
                <pic:pic>
                  <pic:nvPicPr>
                    <pic:cNvPr descr="pic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3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22: Примеры операций с типом irrational</w:t>
      </w:r>
    </w:p>
    <w:p>
      <w:pPr>
        <w:numPr>
          <w:ilvl w:val="0"/>
          <w:numId w:val="1009"/>
        </w:numPr>
        <w:pStyle w:val="Compact"/>
      </w:pPr>
      <w:r>
        <w:t xml:space="preserve">Привели несколько своих примеров с операциями над матрицами и векторами: сложение, вычитание, скалярное произведение, транспонирование, умножение на скаляр. (fig. 23, fig. 24)</w:t>
      </w:r>
    </w:p>
    <w:p>
      <w:pPr>
        <w:pStyle w:val="CaptionedFigure"/>
      </w:pPr>
      <w:bookmarkStart w:id="70" w:name="fig:023"/>
      <w:r>
        <w:drawing>
          <wp:inline>
            <wp:extent cx="5334000" cy="1679088"/>
            <wp:effectExtent b="0" l="0" r="0" t="0"/>
            <wp:docPr descr="Figure 23: Примеры операций с векторами" title="" id="1" name="Picture"/>
            <a:graphic>
              <a:graphicData uri="http://schemas.openxmlformats.org/drawingml/2006/picture">
                <pic:pic>
                  <pic:nvPicPr>
                    <pic:cNvPr descr="pic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23: Примеры операций с векторами</w:t>
      </w:r>
    </w:p>
    <w:p>
      <w:pPr>
        <w:pStyle w:val="CaptionedFigure"/>
      </w:pPr>
      <w:bookmarkStart w:id="72" w:name="fig:024"/>
      <w:r>
        <w:drawing>
          <wp:inline>
            <wp:extent cx="5334000" cy="1502535"/>
            <wp:effectExtent b="0" l="0" r="0" t="0"/>
            <wp:docPr descr="Figure 24: Примеры операций с матрицами" title="" id="1" name="Picture"/>
            <a:graphic>
              <a:graphicData uri="http://schemas.openxmlformats.org/drawingml/2006/picture">
                <pic:pic>
                  <pic:nvPicPr>
                    <pic:cNvPr descr="pic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2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24: Примеры операций с матрицами</w:t>
      </w:r>
    </w:p>
    <w:bookmarkEnd w:id="73"/>
    <w:bookmarkEnd w:id="74"/>
    <w:bookmarkStart w:id="7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на примерах были изучены основы синтаксиса в Julia.</w:t>
      </w:r>
    </w:p>
    <w:bookmarkEnd w:id="75"/>
    <w:bookmarkStart w:id="76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10"/>
        </w:numPr>
        <w:pStyle w:val="Compact"/>
      </w:pPr>
      <w:r>
        <w:t xml:space="preserve">Методические материалы курса.</w:t>
      </w:r>
    </w:p>
    <w:p>
      <w:pPr>
        <w:numPr>
          <w:ilvl w:val="0"/>
          <w:numId w:val="1010"/>
        </w:numPr>
        <w:pStyle w:val="Compact"/>
      </w:pPr>
      <w:r>
        <w:t xml:space="preserve">Wikipedia: Julia (язык программирования). (https://ru.wikipedia.org/wiki/Julia_(%D1%8F%D0%B7%D1%8B%D0%BA_%D0%BF%D1%80%D0%BE%D0%B3%D1%80%D0%B0%D0%BC%D0%BC%D0%B8%D1%80%D0%BE%D0%B2%D0%B0%D0%BD%D0%B8%D1%8F)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№1.</dc:title>
  <dc:creator>Ишанова А.И. группа НФИ-02-19</dc:creator>
  <dc:language>ru-RU</dc:language>
  <cp:keywords/>
  <dcterms:created xsi:type="dcterms:W3CDTF">2022-11-12T00:15:59Z</dcterms:created>
  <dcterms:modified xsi:type="dcterms:W3CDTF">2022-11-12T00:15:59Z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False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PT Serif</vt:lpwstr>
  </property>
  <property fmtid="{D5CDD505-2E9C-101B-9397-08002B2CF9AE}" pid="43" name="mainfontoptions">
    <vt:lpwstr>Ligatures=TeX</vt:lpwstr>
  </property>
  <property fmtid="{D5CDD505-2E9C-101B-9397-08002B2CF9AE}" pid="44" name="monofont">
    <vt:lpwstr>PT Mono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Sans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Julia. Установка и настройка. Основные принципы.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