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9.png" ContentType="image/png"/>
  <Override PartName="/word/media/rId24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№4.</w:t>
      </w:r>
    </w:p>
    <w:p>
      <w:pPr>
        <w:pStyle w:val="Subtitle"/>
      </w:pPr>
      <w:r>
        <w:t xml:space="preserve">Линейная</w:t>
      </w:r>
      <w:r>
        <w:t xml:space="preserve"> </w:t>
      </w:r>
      <w:r>
        <w:t xml:space="preserve">алгебра.</w:t>
      </w:r>
    </w:p>
    <w:p>
      <w:pPr>
        <w:pStyle w:val="Author"/>
      </w:pPr>
      <w:r>
        <w:t xml:space="preserve">Ишанова</w:t>
      </w:r>
      <w:r>
        <w:t xml:space="preserve"> </w:t>
      </w:r>
      <w:r>
        <w:t xml:space="preserve">А.И.</w:t>
      </w:r>
      <w:r>
        <w:t xml:space="preserve"> </w:t>
      </w:r>
      <w:r>
        <w:t xml:space="preserve">группа</w:t>
      </w:r>
      <w:r>
        <w:t xml:space="preserve"> </w:t>
      </w:r>
      <w:r>
        <w:t xml:space="preserve">НФИ-02-19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Изучение возможностей специализированных пакетов Julia для выполнения и оценки эффективности операций над объектами линейной алгебры.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Используя Jupyter Lab, повторите примеры из раздела 4.2.</w:t>
      </w:r>
    </w:p>
    <w:p>
      <w:pPr>
        <w:numPr>
          <w:ilvl w:val="0"/>
          <w:numId w:val="1001"/>
        </w:numPr>
        <w:pStyle w:val="Compact"/>
      </w:pPr>
      <w:r>
        <w:t xml:space="preserve">Выполните задания для самостоятельной работы (раздел 4.4). [1]</w:t>
      </w:r>
    </w:p>
    <w:bookmarkEnd w:id="21"/>
    <w:bookmarkStart w:id="8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58" w:name="повторение-примеров"/>
    <w:p>
      <w:pPr>
        <w:pStyle w:val="Heading2"/>
      </w:pPr>
      <w:r>
        <w:t xml:space="preserve">Повторение примеров</w:t>
      </w:r>
    </w:p>
    <w:p>
      <w:pPr>
        <w:numPr>
          <w:ilvl w:val="0"/>
          <w:numId w:val="1002"/>
        </w:numPr>
        <w:pStyle w:val="Compact"/>
      </w:pPr>
      <w:r>
        <w:t xml:space="preserve">Повторяем примеры с поэлементными операциями над многомерными массивами. (fig. 1 - fig. 2)</w:t>
      </w:r>
    </w:p>
    <w:p>
      <w:pPr>
        <w:pStyle w:val="CaptionedFigure"/>
      </w:pPr>
      <w:bookmarkStart w:id="23" w:name="fig:001"/>
      <w:r>
        <w:drawing>
          <wp:inline>
            <wp:extent cx="5334000" cy="5447835"/>
            <wp:effectExtent b="0" l="0" r="0" t="0"/>
            <wp:docPr descr="Figure 1: Примеры с поэлементными операциями над многомерными массивами - 1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Примеры с поэлементными операциями над многомерными массивами - 1</w:t>
      </w:r>
    </w:p>
    <w:p>
      <w:pPr>
        <w:pStyle w:val="CaptionedFigure"/>
      </w:pPr>
      <w:bookmarkStart w:id="25" w:name="fig:002"/>
      <w:r>
        <w:drawing>
          <wp:inline>
            <wp:extent cx="5334000" cy="3295804"/>
            <wp:effectExtent b="0" l="0" r="0" t="0"/>
            <wp:docPr descr="Figure 2: Примеры с поэлементными операциями над многомерными массивами - 2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Примеры с поэлементными операциями над многомерными массивами - 2</w:t>
      </w:r>
    </w:p>
    <w:p>
      <w:pPr>
        <w:numPr>
          <w:ilvl w:val="0"/>
          <w:numId w:val="1003"/>
        </w:numPr>
        <w:pStyle w:val="Compact"/>
      </w:pPr>
      <w:r>
        <w:t xml:space="preserve">Повторяем примеры с операциями над матрицами с пакетом LinearAlgebra (fig. 3 - fig. 4)</w:t>
      </w:r>
    </w:p>
    <w:p>
      <w:pPr>
        <w:pStyle w:val="CaptionedFigure"/>
      </w:pPr>
      <w:bookmarkStart w:id="27" w:name="fig:003"/>
      <w:r>
        <w:drawing>
          <wp:inline>
            <wp:extent cx="5334000" cy="6087481"/>
            <wp:effectExtent b="0" l="0" r="0" t="0"/>
            <wp:docPr descr="Figure 3: Примеры с операциями над матрицами с пакетом LinearAlgebra - 1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8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Примеры с операциями над матрицами с пакетом LinearAlgebra - 1</w:t>
      </w:r>
    </w:p>
    <w:p>
      <w:pPr>
        <w:pStyle w:val="CaptionedFigure"/>
      </w:pPr>
      <w:bookmarkStart w:id="29" w:name="fig:004"/>
      <w:r>
        <w:drawing>
          <wp:inline>
            <wp:extent cx="5334000" cy="1496121"/>
            <wp:effectExtent b="0" l="0" r="0" t="0"/>
            <wp:docPr descr="Figure 4: Примеры с операциями над матрицами с пакетом LinearAlgebra - 2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6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Примеры с операциями над матрицами с пакетом LinearAlgebra - 2</w:t>
      </w:r>
    </w:p>
    <w:p>
      <w:pPr>
        <w:numPr>
          <w:ilvl w:val="0"/>
          <w:numId w:val="1004"/>
        </w:numPr>
        <w:pStyle w:val="Compact"/>
      </w:pPr>
      <w:r>
        <w:t xml:space="preserve">Повторяем примеры из раздела</w:t>
      </w:r>
      <w:r>
        <w:t xml:space="preserve"> </w:t>
      </w:r>
      <w:r>
        <w:t xml:space="preserve">“</w:t>
      </w:r>
      <w:r>
        <w:t xml:space="preserve">Вычисление нормы векторов и матриц, повороты, вращения</w:t>
      </w:r>
      <w:r>
        <w:t xml:space="preserve">”</w:t>
      </w:r>
      <w:r>
        <w:t xml:space="preserve">. (fig. 5 - fig. 7)</w:t>
      </w:r>
    </w:p>
    <w:p>
      <w:pPr>
        <w:pStyle w:val="CaptionedFigure"/>
      </w:pPr>
      <w:bookmarkStart w:id="31" w:name="fig:005"/>
      <w:r>
        <w:drawing>
          <wp:inline>
            <wp:extent cx="5334000" cy="3550579"/>
            <wp:effectExtent b="0" l="0" r="0" t="0"/>
            <wp:docPr descr="Figure 5: Примеры из раздела “Вычисление нормы векторов и матриц, повороты, вращения” - 1" title="" id="1" name="Picture"/>
            <a:graphic>
              <a:graphicData uri="http://schemas.openxmlformats.org/drawingml/2006/picture">
                <pic:pic>
                  <pic:nvPicPr>
                    <pic:cNvPr descr="pic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Примеры из раздела</w:t>
      </w:r>
      <w:r>
        <w:t xml:space="preserve"> </w:t>
      </w:r>
      <w:r>
        <w:t xml:space="preserve">“</w:t>
      </w:r>
      <w:r>
        <w:t xml:space="preserve">Вычисление нормы векторов и матриц, повороты, вращения</w:t>
      </w:r>
      <w:r>
        <w:t xml:space="preserve">”</w:t>
      </w:r>
      <w:r>
        <w:t xml:space="preserve"> </w:t>
      </w:r>
      <w:r>
        <w:t xml:space="preserve">- 1</w:t>
      </w:r>
    </w:p>
    <w:p>
      <w:pPr>
        <w:pStyle w:val="CaptionedFigure"/>
      </w:pPr>
      <w:bookmarkStart w:id="33" w:name="fig:006"/>
      <w:r>
        <w:drawing>
          <wp:inline>
            <wp:extent cx="5334000" cy="4136018"/>
            <wp:effectExtent b="0" l="0" r="0" t="0"/>
            <wp:docPr descr="Figure 6: Примеры из раздела “Вычисление нормы векторов и матриц, повороты, вращения” - 2" title="" id="1" name="Picture"/>
            <a:graphic>
              <a:graphicData uri="http://schemas.openxmlformats.org/drawingml/2006/picture">
                <pic:pic>
                  <pic:nvPicPr>
                    <pic:cNvPr descr="pic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Примеры из раздела</w:t>
      </w:r>
      <w:r>
        <w:t xml:space="preserve"> </w:t>
      </w:r>
      <w:r>
        <w:t xml:space="preserve">“</w:t>
      </w:r>
      <w:r>
        <w:t xml:space="preserve">Вычисление нормы векторов и матриц, повороты, вращения</w:t>
      </w:r>
      <w:r>
        <w:t xml:space="preserve">”</w:t>
      </w:r>
      <w:r>
        <w:t xml:space="preserve"> </w:t>
      </w:r>
      <w:r>
        <w:t xml:space="preserve">- 2</w:t>
      </w:r>
    </w:p>
    <w:p>
      <w:pPr>
        <w:numPr>
          <w:ilvl w:val="0"/>
          <w:numId w:val="1005"/>
        </w:numPr>
        <w:pStyle w:val="Compact"/>
      </w:pPr>
      <w:r>
        <w:t xml:space="preserve">Повторяем примеры из раздела</w:t>
      </w:r>
      <w:r>
        <w:t xml:space="preserve"> </w:t>
      </w:r>
      <w:r>
        <w:t xml:space="preserve">“</w:t>
      </w:r>
      <w:r>
        <w:t xml:space="preserve">Матричное умножение, единичная матрица, скалярное произведение</w:t>
      </w:r>
      <w:r>
        <w:t xml:space="preserve">”</w:t>
      </w:r>
      <w:r>
        <w:t xml:space="preserve">. (fig. 7)</w:t>
      </w:r>
    </w:p>
    <w:p>
      <w:pPr>
        <w:pStyle w:val="CaptionedFigure"/>
      </w:pPr>
      <w:bookmarkStart w:id="35" w:name="fig:007"/>
      <w:r>
        <w:drawing>
          <wp:inline>
            <wp:extent cx="5334000" cy="4710615"/>
            <wp:effectExtent b="0" l="0" r="0" t="0"/>
            <wp:docPr descr="Figure 7: Примеры из раздела “Матричное умножение, единичная матрица, скалярное произведение”" title="" id="1" name="Picture"/>
            <a:graphic>
              <a:graphicData uri="http://schemas.openxmlformats.org/drawingml/2006/picture">
                <pic:pic>
                  <pic:nvPicPr>
                    <pic:cNvPr descr="pic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10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Примеры из раздела</w:t>
      </w:r>
      <w:r>
        <w:t xml:space="preserve"> </w:t>
      </w:r>
      <w:r>
        <w:t xml:space="preserve">“</w:t>
      </w:r>
      <w:r>
        <w:t xml:space="preserve">Матричное умножение, единичная матрица, скалярное произведение</w:t>
      </w:r>
      <w:r>
        <w:t xml:space="preserve">”</w:t>
      </w:r>
    </w:p>
    <w:p>
      <w:pPr>
        <w:numPr>
          <w:ilvl w:val="0"/>
          <w:numId w:val="1006"/>
        </w:numPr>
        <w:pStyle w:val="Compact"/>
      </w:pPr>
      <w:r>
        <w:t xml:space="preserve">Повторяем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. (fig. 8 - fig. 17)</w:t>
      </w:r>
    </w:p>
    <w:p>
      <w:pPr>
        <w:pStyle w:val="CaptionedFigure"/>
      </w:pPr>
      <w:bookmarkStart w:id="37" w:name="fig:008"/>
      <w:r>
        <w:drawing>
          <wp:inline>
            <wp:extent cx="5334000" cy="3675256"/>
            <wp:effectExtent b="0" l="0" r="0" t="0"/>
            <wp:docPr descr="Figure 8: Примеры из раздела “Факторизация. Специальные матричные структуры” - 1" title="" id="1" name="Picture"/>
            <a:graphic>
              <a:graphicData uri="http://schemas.openxmlformats.org/drawingml/2006/picture">
                <pic:pic>
                  <pic:nvPicPr>
                    <pic:cNvPr descr="pic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- 1</w:t>
      </w:r>
    </w:p>
    <w:p>
      <w:pPr>
        <w:pStyle w:val="CaptionedFigure"/>
      </w:pPr>
      <w:bookmarkStart w:id="39" w:name="fig:009"/>
      <w:r>
        <w:drawing>
          <wp:inline>
            <wp:extent cx="5334000" cy="5122591"/>
            <wp:effectExtent b="0" l="0" r="0" t="0"/>
            <wp:docPr descr="Figure 9: Примеры из раздела “Факторизация. Специальные матричные структуры” - 2" title="" id="1" name="Picture"/>
            <a:graphic>
              <a:graphicData uri="http://schemas.openxmlformats.org/drawingml/2006/picture">
                <pic:pic>
                  <pic:nvPicPr>
                    <pic:cNvPr descr="pic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2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 9: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- 2</w:t>
      </w:r>
    </w:p>
    <w:p>
      <w:pPr>
        <w:pStyle w:val="CaptionedFigure"/>
      </w:pPr>
      <w:bookmarkStart w:id="41" w:name="fig:010"/>
      <w:r>
        <w:drawing>
          <wp:inline>
            <wp:extent cx="5334000" cy="2959719"/>
            <wp:effectExtent b="0" l="0" r="0" t="0"/>
            <wp:docPr descr="Figure 10: Примеры из раздела “Факторизация. Специальные матричные структуры” - 3" title="" id="1" name="Picture"/>
            <a:graphic>
              <a:graphicData uri="http://schemas.openxmlformats.org/drawingml/2006/picture">
                <pic:pic>
                  <pic:nvPicPr>
                    <pic:cNvPr descr="pic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9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 10: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- 3</w:t>
      </w:r>
    </w:p>
    <w:p>
      <w:pPr>
        <w:pStyle w:val="CaptionedFigure"/>
      </w:pPr>
      <w:bookmarkStart w:id="43" w:name="fig:011"/>
      <w:r>
        <w:drawing>
          <wp:inline>
            <wp:extent cx="5334000" cy="4239012"/>
            <wp:effectExtent b="0" l="0" r="0" t="0"/>
            <wp:docPr descr="Figure 11: Примеры из раздела “Факторизация. Специальные матричные структуры” - 4" title="" id="1" name="Picture"/>
            <a:graphic>
              <a:graphicData uri="http://schemas.openxmlformats.org/drawingml/2006/picture">
                <pic:pic>
                  <pic:nvPicPr>
                    <pic:cNvPr descr="pic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- 4</w:t>
      </w:r>
    </w:p>
    <w:p>
      <w:pPr>
        <w:pStyle w:val="CaptionedFigure"/>
      </w:pPr>
      <w:bookmarkStart w:id="45" w:name="fig:012"/>
      <w:r>
        <w:drawing>
          <wp:inline>
            <wp:extent cx="5334000" cy="5198481"/>
            <wp:effectExtent b="0" l="0" r="0" t="0"/>
            <wp:docPr descr="Figure 12: Примеры из раздела “Факторизация. Специальные матричные структуры” - 5" title="" id="1" name="Picture"/>
            <a:graphic>
              <a:graphicData uri="http://schemas.openxmlformats.org/drawingml/2006/picture">
                <pic:pic>
                  <pic:nvPicPr>
                    <pic:cNvPr descr="pics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8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 12: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- 5</w:t>
      </w:r>
    </w:p>
    <w:p>
      <w:pPr>
        <w:pStyle w:val="CaptionedFigure"/>
      </w:pPr>
      <w:bookmarkStart w:id="47" w:name="fig:013"/>
      <w:r>
        <w:drawing>
          <wp:inline>
            <wp:extent cx="5334000" cy="6233841"/>
            <wp:effectExtent b="0" l="0" r="0" t="0"/>
            <wp:docPr descr="Figure 13: Примеры из раздела “Факторизация. Специальные матричные структуры” - 6" title="" id="1" name="Picture"/>
            <a:graphic>
              <a:graphicData uri="http://schemas.openxmlformats.org/drawingml/2006/picture">
                <pic:pic>
                  <pic:nvPicPr>
                    <pic:cNvPr descr="pics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3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 13: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- 6</w:t>
      </w:r>
    </w:p>
    <w:p>
      <w:pPr>
        <w:pStyle w:val="CaptionedFigure"/>
      </w:pPr>
      <w:bookmarkStart w:id="49" w:name="fig:014"/>
      <w:r>
        <w:drawing>
          <wp:inline>
            <wp:extent cx="5334000" cy="5247268"/>
            <wp:effectExtent b="0" l="0" r="0" t="0"/>
            <wp:docPr descr="Figure 14: Примеры из раздела “Факторизация. Специальные матричные структуры” - 7" title="" id="1" name="Picture"/>
            <a:graphic>
              <a:graphicData uri="http://schemas.openxmlformats.org/drawingml/2006/picture">
                <pic:pic>
                  <pic:nvPicPr>
                    <pic:cNvPr descr="pics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7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 14: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- 7</w:t>
      </w:r>
    </w:p>
    <w:p>
      <w:pPr>
        <w:pStyle w:val="CaptionedFigure"/>
      </w:pPr>
      <w:bookmarkStart w:id="51" w:name="fig:015"/>
      <w:r>
        <w:drawing>
          <wp:inline>
            <wp:extent cx="5334000" cy="2894670"/>
            <wp:effectExtent b="0" l="0" r="0" t="0"/>
            <wp:docPr descr="Figure 15: Примеры из раздела “Факторизация. Специальные матричные структуры” - 8" title="" id="1" name="Picture"/>
            <a:graphic>
              <a:graphicData uri="http://schemas.openxmlformats.org/drawingml/2006/picture">
                <pic:pic>
                  <pic:nvPicPr>
                    <pic:cNvPr descr="pics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4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 15: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- 8</w:t>
      </w:r>
    </w:p>
    <w:p>
      <w:pPr>
        <w:pStyle w:val="CaptionedFigure"/>
      </w:pPr>
      <w:bookmarkStart w:id="53" w:name="fig:016"/>
      <w:r>
        <w:drawing>
          <wp:inline>
            <wp:extent cx="5334000" cy="4239012"/>
            <wp:effectExtent b="0" l="0" r="0" t="0"/>
            <wp:docPr descr="Figure 16: Примеры из раздела “Факторизация. Специальные матричные структуры” - 9" title="" id="1" name="Picture"/>
            <a:graphic>
              <a:graphicData uri="http://schemas.openxmlformats.org/drawingml/2006/picture">
                <pic:pic>
                  <pic:nvPicPr>
                    <pic:cNvPr descr="pics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9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 16: Примеры из раздела</w:t>
      </w:r>
      <w:r>
        <w:t xml:space="preserve"> </w:t>
      </w:r>
      <w:r>
        <w:t xml:space="preserve">“</w:t>
      </w:r>
      <w:r>
        <w:t xml:space="preserve">Факторизация. Специальные матричные структуры</w:t>
      </w:r>
      <w:r>
        <w:t xml:space="preserve">”</w:t>
      </w:r>
      <w:r>
        <w:t xml:space="preserve"> </w:t>
      </w:r>
      <w:r>
        <w:t xml:space="preserve">- 9</w:t>
      </w:r>
    </w:p>
    <w:p>
      <w:pPr>
        <w:pStyle w:val="CaptionedFigure"/>
      </w:pPr>
      <w:bookmarkStart w:id="55" w:name="fig:017"/>
      <w:r>
        <w:drawing>
          <wp:inline>
            <wp:extent cx="5334000" cy="2579879"/>
            <wp:effectExtent b="0" l="0" r="0" t="0"/>
            <wp:docPr descr="Figure 17: Ошибка при выполнении команды B = Matrix(A)" title="" id="1" name="Picture"/>
            <a:graphic>
              <a:graphicData uri="http://schemas.openxmlformats.org/drawingml/2006/picture">
                <pic:pic>
                  <pic:nvPicPr>
                    <pic:cNvPr descr="pics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 17: Ошибка при выполнении команды B = Matrix(A)</w:t>
      </w:r>
    </w:p>
    <w:p>
      <w:pPr>
        <w:numPr>
          <w:ilvl w:val="0"/>
          <w:numId w:val="1007"/>
        </w:numPr>
        <w:pStyle w:val="Compact"/>
      </w:pPr>
      <w:r>
        <w:t xml:space="preserve">Повторяем примеры из раздела</w:t>
      </w:r>
      <w:r>
        <w:t xml:space="preserve"> </w:t>
      </w:r>
      <w:r>
        <w:t xml:space="preserve">“</w:t>
      </w:r>
      <w:r>
        <w:t xml:space="preserve">Общая линейная алгебра</w:t>
      </w:r>
      <w:r>
        <w:t xml:space="preserve">”</w:t>
      </w:r>
      <w:r>
        <w:t xml:space="preserve">. (fig. 18)</w:t>
      </w:r>
    </w:p>
    <w:p>
      <w:pPr>
        <w:pStyle w:val="CaptionedFigure"/>
      </w:pPr>
      <w:bookmarkStart w:id="57" w:name="fig:018"/>
      <w:r>
        <w:drawing>
          <wp:inline>
            <wp:extent cx="5334000" cy="5241847"/>
            <wp:effectExtent b="0" l="0" r="0" t="0"/>
            <wp:docPr descr="Figure 18: Примеры из раздела “Общая линейная алгебра”" title="" id="1" name="Picture"/>
            <a:graphic>
              <a:graphicData uri="http://schemas.openxmlformats.org/drawingml/2006/picture">
                <pic:pic>
                  <pic:nvPicPr>
                    <pic:cNvPr descr="pics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41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 18: Примеры из раздела</w:t>
      </w:r>
      <w:r>
        <w:t xml:space="preserve"> </w:t>
      </w:r>
      <w:r>
        <w:t xml:space="preserve">“</w:t>
      </w:r>
      <w:r>
        <w:t xml:space="preserve">Общая линейная алгебра</w:t>
      </w:r>
      <w:r>
        <w:t xml:space="preserve">”</w:t>
      </w:r>
    </w:p>
    <w:bookmarkEnd w:id="58"/>
    <w:bookmarkStart w:id="81" w:name="задания-для-самостоятельной-работы"/>
    <w:p>
      <w:pPr>
        <w:pStyle w:val="Heading2"/>
      </w:pPr>
      <w:r>
        <w:t xml:space="preserve">Задания для самостоятельной работы</w:t>
      </w:r>
    </w:p>
    <w:p>
      <w:pPr>
        <w:numPr>
          <w:ilvl w:val="0"/>
          <w:numId w:val="1008"/>
        </w:numPr>
        <w:pStyle w:val="Compact"/>
      </w:pPr>
      <w:r>
        <w:t xml:space="preserve">Призведение векторов.</w:t>
      </w:r>
    </w:p>
    <w:p>
      <w:pPr>
        <w:pStyle w:val="FirstParagraph"/>
      </w:pPr>
      <w:r>
        <w:t xml:space="preserve">1.1. Задайте вектор v. Умножьте вектор v скалярно сам на себя и сохраните результат в dot_v. (fig. 19)</w:t>
      </w:r>
    </w:p>
    <w:p>
      <w:pPr>
        <w:pStyle w:val="BodyText"/>
      </w:pPr>
      <w:r>
        <w:t xml:space="preserve">1.2. Умножьте v матрично на себя (внешнее произведение), присвоив результат переменной outer_v. (fig. 19)</w:t>
      </w:r>
    </w:p>
    <w:p>
      <w:pPr>
        <w:pStyle w:val="CaptionedFigure"/>
      </w:pPr>
      <w:bookmarkStart w:id="60" w:name="fig:019"/>
      <w:r>
        <w:drawing>
          <wp:inline>
            <wp:extent cx="5334000" cy="2184554"/>
            <wp:effectExtent b="0" l="0" r="0" t="0"/>
            <wp:docPr descr="Figure 19: Скалярное и матричное умножение вектора на себя" title="" id="1" name="Picture"/>
            <a:graphic>
              <a:graphicData uri="http://schemas.openxmlformats.org/drawingml/2006/picture">
                <pic:pic>
                  <pic:nvPicPr>
                    <pic:cNvPr descr="pics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Скалярное и матричное умножение вектора на себя</w:t>
      </w:r>
    </w:p>
    <w:p>
      <w:pPr>
        <w:numPr>
          <w:ilvl w:val="0"/>
          <w:numId w:val="1009"/>
        </w:numPr>
        <w:pStyle w:val="Compact"/>
      </w:pPr>
      <w:r>
        <w:t xml:space="preserve">Системы линейных уравнений.</w:t>
      </w:r>
    </w:p>
    <w:p>
      <w:pPr>
        <w:pStyle w:val="FirstParagraph"/>
      </w:pPr>
      <w:r>
        <w:t xml:space="preserve">2.1. Решить СЛАУ с двумя неизвестными.</w:t>
      </w:r>
    </w:p>
    <w:p>
      <w:pPr>
        <w:numPr>
          <w:ilvl w:val="0"/>
          <w:numId w:val="1010"/>
        </w:numPr>
      </w:pPr>
      <w:r>
        <w:t xml:space="preserve">(fig. 20)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0"/>
        </w:numPr>
      </w:pPr>
      <w:r>
        <w:t xml:space="preserve">Система имеет бесконечно много решений, поэтому программа выдает ошибку. (fig. 20)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0"/>
        </w:numPr>
      </w:pPr>
      <w:r>
        <w:t xml:space="preserve">Система не имеет решений, поэтому программа выдает ошибку. (fig. 20)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5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0"/>
        </w:numPr>
      </w:pPr>
      <w:r>
        <w:t xml:space="preserve">(fig. 21)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0"/>
        </w:numPr>
      </w:pPr>
      <w:r>
        <w:t xml:space="preserve">(fig. 21)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0"/>
        </w:numPr>
      </w:pPr>
      <w:r>
        <w:t xml:space="preserve">(fig. 21)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62" w:name="fig:020"/>
      <w:r>
        <w:drawing>
          <wp:inline>
            <wp:extent cx="5334000" cy="6120006"/>
            <wp:effectExtent b="0" l="0" r="0" t="0"/>
            <wp:docPr descr="Figure 20: Решение СЛАУ с двумя неизвестными - 1" title="" id="1" name="Picture"/>
            <a:graphic>
              <a:graphicData uri="http://schemas.openxmlformats.org/drawingml/2006/picture">
                <pic:pic>
                  <pic:nvPicPr>
                    <pic:cNvPr descr="pics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20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Решение СЛАУ с двумя неизвестными - 1</w:t>
      </w:r>
    </w:p>
    <w:p>
      <w:pPr>
        <w:pStyle w:val="CaptionedFigure"/>
      </w:pPr>
      <w:bookmarkStart w:id="64" w:name="fig:021"/>
      <w:r>
        <w:drawing>
          <wp:inline>
            <wp:extent cx="5334000" cy="2596530"/>
            <wp:effectExtent b="0" l="0" r="0" t="0"/>
            <wp:docPr descr="Figure 21: Решение СЛАУ с двумя неизвестными - 2" title="" id="1" name="Picture"/>
            <a:graphic>
              <a:graphicData uri="http://schemas.openxmlformats.org/drawingml/2006/picture">
                <pic:pic>
                  <pic:nvPicPr>
                    <pic:cNvPr descr="pics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6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Решение СЛАУ с двумя неизвестными - 2</w:t>
      </w:r>
    </w:p>
    <w:p>
      <w:pPr>
        <w:pStyle w:val="BodyText"/>
      </w:pPr>
      <w:r>
        <w:t xml:space="preserve">2.2. Решить СЛАУ с тремя неизвестными.</w:t>
      </w:r>
    </w:p>
    <w:p>
      <w:pPr>
        <w:numPr>
          <w:ilvl w:val="0"/>
          <w:numId w:val="1011"/>
        </w:numPr>
      </w:pPr>
      <w:r>
        <w:t xml:space="preserve">(fig. 22)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3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1"/>
        </w:numPr>
      </w:pPr>
      <w:r>
        <w:t xml:space="preserve">(fig. 22)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2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4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3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1"/>
        </w:numPr>
      </w:pPr>
      <w:r>
        <w:t xml:space="preserve">Система имеет бесконечно много решений, поэтому программа выдает ошибку.(fig. 22)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1"/>
        </w:numPr>
      </w:pPr>
      <w:r>
        <w:t xml:space="preserve">Система не имеет решений, поэтому программа выдает ошибку. (fig. 23)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1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2</m:t>
                    </m:r>
                    <m:r>
                      <m:t>x</m:t>
                    </m:r>
                    <m:r>
                      <m:rPr>
                        <m:sty m:val="p"/>
                      </m:rPr>
                      <m:t>+</m:t>
                    </m:r>
                    <m:r>
                      <m:t>2</m:t>
                    </m:r>
                    <m:r>
                      <m:t>y</m:t>
                    </m:r>
                    <m:r>
                      <m:rPr>
                        <m:sty m:val="p"/>
                      </m:rPr>
                      <m:t>+</m:t>
                    </m:r>
                    <m:r>
                      <m:t>3</m:t>
                    </m:r>
                    <m:r>
                      <m:t>z</m:t>
                    </m:r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  <m:r>
                      <m:rPr>
                        <m:sty m:val="p"/>
                      </m:rPr>
                      <m:t>.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66" w:name="fig:022"/>
      <w:r>
        <w:drawing>
          <wp:inline>
            <wp:extent cx="5334000" cy="4125176"/>
            <wp:effectExtent b="0" l="0" r="0" t="0"/>
            <wp:docPr descr="Figure 22: Решение СЛАУ с тремя неизвестными - 1" title="" id="1" name="Picture"/>
            <a:graphic>
              <a:graphicData uri="http://schemas.openxmlformats.org/drawingml/2006/picture">
                <pic:pic>
                  <pic:nvPicPr>
                    <pic:cNvPr descr="pics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5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Решение СЛАУ с тремя неизвестными - 1</w:t>
      </w:r>
    </w:p>
    <w:p>
      <w:pPr>
        <w:pStyle w:val="CaptionedFigure"/>
      </w:pPr>
      <w:bookmarkStart w:id="68" w:name="fig:023"/>
      <w:r>
        <w:drawing>
          <wp:inline>
            <wp:extent cx="5334000" cy="3545158"/>
            <wp:effectExtent b="0" l="0" r="0" t="0"/>
            <wp:docPr descr="Figure 23: Решение СЛАУ с тремя неизвестными - 2" title="" id="1" name="Picture"/>
            <a:graphic>
              <a:graphicData uri="http://schemas.openxmlformats.org/drawingml/2006/picture">
                <pic:pic>
                  <pic:nvPicPr>
                    <pic:cNvPr descr="pics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5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Решение СЛАУ с тремя неизвестными - 2</w:t>
      </w:r>
    </w:p>
    <w:p>
      <w:pPr>
        <w:numPr>
          <w:ilvl w:val="0"/>
          <w:numId w:val="1012"/>
        </w:numPr>
        <w:pStyle w:val="Compact"/>
      </w:pPr>
      <w:r>
        <w:t xml:space="preserve">Операции с матрицами.</w:t>
      </w:r>
    </w:p>
    <w:p>
      <w:pPr>
        <w:pStyle w:val="FirstParagraph"/>
      </w:pPr>
      <w:r>
        <w:t xml:space="preserve">3.1. Приведите матрицы к диагональному виду.</w:t>
      </w:r>
    </w:p>
    <w:p>
      <w:pPr>
        <w:numPr>
          <w:ilvl w:val="0"/>
          <w:numId w:val="1013"/>
        </w:numPr>
      </w:pPr>
      <w:r>
        <w:t xml:space="preserve">(fig. 24)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3"/>
        </w:numPr>
      </w:pPr>
      <w:r>
        <w:t xml:space="preserve">(fig. 24)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  <m:e>
                    <m:r>
                      <m:t>3</m:t>
                    </m:r>
                  </m:e>
                </m:mr>
              </m:m>
            </m:e>
          </m:d>
        </m:oMath>
      </m:oMathPara>
    </w:p>
    <w:p>
      <w:pPr>
        <w:numPr>
          <w:ilvl w:val="0"/>
          <w:numId w:val="1013"/>
        </w:numPr>
      </w:pPr>
      <w:r>
        <w:t xml:space="preserve">(fig. 24)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  <m:e>
                    <m: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2</m:t>
                    </m:r>
                  </m:e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2</m:t>
                    </m:r>
                  </m:e>
                  <m:e>
                    <m:r>
                      <m:t>0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0" w:name="fig:024"/>
      <w:r>
        <w:drawing>
          <wp:inline>
            <wp:extent cx="5334000" cy="3181969"/>
            <wp:effectExtent b="0" l="0" r="0" t="0"/>
            <wp:docPr descr="Figure 24: Приведение матриц к диагональному виду" title="" id="1" name="Picture"/>
            <a:graphic>
              <a:graphicData uri="http://schemas.openxmlformats.org/drawingml/2006/picture">
                <pic:pic>
                  <pic:nvPicPr>
                    <pic:cNvPr descr="pics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19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Приведение матриц к диагональному виду</w:t>
      </w:r>
    </w:p>
    <w:p>
      <w:pPr>
        <w:pStyle w:val="BodyText"/>
      </w:pPr>
      <w:r>
        <w:t xml:space="preserve">3.2. Вычислить:</w:t>
      </w:r>
    </w:p>
    <w:p>
      <w:pPr>
        <w:numPr>
          <w:ilvl w:val="0"/>
          <w:numId w:val="1014"/>
        </w:numPr>
      </w:pPr>
      <w:r>
        <w:t xml:space="preserve">(fig. 25)</w:t>
      </w:r>
    </w:p>
    <w:p>
      <w:pPr>
        <w:pStyle w:val="BodyText"/>
      </w:pPr>
      <m:oMathPara>
        <m:oMathParaPr>
          <m:jc m:val="center"/>
        </m:oMathParaPr>
        <m:oMath>
          <m:sSup>
            <m:e>
              <m:d>
                <m:dPr>
                  <m:begChr m:val="("/>
                  <m:endChr m:val=")"/>
                  <m:grow/>
                </m:dPr>
                <m:e>
                  <m:m>
                    <m:mPr>
                      <m:baseJc m:val="center"/>
                      <m:plcHide m:val="1"/>
                      <m:mcs>
                        <m:mc>
                          <m:mcPr>
                            <m:mcJc m:val="center"/>
                            <m:count m:val="1"/>
                          </m:mcPr>
                        </m:mc>
                        <m:mc>
                          <m:mcPr>
                            <m:mcJc m:val="center"/>
                            <m:count m:val="1"/>
                          </m:mcPr>
                        </m:mc>
                      </m:mcs>
                    </m:mPr>
                    <m:mr>
                      <m:e>
                        <m: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  <m:e>
                        <m:r>
                          <m:t>1</m:t>
                        </m:r>
                      </m:e>
                    </m:mr>
                  </m:m>
                </m:e>
              </m:d>
            </m:e>
            <m:sup>
              <m:r>
                <m:t>10</m:t>
              </m:r>
            </m:sup>
          </m:sSup>
        </m:oMath>
      </m:oMathPara>
    </w:p>
    <w:p>
      <w:pPr>
        <w:numPr>
          <w:ilvl w:val="0"/>
          <w:numId w:val="1014"/>
        </w:numPr>
      </w:pPr>
      <w:r>
        <w:t xml:space="preserve">(fig. 25)</w:t>
      </w:r>
    </w:p>
    <w:p>
      <w:pPr>
        <w:pStyle w:val="BodyText"/>
      </w:pPr>
      <m:oMathPara>
        <m:oMathParaPr>
          <m:jc m:val="center"/>
        </m:oMathParaPr>
        <m:oMath>
          <m:rad>
            <m:radPr>
              <m:degHide m:val="1"/>
            </m:radPr>
            <m:deg/>
            <m:e>
              <m:d>
                <m:dPr>
                  <m:begChr m:val="("/>
                  <m:endChr m:val=")"/>
                  <m:grow/>
                </m:dPr>
                <m:e>
                  <m:m>
                    <m:mPr>
                      <m:baseJc m:val="center"/>
                      <m:plcHide m:val="1"/>
                      <m:mcs>
                        <m:mc>
                          <m:mcPr>
                            <m:mcJc m:val="center"/>
                            <m:count m:val="1"/>
                          </m:mcPr>
                        </m:mc>
                        <m:mc>
                          <m:mcPr>
                            <m:mcJc m:val="center"/>
                            <m:count m:val="1"/>
                          </m:mcPr>
                        </m:mc>
                      </m:mcs>
                    </m:mPr>
                    <m:mr>
                      <m:e>
                        <m:r>
                          <m:t>5</m:t>
                        </m:r>
                      </m:e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  <m:e>
                        <m:r>
                          <m:t>5</m:t>
                        </m:r>
                      </m:e>
                    </m:mr>
                  </m:m>
                </m:e>
              </m:d>
            </m:e>
          </m:rad>
        </m:oMath>
      </m:oMathPara>
    </w:p>
    <w:p>
      <w:pPr>
        <w:numPr>
          <w:ilvl w:val="0"/>
          <w:numId w:val="1014"/>
        </w:numPr>
      </w:pPr>
      <w:r>
        <w:t xml:space="preserve">(fig. 25)</w:t>
      </w:r>
    </w:p>
    <w:p>
      <w:pPr>
        <w:pStyle w:val="BodyText"/>
      </w:pPr>
      <m:oMathPara>
        <m:oMathParaPr>
          <m:jc m:val="center"/>
        </m:oMathParaPr>
        <m:oMath>
          <m:rad>
            <m:deg>
              <m:r>
                <m:t>3</m:t>
              </m:r>
            </m:deg>
            <m:e>
              <m:d>
                <m:dPr>
                  <m:begChr m:val="("/>
                  <m:endChr m:val=")"/>
                  <m:grow/>
                </m:dPr>
                <m:e>
                  <m:m>
                    <m:mPr>
                      <m:baseJc m:val="center"/>
                      <m:plcHide m:val="1"/>
                      <m:mcs>
                        <m:mc>
                          <m:mcPr>
                            <m:mcJc m:val="center"/>
                            <m:count m:val="1"/>
                          </m:mcPr>
                        </m:mc>
                        <m:mc>
                          <m:mcPr>
                            <m:mcJc m:val="center"/>
                            <m:count m:val="1"/>
                          </m:mcPr>
                        </m:mc>
                      </m:mcs>
                    </m:mPr>
                    <m:mr>
                      <m:e>
                        <m:r>
                          <m:t>1</m:t>
                        </m:r>
                      </m:e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2</m:t>
                        </m:r>
                      </m:e>
                      <m:e>
                        <m:r>
                          <m:t>1</m:t>
                        </m:r>
                      </m:e>
                    </m:mr>
                  </m:m>
                </m:e>
              </m:d>
            </m:e>
          </m:rad>
        </m:oMath>
      </m:oMathPara>
    </w:p>
    <w:p>
      <w:pPr>
        <w:numPr>
          <w:ilvl w:val="0"/>
          <w:numId w:val="1014"/>
        </w:numPr>
      </w:pPr>
      <w:r>
        <w:t xml:space="preserve">(fig. 25)</w:t>
      </w:r>
    </w:p>
    <w:p>
      <w:pPr>
        <w:pStyle w:val="BodyText"/>
      </w:pPr>
      <m:oMathPara>
        <m:oMathParaPr>
          <m:jc m:val="center"/>
        </m:oMathParaPr>
        <m:oMath>
          <m:rad>
            <m:radPr>
              <m:degHide m:val="1"/>
            </m:radPr>
            <m:deg/>
            <m:e>
              <m:d>
                <m:dPr>
                  <m:begChr m:val="("/>
                  <m:endChr m:val=")"/>
                  <m:grow/>
                </m:dPr>
                <m:e>
                  <m:m>
                    <m:mPr>
                      <m:baseJc m:val="center"/>
                      <m:plcHide m:val="1"/>
                      <m:mcs>
                        <m:mc>
                          <m:mcPr>
                            <m:mcJc m:val="center"/>
                            <m:count m:val="1"/>
                          </m:mcPr>
                        </m:mc>
                        <m:mc>
                          <m:mcPr>
                            <m:mcJc m:val="center"/>
                            <m:count m:val="1"/>
                          </m:mcPr>
                        </m:mc>
                      </m:mcs>
                    </m:mPr>
                    <m:mr>
                      <m:e>
                        <m:r>
                          <m:t>1</m:t>
                        </m:r>
                      </m:e>
                      <m:e>
                        <m:r>
                          <m:t>2</m:t>
                        </m:r>
                      </m:e>
                    </m:mr>
                    <m:mr>
                      <m:e>
                        <m:r>
                          <m:t>2</m:t>
                        </m:r>
                      </m:e>
                      <m:e>
                        <m:r>
                          <m:t>3</m:t>
                        </m:r>
                      </m:e>
                    </m:mr>
                  </m:m>
                </m:e>
              </m:d>
            </m:e>
          </m:rad>
        </m:oMath>
      </m:oMathPara>
    </w:p>
    <w:p>
      <w:pPr>
        <w:pStyle w:val="CaptionedFigure"/>
      </w:pPr>
      <w:bookmarkStart w:id="72" w:name="fig:025"/>
      <w:r>
        <w:drawing>
          <wp:inline>
            <wp:extent cx="5334000" cy="3284963"/>
            <wp:effectExtent b="0" l="0" r="0" t="0"/>
            <wp:docPr descr="Figure 25: Вычисление операций над матрицами" title="" id="1" name="Picture"/>
            <a:graphic>
              <a:graphicData uri="http://schemas.openxmlformats.org/drawingml/2006/picture">
                <pic:pic>
                  <pic:nvPicPr>
                    <pic:cNvPr descr="pics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4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25: Вычисление операций над матрицами</w:t>
      </w:r>
    </w:p>
    <w:p>
      <w:pPr>
        <w:pStyle w:val="BodyText"/>
      </w:pPr>
      <w:r>
        <w:t xml:space="preserve">3.3. Найти собственные значения, создать диагональную матрицу из собственных значений и нижнедиагональную матрицу из исходной, оценить эффективность выполнения операций. (fig. 26)</w:t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140</m:t>
                    </m:r>
                  </m:e>
                  <m:e>
                    <m:r>
                      <m:t>97</m:t>
                    </m:r>
                  </m:e>
                  <m:e>
                    <m:r>
                      <m:t>74</m:t>
                    </m:r>
                  </m:e>
                  <m:e>
                    <m:r>
                      <m:t>168</m:t>
                    </m:r>
                  </m:e>
                  <m:e>
                    <m:r>
                      <m:t>131</m:t>
                    </m:r>
                  </m:e>
                </m:mr>
                <m:mr>
                  <m:e>
                    <m:r>
                      <m:t>97</m:t>
                    </m:r>
                  </m:e>
                  <m:e>
                    <m:r>
                      <m:t>106</m:t>
                    </m:r>
                  </m:e>
                  <m:e>
                    <m:r>
                      <m:t>89</m:t>
                    </m:r>
                  </m:e>
                  <m:e>
                    <m:r>
                      <m:t>131</m:t>
                    </m:r>
                  </m:e>
                  <m:e>
                    <m:r>
                      <m:t>36</m:t>
                    </m:r>
                  </m:e>
                </m:mr>
                <m:mr>
                  <m:e>
                    <m:r>
                      <m:t>74</m:t>
                    </m:r>
                  </m:e>
                  <m:e>
                    <m:r>
                      <m:t>89</m:t>
                    </m:r>
                  </m:e>
                  <m:e>
                    <m:r>
                      <m:t>152</m:t>
                    </m:r>
                  </m:e>
                  <m:e>
                    <m:r>
                      <m:t>144</m:t>
                    </m:r>
                  </m:e>
                  <m:e>
                    <m:r>
                      <m:t>71</m:t>
                    </m:r>
                  </m:e>
                </m:mr>
                <m:mr>
                  <m:e>
                    <m:r>
                      <m:t>168</m:t>
                    </m:r>
                  </m:e>
                  <m:e>
                    <m:r>
                      <m:t>131</m:t>
                    </m:r>
                  </m:e>
                  <m:e>
                    <m:r>
                      <m:t>144</m:t>
                    </m:r>
                  </m:e>
                  <m:e>
                    <m:r>
                      <m:t>54</m:t>
                    </m:r>
                  </m:e>
                  <m:e>
                    <m:r>
                      <m:t>142</m:t>
                    </m:r>
                  </m:e>
                </m:mr>
                <m:mr>
                  <m:e>
                    <m:r>
                      <m:t>131</m:t>
                    </m:r>
                  </m:e>
                  <m:e>
                    <m:r>
                      <m:t>36</m:t>
                    </m:r>
                  </m:e>
                  <m:e>
                    <m:r>
                      <m:t>71</m:t>
                    </m:r>
                  </m:e>
                  <m:e>
                    <m:r>
                      <m:t>142</m:t>
                    </m:r>
                  </m:e>
                  <m:e>
                    <m:r>
                      <m:t>36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4" w:name="fig:026"/>
      <w:r>
        <w:drawing>
          <wp:inline>
            <wp:extent cx="5334000" cy="5382786"/>
            <wp:effectExtent b="0" l="0" r="0" t="0"/>
            <wp:docPr descr="Figure 26: Нахождение собственных значений, составление диагональной матрицы из собственных значений, составление нижнедтиагонально матрицы и оценивание эффективности этих операций." title="" id="1" name="Picture"/>
            <a:graphic>
              <a:graphicData uri="http://schemas.openxmlformats.org/drawingml/2006/picture">
                <pic:pic>
                  <pic:nvPicPr>
                    <pic:cNvPr descr="pics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827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26: Нахождение собственных значений, составление диагональной матрицы из собственных значений, составление нижнедтиагонально матрицы и оценивание эффективности этих операций.</w:t>
      </w:r>
    </w:p>
    <w:p>
      <w:pPr>
        <w:numPr>
          <w:ilvl w:val="0"/>
          <w:numId w:val="1015"/>
        </w:numPr>
        <w:pStyle w:val="Compact"/>
      </w:pPr>
      <w:r>
        <w:t xml:space="preserve">Линейные модели экономики.</w:t>
      </w:r>
    </w:p>
    <w:p>
      <w:pPr>
        <w:pStyle w:val="FirstParagraph"/>
      </w:pPr>
      <w:r>
        <w:t xml:space="preserve">Линейная модель:</w:t>
      </w:r>
    </w:p>
    <w:p>
      <w:pPr>
        <w:pStyle w:val="BodyTex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A</m:t>
          </m:r>
          <m:r>
            <m:t>x</m:t>
          </m:r>
          <m:r>
            <m:rPr>
              <m:sty m:val="p"/>
            </m:rPr>
            <m:t>=</m:t>
          </m:r>
          <m:r>
            <m:t>y</m:t>
          </m:r>
        </m:oMath>
      </m:oMathPara>
    </w:p>
    <w:p>
      <w:pPr>
        <w:pStyle w:val="FirstParagraph"/>
      </w:pPr>
      <w:r>
        <w:t xml:space="preserve">Проверить являются ли матрицы A продуктивными по критерию:</w:t>
      </w:r>
    </w:p>
    <w:p>
      <w:pPr>
        <w:pStyle w:val="BodyText"/>
      </w:pPr>
      <w:r>
        <w:t xml:space="preserve">4.1. Критерий: Решение системы х при любом неотрицательном y имеет только неотрицательные элементы.</w:t>
      </w:r>
    </w:p>
    <w:p>
      <w:pPr>
        <w:numPr>
          <w:ilvl w:val="0"/>
          <w:numId w:val="1016"/>
        </w:numPr>
        <w:pStyle w:val="Compact"/>
      </w:pPr>
      <w:r>
        <w:t xml:space="preserve">(fig. 27)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4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b)(fig. 27)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4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c)(fig. 27)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10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4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6" w:name="fig:027"/>
      <w:r>
        <w:drawing>
          <wp:inline>
            <wp:extent cx="5334000" cy="2428487"/>
            <wp:effectExtent b="0" l="0" r="0" t="0"/>
            <wp:docPr descr="Figure 27: Проверка продуктивности матрицы А по критерию 1" title="" id="1" name="Picture"/>
            <a:graphic>
              <a:graphicData uri="http://schemas.openxmlformats.org/drawingml/2006/picture">
                <pic:pic>
                  <pic:nvPicPr>
                    <pic:cNvPr descr="pics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27: Проверка продуктивности матрицы А по критерию 1</w:t>
      </w:r>
    </w:p>
    <w:p>
      <w:pPr>
        <w:pStyle w:val="BodyText"/>
      </w:pPr>
      <w:r>
        <w:t xml:space="preserve">4.2. Все элементы матрицы</w:t>
      </w:r>
      <w:r>
        <w:t xml:space="preserve"> </w:t>
      </w:r>
      <m:oMath>
        <m:sSup>
          <m:e>
            <m:d>
              <m:dPr>
                <m:begChr m:val="("/>
                <m:endChr m:val=")"/>
                <m:grow/>
              </m:dPr>
              <m:e>
                <m:r>
                  <m:t>E</m:t>
                </m:r>
                <m:r>
                  <m:rPr>
                    <m:sty m:val="p"/>
                  </m:rPr>
                  <m:t>−</m:t>
                </m:r>
                <m:r>
                  <m:t>A</m:t>
                </m:r>
              </m:e>
            </m:d>
          </m:e>
          <m:sup>
            <m:r>
              <m:rPr>
                <m:sty m:val="p"/>
              </m:rPr>
              <m:t>−</m:t>
            </m:r>
            <m:r>
              <m:t>1</m:t>
            </m:r>
          </m:sup>
        </m:sSup>
      </m:oMath>
      <w:r>
        <w:t xml:space="preserve"> </w:t>
      </w:r>
      <w:r>
        <w:t xml:space="preserve">- неотрицательные числа.</w:t>
      </w:r>
    </w:p>
    <w:p>
      <w:pPr>
        <w:numPr>
          <w:ilvl w:val="0"/>
          <w:numId w:val="1017"/>
        </w:numPr>
        <w:pStyle w:val="Compact"/>
      </w:pPr>
      <w:r>
        <w:t xml:space="preserve">(fig. 28)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b)(fig. 28)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c)(fig. 28)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10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78" w:name="fig:028"/>
      <w:r>
        <w:drawing>
          <wp:inline>
            <wp:extent cx="5334000" cy="1989408"/>
            <wp:effectExtent b="0" l="0" r="0" t="0"/>
            <wp:docPr descr="Figure 28: Проверка продуктивности матрицы А по критерию 2" title="" id="1" name="Picture"/>
            <a:graphic>
              <a:graphicData uri="http://schemas.openxmlformats.org/drawingml/2006/picture">
                <pic:pic>
                  <pic:nvPicPr>
                    <pic:cNvPr descr="pics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9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28: Проверка продуктивности матрицы А по критерию 2</w:t>
      </w:r>
    </w:p>
    <w:p>
      <w:pPr>
        <w:pStyle w:val="BodyText"/>
      </w:pPr>
      <w:r>
        <w:t xml:space="preserve">4.3. Все собственные значения матрицы А по модулю меньше 1.</w:t>
      </w:r>
    </w:p>
    <w:p>
      <w:pPr>
        <w:numPr>
          <w:ilvl w:val="0"/>
          <w:numId w:val="1018"/>
        </w:numPr>
        <w:pStyle w:val="Compact"/>
      </w:pPr>
      <w:r>
        <w:t xml:space="preserve">(fig. 29)</w:t>
      </w:r>
    </w:p>
    <w:p>
      <w:pPr>
        <w:pStyle w:val="Compac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b)(fig. 29)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2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c)(fig. 29)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1</m:t>
              </m:r>
            </m:num>
            <m:den>
              <m:r>
                <m:t>10</m:t>
              </m:r>
            </m:den>
          </m:f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1</m:t>
                    </m:r>
                  </m:e>
                  <m:e>
                    <m:r>
                      <m:t>2</m:t>
                    </m:r>
                  </m:e>
                </m:mr>
                <m:mr>
                  <m:e>
                    <m:r>
                      <m:t>3</m:t>
                    </m:r>
                  </m:e>
                  <m:e>
                    <m:r>
                      <m:t>1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d)(fig. 29)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("/>
              <m:endChr m:val=")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t>0.1</m:t>
                    </m:r>
                  </m:e>
                  <m:e>
                    <m:r>
                      <m:t>0.2</m:t>
                    </m:r>
                  </m:e>
                  <m:e>
                    <m:r>
                      <m:t>0.3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0.1</m:t>
                    </m:r>
                  </m:e>
                  <m:e>
                    <m:r>
                      <m:t>0.2</m:t>
                    </m:r>
                  </m:e>
                </m:mr>
                <m:mr>
                  <m:e>
                    <m:r>
                      <m:t>0</m:t>
                    </m:r>
                  </m:e>
                  <m:e>
                    <m:r>
                      <m:t>0.1</m:t>
                    </m:r>
                  </m:e>
                  <m:e>
                    <m:r>
                      <m:t>0.3</m:t>
                    </m:r>
                  </m:e>
                </m:mr>
              </m:m>
            </m:e>
          </m:d>
        </m:oMath>
      </m:oMathPara>
    </w:p>
    <w:p>
      <w:pPr>
        <w:pStyle w:val="CaptionedFigure"/>
      </w:pPr>
      <w:bookmarkStart w:id="80" w:name="fig:029"/>
      <w:r>
        <w:drawing>
          <wp:inline>
            <wp:extent cx="5334000" cy="2412225"/>
            <wp:effectExtent b="0" l="0" r="0" t="0"/>
            <wp:docPr descr="Figure 29: Проверка продуктивности матрицы А по критерию 3" title="" id="1" name="Picture"/>
            <a:graphic>
              <a:graphicData uri="http://schemas.openxmlformats.org/drawingml/2006/picture">
                <pic:pic>
                  <pic:nvPicPr>
                    <pic:cNvPr descr="pics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29: Проверка продуктивности матрицы А по критерию 3</w:t>
      </w:r>
    </w:p>
    <w:bookmarkEnd w:id="81"/>
    <w:bookmarkEnd w:id="82"/>
    <w:bookmarkStart w:id="83" w:name="листинг"/>
    <w:p>
      <w:pPr>
        <w:pStyle w:val="Heading1"/>
      </w:pPr>
      <w:r>
        <w:t xml:space="preserve">Листинг</w:t>
      </w:r>
    </w:p>
    <w:p>
      <w:pPr>
        <w:pStyle w:val="SourceCode"/>
      </w:pPr>
      <w:r>
        <w:rPr>
          <w:rStyle w:val="CommentTok"/>
        </w:rPr>
        <w:t xml:space="preserve"># -*- coding: utf-8 -*-</w:t>
      </w:r>
      <w:r>
        <w:br/>
      </w:r>
      <w:r>
        <w:rPr>
          <w:rStyle w:val="CommentTok"/>
        </w:rPr>
        <w:t xml:space="preserve"># ---</w:t>
      </w:r>
      <w:r>
        <w:br/>
      </w:r>
      <w:r>
        <w:rPr>
          <w:rStyle w:val="CommentTok"/>
        </w:rPr>
        <w:t xml:space="preserve"># jupyter:</w:t>
      </w:r>
      <w:r>
        <w:br/>
      </w:r>
      <w:r>
        <w:rPr>
          <w:rStyle w:val="CommentTok"/>
        </w:rPr>
        <w:t xml:space="preserve">#   jupytext:</w:t>
      </w:r>
      <w:r>
        <w:br/>
      </w:r>
      <w:r>
        <w:rPr>
          <w:rStyle w:val="CommentTok"/>
        </w:rPr>
        <w:t xml:space="preserve">#     text_representation:</w:t>
      </w:r>
      <w:r>
        <w:br/>
      </w:r>
      <w:r>
        <w:rPr>
          <w:rStyle w:val="CommentTok"/>
        </w:rPr>
        <w:t xml:space="preserve">#       extension: .jl</w:t>
      </w:r>
      <w:r>
        <w:br/>
      </w:r>
      <w:r>
        <w:rPr>
          <w:rStyle w:val="CommentTok"/>
        </w:rPr>
        <w:t xml:space="preserve">#       format_name: light</w:t>
      </w:r>
      <w:r>
        <w:br/>
      </w:r>
      <w:r>
        <w:rPr>
          <w:rStyle w:val="CommentTok"/>
        </w:rPr>
        <w:t xml:space="preserve">#       format_version: '1.5'</w:t>
      </w:r>
      <w:r>
        <w:br/>
      </w:r>
      <w:r>
        <w:rPr>
          <w:rStyle w:val="CommentTok"/>
        </w:rPr>
        <w:t xml:space="preserve">#       jupytext_version: 1.14.1</w:t>
      </w:r>
      <w:r>
        <w:br/>
      </w:r>
      <w:r>
        <w:rPr>
          <w:rStyle w:val="CommentTok"/>
        </w:rPr>
        <w:t xml:space="preserve">#   kernelspec:</w:t>
      </w:r>
      <w:r>
        <w:br/>
      </w:r>
      <w:r>
        <w:rPr>
          <w:rStyle w:val="CommentTok"/>
        </w:rPr>
        <w:t xml:space="preserve">#     display_name: Julia 1.8.2</w:t>
      </w:r>
      <w:r>
        <w:br/>
      </w:r>
      <w:r>
        <w:rPr>
          <w:rStyle w:val="CommentTok"/>
        </w:rPr>
        <w:t xml:space="preserve">#     language: julia</w:t>
      </w:r>
      <w:r>
        <w:br/>
      </w:r>
      <w:r>
        <w:rPr>
          <w:rStyle w:val="CommentTok"/>
        </w:rPr>
        <w:t xml:space="preserve">#     name: julia-1.8</w:t>
      </w:r>
      <w:r>
        <w:br/>
      </w:r>
      <w:r>
        <w:rPr>
          <w:rStyle w:val="CommentTok"/>
        </w:rPr>
        <w:t xml:space="preserve"># ---</w:t>
      </w:r>
      <w:r>
        <w:br/>
      </w:r>
      <w:r>
        <w:br/>
      </w:r>
      <w:r>
        <w:rPr>
          <w:rStyle w:val="CommentTok"/>
        </w:rPr>
        <w:t xml:space="preserve"># Массив 4x3 со случайными целыми числами (от 1 до 20):</w:t>
      </w:r>
      <w:r>
        <w:br/>
      </w:r>
      <w:r>
        <w:rPr>
          <w:rStyle w:val="NormalTok"/>
        </w:rPr>
        <w:t xml:space="preserve">  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Поэлементная сумма:</w:t>
      </w:r>
      <w:r>
        <w:br/>
      </w:r>
      <w:r>
        <w:rPr>
          <w:rStyle w:val="NormalTok"/>
        </w:rPr>
        <w:t xml:space="preserve">sum(a)</w:t>
      </w:r>
      <w:r>
        <w:br/>
      </w:r>
      <w:r>
        <w:br/>
      </w:r>
      <w:r>
        <w:rPr>
          <w:rStyle w:val="CommentTok"/>
        </w:rPr>
        <w:t xml:space="preserve"># Поэлементная сумма по столбцам:</w:t>
      </w:r>
      <w:r>
        <w:br/>
      </w:r>
      <w:r>
        <w:rPr>
          <w:rStyle w:val="NormalTok"/>
        </w:rPr>
        <w:t xml:space="preserve">sum(a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Поэлементная сумма по строкам:</w:t>
      </w:r>
      <w:r>
        <w:br/>
      </w:r>
      <w:r>
        <w:rPr>
          <w:rStyle w:val="NormalTok"/>
        </w:rPr>
        <w:t xml:space="preserve">sum(a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Поэлементное произведение:</w:t>
      </w:r>
      <w:r>
        <w:br/>
      </w:r>
      <w:r>
        <w:rPr>
          <w:rStyle w:val="NormalTok"/>
        </w:rPr>
        <w:t xml:space="preserve">prod(a)</w:t>
      </w:r>
      <w:r>
        <w:br/>
      </w:r>
      <w:r>
        <w:br/>
      </w:r>
      <w:r>
        <w:rPr>
          <w:rStyle w:val="CommentTok"/>
        </w:rPr>
        <w:t xml:space="preserve"># Поэлементное произведение по столбцам:</w:t>
      </w:r>
      <w:r>
        <w:br/>
      </w:r>
      <w:r>
        <w:rPr>
          <w:rStyle w:val="NormalTok"/>
        </w:rPr>
        <w:t xml:space="preserve">prod(a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Поэлементное произведение по строкам:</w:t>
      </w:r>
      <w:r>
        <w:br/>
      </w:r>
      <w:r>
        <w:rPr>
          <w:rStyle w:val="NormalTok"/>
        </w:rPr>
        <w:t xml:space="preserve">prod(a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Подключение пакета Statistics: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Pkg</w:t>
      </w:r>
      <w:r>
        <w:br/>
      </w:r>
      <w:r>
        <w:rPr>
          <w:rStyle w:val="NormalTok"/>
        </w:rPr>
        <w:t xml:space="preserve">Pkg.add(</w:t>
      </w:r>
      <w:r>
        <w:rPr>
          <w:rStyle w:val="StringTok"/>
        </w:rPr>
        <w:t xml:space="preserve">"Statistics"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Statistics</w:t>
      </w:r>
      <w:r>
        <w:br/>
      </w:r>
      <w:r>
        <w:br/>
      </w:r>
      <w:r>
        <w:rPr>
          <w:rStyle w:val="CommentTok"/>
        </w:rPr>
        <w:t xml:space="preserve"># Вычисление среднего значения массива:</w:t>
      </w:r>
      <w:r>
        <w:br/>
      </w:r>
      <w:r>
        <w:rPr>
          <w:rStyle w:val="NormalTok"/>
        </w:rPr>
        <w:t xml:space="preserve">mean(a)</w:t>
      </w:r>
      <w:r>
        <w:br/>
      </w:r>
      <w:r>
        <w:br/>
      </w:r>
      <w:r>
        <w:rPr>
          <w:rStyle w:val="CommentTok"/>
        </w:rPr>
        <w:t xml:space="preserve"># Среднее по столбцам:</w:t>
      </w:r>
      <w:r>
        <w:br/>
      </w:r>
      <w:r>
        <w:rPr>
          <w:rStyle w:val="NormalTok"/>
        </w:rPr>
        <w:t xml:space="preserve">mean(a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Среднее по строкам:</w:t>
      </w:r>
      <w:r>
        <w:br/>
      </w:r>
      <w:r>
        <w:rPr>
          <w:rStyle w:val="NormalTok"/>
        </w:rPr>
        <w:t xml:space="preserve">mean(a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Подключение пакета LinearAlgebra:</w:t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Pkg</w:t>
      </w:r>
      <w:r>
        <w:br/>
      </w:r>
      <w:r>
        <w:rPr>
          <w:rStyle w:val="NormalTok"/>
        </w:rPr>
        <w:t xml:space="preserve">Pkg.add(</w:t>
      </w:r>
      <w:r>
        <w:rPr>
          <w:rStyle w:val="StringTok"/>
        </w:rPr>
        <w:t xml:space="preserve">"LinearAlgebra"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LinearAlgebra</w:t>
      </w:r>
      <w:r>
        <w:br/>
      </w:r>
      <w:r>
        <w:br/>
      </w:r>
      <w:r>
        <w:rPr>
          <w:rStyle w:val="CommentTok"/>
        </w:rPr>
        <w:t xml:space="preserve"># Массив 4x4 со случайными целыми числами (от 1 до 20):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20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Транспонирование:</w:t>
      </w:r>
      <w:r>
        <w:br/>
      </w:r>
      <w:r>
        <w:rPr>
          <w:rStyle w:val="NormalTok"/>
        </w:rPr>
        <w:t xml:space="preserve">transpose(b)</w:t>
      </w:r>
      <w:r>
        <w:br/>
      </w:r>
      <w:r>
        <w:br/>
      </w:r>
      <w:r>
        <w:rPr>
          <w:rStyle w:val="CommentTok"/>
        </w:rPr>
        <w:t xml:space="preserve"># След матрицы (сумма диагональных элементов):</w:t>
      </w:r>
      <w:r>
        <w:br/>
      </w:r>
      <w:r>
        <w:rPr>
          <w:rStyle w:val="NormalTok"/>
        </w:rPr>
        <w:t xml:space="preserve">tr(b)</w:t>
      </w:r>
      <w:r>
        <w:br/>
      </w:r>
      <w:r>
        <w:br/>
      </w:r>
      <w:r>
        <w:rPr>
          <w:rStyle w:val="CommentTok"/>
        </w:rPr>
        <w:t xml:space="preserve"># Извлечение диагональных элементов как массив:</w:t>
      </w:r>
      <w:r>
        <w:br/>
      </w:r>
      <w:r>
        <w:rPr>
          <w:rStyle w:val="NormalTok"/>
        </w:rPr>
        <w:t xml:space="preserve">diag(b)</w:t>
      </w:r>
      <w:r>
        <w:br/>
      </w:r>
      <w:r>
        <w:br/>
      </w:r>
      <w:r>
        <w:rPr>
          <w:rStyle w:val="CommentTok"/>
        </w:rPr>
        <w:t xml:space="preserve"># Ранг матрицы:</w:t>
      </w:r>
      <w:r>
        <w:br/>
      </w:r>
      <w:r>
        <w:rPr>
          <w:rStyle w:val="NormalTok"/>
        </w:rPr>
        <w:t xml:space="preserve">rank(b)</w:t>
      </w:r>
      <w:r>
        <w:br/>
      </w:r>
      <w:r>
        <w:br/>
      </w:r>
      <w:r>
        <w:rPr>
          <w:rStyle w:val="CommentTok"/>
        </w:rPr>
        <w:t xml:space="preserve"># Инверсия матрицы (определение обратной матрицы):</w:t>
      </w:r>
      <w:r>
        <w:br/>
      </w:r>
      <w:r>
        <w:rPr>
          <w:rStyle w:val="NormalTok"/>
        </w:rPr>
        <w:t xml:space="preserve">inv(b)</w:t>
      </w:r>
      <w:r>
        <w:br/>
      </w:r>
      <w:r>
        <w:br/>
      </w:r>
      <w:r>
        <w:rPr>
          <w:rStyle w:val="CommentTok"/>
        </w:rPr>
        <w:t xml:space="preserve"># Определитель матрицы:</w:t>
      </w:r>
      <w:r>
        <w:br/>
      </w:r>
      <w:r>
        <w:rPr>
          <w:rStyle w:val="NormalTok"/>
        </w:rPr>
        <w:t xml:space="preserve">det(b)</w:t>
      </w:r>
      <w:r>
        <w:br/>
      </w:r>
      <w:r>
        <w:br/>
      </w:r>
      <w:r>
        <w:rPr>
          <w:rStyle w:val="CommentTok"/>
        </w:rPr>
        <w:t xml:space="preserve"># Псевдобратная функция для прямоугольных матриц:</w:t>
      </w:r>
      <w:r>
        <w:br/>
      </w:r>
      <w:r>
        <w:rPr>
          <w:rStyle w:val="NormalTok"/>
        </w:rPr>
        <w:t xml:space="preserve">pinv(a)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Создание вектора X: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CommentTok"/>
        </w:rPr>
        <w:t xml:space="preserve"># Вычисление евклидовой нормы:</w:t>
      </w:r>
      <w:r>
        <w:br/>
      </w:r>
      <w:r>
        <w:rPr>
          <w:rStyle w:val="NormalTok"/>
        </w:rPr>
        <w:t xml:space="preserve">norm(X)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 Вычисление p-нормы:</w:t>
      </w:r>
      <w:r>
        <w:br/>
      </w:r>
      <w:r>
        <w:rPr>
          <w:rStyle w:val="NormalTok"/>
        </w:rPr>
        <w:t xml:space="preserve">p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norm(X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p)</w:t>
      </w:r>
      <w:r>
        <w:br/>
      </w:r>
      <w:r>
        <w:br/>
      </w:r>
      <w:r>
        <w:rPr>
          <w:rStyle w:val="CommentTok"/>
        </w:rPr>
        <w:t xml:space="preserve"># Расстояние между двумя векторами X и Y: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norm(X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</w:t>
      </w:r>
      <w:r>
        <w:br/>
      </w:r>
      <w:r>
        <w:br/>
      </w:r>
      <w:r>
        <w:rPr>
          <w:rStyle w:val="CommentTok"/>
        </w:rPr>
        <w:t xml:space="preserve"># Проверка по базовому определению:</w:t>
      </w:r>
      <w:r>
        <w:br/>
      </w:r>
      <w:r>
        <w:rPr>
          <w:rStyle w:val="NormalTok"/>
        </w:rPr>
        <w:t xml:space="preserve">sqrt(sum((X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Y)</w:t>
      </w:r>
      <w:r>
        <w:rPr>
          <w:rStyle w:val="OperatorTok"/>
        </w:rPr>
        <w:t xml:space="preserve">.^</w:t>
      </w:r>
      <w:r>
        <w:rPr>
          <w:rStyle w:val="Float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Угол между двумя векторами:</w:t>
      </w:r>
      <w:r>
        <w:br/>
      </w:r>
      <w:r>
        <w:rPr>
          <w:rStyle w:val="NormalTok"/>
        </w:rPr>
        <w:t xml:space="preserve">acos((transpose(X)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Y)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(norm(X)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norm(Y)))</w:t>
      </w:r>
      <w:r>
        <w:br/>
      </w:r>
      <w:r>
        <w:br/>
      </w:r>
      <w:r>
        <w:rPr>
          <w:rStyle w:val="CommentTok"/>
        </w:rPr>
        <w:t xml:space="preserve"># Создание матрицы:</w:t>
      </w:r>
      <w:r>
        <w:br/>
      </w:r>
      <w:r>
        <w:rPr>
          <w:rStyle w:val="NormalTok"/>
        </w:rPr>
        <w:t xml:space="preserve">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4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Вычисление Евклидовой нормы:</w:t>
      </w:r>
      <w:r>
        <w:br/>
      </w:r>
      <w:r>
        <w:rPr>
          <w:rStyle w:val="NormalTok"/>
        </w:rPr>
        <w:t xml:space="preserve">opnorm(d)</w:t>
      </w:r>
      <w:r>
        <w:br/>
      </w:r>
      <w:r>
        <w:br/>
      </w:r>
      <w:r>
        <w:rPr>
          <w:rStyle w:val="CommentTok"/>
        </w:rPr>
        <w:t xml:space="preserve"># Вычисление p-нормы:</w:t>
      </w:r>
      <w:r>
        <w:br/>
      </w:r>
      <w:r>
        <w:rPr>
          <w:rStyle w:val="NormalTok"/>
        </w:rPr>
        <w:t xml:space="preserve">p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br/>
      </w:r>
      <w:r>
        <w:rPr>
          <w:rStyle w:val="NormalTok"/>
        </w:rPr>
        <w:t xml:space="preserve">opnorm(d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p)</w:t>
      </w:r>
      <w:r>
        <w:br/>
      </w:r>
      <w:r>
        <w:br/>
      </w:r>
      <w:r>
        <w:rPr>
          <w:rStyle w:val="CommentTok"/>
        </w:rPr>
        <w:t xml:space="preserve"># Поворот на 180 градусов:</w:t>
      </w:r>
      <w:r>
        <w:br/>
      </w:r>
      <w:r>
        <w:rPr>
          <w:rStyle w:val="NormalTok"/>
        </w:rPr>
        <w:t xml:space="preserve">rot180(d)</w:t>
      </w:r>
      <w:r>
        <w:br/>
      </w:r>
      <w:r>
        <w:br/>
      </w:r>
      <w:r>
        <w:rPr>
          <w:rStyle w:val="CommentTok"/>
        </w:rPr>
        <w:t xml:space="preserve"># Переворачивание строк:</w:t>
      </w:r>
      <w:r>
        <w:br/>
      </w:r>
      <w:r>
        <w:rPr>
          <w:rStyle w:val="NormalTok"/>
        </w:rPr>
        <w:t xml:space="preserve">reverse(d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Переворачивание столбцов</w:t>
      </w:r>
      <w:r>
        <w:br/>
      </w:r>
      <w:r>
        <w:rPr>
          <w:rStyle w:val="NormalTok"/>
        </w:rPr>
        <w:t xml:space="preserve">reverse(d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Матрица 2x3 со случайными целыми значениями от 1 до 10: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Матрица 3x4 со случайными целыми значениями от 1 до 10: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4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Произведение матриц A и B: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Единичная матрица 3x3:</w:t>
      </w:r>
      <w:r>
        <w:br/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}(I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Скалярное произведение векторов X и Y: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,-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dot(X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Y)</w:t>
      </w:r>
      <w:r>
        <w:br/>
      </w:r>
      <w:r>
        <w:br/>
      </w:r>
      <w:r>
        <w:rPr>
          <w:rStyle w:val="CommentTok"/>
        </w:rPr>
        <w:t xml:space="preserve"># тоже скалярное произведение:</w:t>
      </w:r>
      <w:r>
        <w:br/>
      </w:r>
      <w:r>
        <w:rPr>
          <w:rStyle w:val="NormalTok"/>
        </w:rPr>
        <w:t xml:space="preserve">X</w:t>
      </w:r>
      <w:r>
        <w:rPr>
          <w:rStyle w:val="OperatorTok"/>
        </w:rPr>
        <w:t xml:space="preserve">'</w:t>
      </w:r>
      <w:r>
        <w:rPr>
          <w:rStyle w:val="NormalTok"/>
        </w:rPr>
        <w:t xml:space="preserve">Y</w:t>
      </w:r>
      <w:r>
        <w:br/>
      </w:r>
      <w:r>
        <w:br/>
      </w:r>
      <w:r>
        <w:rPr>
          <w:rStyle w:val="CommentTok"/>
        </w:rPr>
        <w:t xml:space="preserve"># Задаём квадратную матрицу 3x3 со случайными значениями: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Задаём единичный вектор: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fill(</w:t>
      </w:r>
      <w:r>
        <w:rPr>
          <w:rStyle w:val="FloatTok"/>
        </w:rPr>
        <w:t xml:space="preserve">1.0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Задаём вектор b: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</w:t>
      </w:r>
      <w:r>
        <w:br/>
      </w:r>
      <w:r>
        <w:br/>
      </w:r>
      <w:r>
        <w:rPr>
          <w:rStyle w:val="CommentTok"/>
        </w:rPr>
        <w:t xml:space="preserve"># Решение исходного уравнения получаем с помощью функции \</w:t>
      </w:r>
      <w:r>
        <w:br/>
      </w:r>
      <w:r>
        <w:rPr>
          <w:rStyle w:val="CommentTok"/>
        </w:rPr>
        <w:t xml:space="preserve"># (убеждаемся, что x - единичный вектор):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LU-факторизация:</w:t>
      </w:r>
      <w:r>
        <w:br/>
      </w:r>
      <w:r>
        <w:rPr>
          <w:rStyle w:val="NormalTok"/>
        </w:rPr>
        <w:t xml:space="preserve">Alu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lu(A)</w:t>
      </w:r>
      <w:r>
        <w:br/>
      </w:r>
      <w:r>
        <w:br/>
      </w:r>
      <w:r>
        <w:rPr>
          <w:rStyle w:val="CommentTok"/>
        </w:rPr>
        <w:t xml:space="preserve"># Матрица перестановок:</w:t>
      </w:r>
      <w:r>
        <w:br/>
      </w:r>
      <w:r>
        <w:rPr>
          <w:rStyle w:val="NormalTok"/>
        </w:rPr>
        <w:t xml:space="preserve">Alu.P</w:t>
      </w:r>
      <w:r>
        <w:br/>
      </w:r>
      <w:r>
        <w:br/>
      </w:r>
      <w:r>
        <w:rPr>
          <w:rStyle w:val="CommentTok"/>
        </w:rPr>
        <w:t xml:space="preserve"># Вектор перестановок:</w:t>
      </w:r>
      <w:r>
        <w:br/>
      </w:r>
      <w:r>
        <w:rPr>
          <w:rStyle w:val="NormalTok"/>
        </w:rPr>
        <w:t xml:space="preserve">Alu.p</w:t>
      </w:r>
      <w:r>
        <w:br/>
      </w:r>
      <w:r>
        <w:br/>
      </w:r>
      <w:r>
        <w:rPr>
          <w:rStyle w:val="CommentTok"/>
        </w:rPr>
        <w:t xml:space="preserve"># Матрица L:</w:t>
      </w:r>
      <w:r>
        <w:br/>
      </w:r>
      <w:r>
        <w:rPr>
          <w:rStyle w:val="NormalTok"/>
        </w:rPr>
        <w:t xml:space="preserve">Alu.L</w:t>
      </w:r>
      <w:r>
        <w:br/>
      </w:r>
      <w:r>
        <w:br/>
      </w:r>
      <w:r>
        <w:rPr>
          <w:rStyle w:val="CommentTok"/>
        </w:rPr>
        <w:t xml:space="preserve"># Матрица U:</w:t>
      </w:r>
      <w:r>
        <w:br/>
      </w:r>
      <w:r>
        <w:rPr>
          <w:rStyle w:val="NormalTok"/>
        </w:rPr>
        <w:t xml:space="preserve">Alu.U</w:t>
      </w:r>
      <w:r>
        <w:br/>
      </w:r>
      <w:r>
        <w:br/>
      </w:r>
      <w:r>
        <w:rPr>
          <w:rStyle w:val="CommentTok"/>
        </w:rPr>
        <w:t xml:space="preserve"># Решение СЛАУ через матрицу A: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Решение СЛАУ через объект факторизации:</w:t>
      </w:r>
      <w:r>
        <w:br/>
      </w:r>
      <w:r>
        <w:rPr>
          <w:rStyle w:val="NormalTok"/>
        </w:rPr>
        <w:t xml:space="preserve">Alu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Детерминант матрицы A:</w:t>
      </w:r>
      <w:r>
        <w:br/>
      </w:r>
      <w:r>
        <w:rPr>
          <w:rStyle w:val="NormalTok"/>
        </w:rPr>
        <w:t xml:space="preserve">det(A)</w:t>
      </w:r>
      <w:r>
        <w:br/>
      </w:r>
      <w:r>
        <w:br/>
      </w:r>
      <w:r>
        <w:rPr>
          <w:rStyle w:val="CommentTok"/>
        </w:rPr>
        <w:t xml:space="preserve"># Детерминант матрицы A через объект факторизации:</w:t>
      </w:r>
      <w:r>
        <w:br/>
      </w:r>
      <w:r>
        <w:rPr>
          <w:rStyle w:val="NormalTok"/>
        </w:rPr>
        <w:t xml:space="preserve">det(Alu)</w:t>
      </w:r>
      <w:r>
        <w:br/>
      </w:r>
      <w:r>
        <w:br/>
      </w:r>
      <w:r>
        <w:rPr>
          <w:rStyle w:val="CommentTok"/>
        </w:rPr>
        <w:t xml:space="preserve"># QR-факторизация:</w:t>
      </w:r>
      <w:r>
        <w:br/>
      </w:r>
      <w:r>
        <w:rPr>
          <w:rStyle w:val="NormalTok"/>
        </w:rPr>
        <w:t xml:space="preserve">Aqr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qr(A)</w:t>
      </w:r>
      <w:r>
        <w:br/>
      </w:r>
      <w:r>
        <w:br/>
      </w:r>
      <w:r>
        <w:rPr>
          <w:rStyle w:val="CommentTok"/>
        </w:rPr>
        <w:t xml:space="preserve"># Матрица Q:</w:t>
      </w:r>
      <w:r>
        <w:br/>
      </w:r>
      <w:r>
        <w:rPr>
          <w:rStyle w:val="NormalTok"/>
        </w:rPr>
        <w:t xml:space="preserve">Aqr.Q</w:t>
      </w:r>
      <w:r>
        <w:br/>
      </w:r>
      <w:r>
        <w:br/>
      </w:r>
      <w:r>
        <w:rPr>
          <w:rStyle w:val="CommentTok"/>
        </w:rPr>
        <w:t xml:space="preserve"># Матрица R:</w:t>
      </w:r>
      <w:r>
        <w:br/>
      </w:r>
      <w:r>
        <w:rPr>
          <w:rStyle w:val="NormalTok"/>
        </w:rPr>
        <w:t xml:space="preserve">Aqr.R</w:t>
      </w:r>
      <w:r>
        <w:br/>
      </w:r>
      <w:r>
        <w:br/>
      </w:r>
      <w:r>
        <w:rPr>
          <w:rStyle w:val="CommentTok"/>
        </w:rPr>
        <w:t xml:space="preserve"># Проверка, что матрица Q - ортогональная:</w:t>
      </w:r>
      <w:r>
        <w:br/>
      </w:r>
      <w:r>
        <w:rPr>
          <w:rStyle w:val="NormalTok"/>
        </w:rPr>
        <w:t xml:space="preserve">Aqr.Q</w:t>
      </w:r>
      <w:r>
        <w:rPr>
          <w:rStyle w:val="OperatorTok"/>
        </w:rPr>
        <w:t xml:space="preserve">'*</w:t>
      </w:r>
      <w:r>
        <w:rPr>
          <w:rStyle w:val="NormalTok"/>
        </w:rPr>
        <w:t xml:space="preserve">Aqr.Q</w:t>
      </w:r>
      <w:r>
        <w:br/>
      </w:r>
      <w:r>
        <w:br/>
      </w:r>
      <w:r>
        <w:rPr>
          <w:rStyle w:val="CommentTok"/>
        </w:rPr>
        <w:t xml:space="preserve">#  Симметризация матрицы A:</w:t>
      </w:r>
      <w:r>
        <w:br/>
      </w:r>
      <w:r>
        <w:rPr>
          <w:rStyle w:val="NormalTok"/>
        </w:rPr>
        <w:t xml:space="preserve">Asym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CommentTok"/>
        </w:rPr>
        <w:t xml:space="preserve"># Спектральное разложение симметризованной матрицы:</w:t>
      </w:r>
      <w:r>
        <w:br/>
      </w:r>
      <w:r>
        <w:rPr>
          <w:rStyle w:val="NormalTok"/>
        </w:rPr>
        <w:t xml:space="preserve">AsymEig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eigen(Asym)</w:t>
      </w:r>
      <w:r>
        <w:br/>
      </w:r>
      <w:r>
        <w:br/>
      </w:r>
      <w:r>
        <w:rPr>
          <w:rStyle w:val="CommentTok"/>
        </w:rPr>
        <w:t xml:space="preserve"># Собственные значения:</w:t>
      </w:r>
      <w:r>
        <w:br/>
      </w:r>
      <w:r>
        <w:rPr>
          <w:rStyle w:val="NormalTok"/>
        </w:rPr>
        <w:t xml:space="preserve">AsymEig.values</w:t>
      </w:r>
      <w:r>
        <w:br/>
      </w:r>
      <w:r>
        <w:br/>
      </w:r>
      <w:r>
        <w:rPr>
          <w:rStyle w:val="CommentTok"/>
        </w:rPr>
        <w:t xml:space="preserve">#Собственные векторы:</w:t>
      </w:r>
      <w:r>
        <w:br/>
      </w:r>
      <w:r>
        <w:rPr>
          <w:rStyle w:val="NormalTok"/>
        </w:rPr>
        <w:t xml:space="preserve">AsymEig.vectors</w:t>
      </w:r>
      <w:r>
        <w:br/>
      </w:r>
      <w:r>
        <w:br/>
      </w:r>
      <w:r>
        <w:rPr>
          <w:rStyle w:val="CommentTok"/>
        </w:rPr>
        <w:t xml:space="preserve"># Проверяем, что получится единичная матрица:</w:t>
      </w:r>
      <w:r>
        <w:br/>
      </w:r>
      <w:r>
        <w:rPr>
          <w:rStyle w:val="NormalTok"/>
        </w:rPr>
        <w:t xml:space="preserve">inv(AsymEig)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Asym</w:t>
      </w:r>
      <w:r>
        <w:br/>
      </w:r>
      <w:r>
        <w:br/>
      </w:r>
      <w:r>
        <w:rPr>
          <w:rStyle w:val="CommentTok"/>
        </w:rPr>
        <w:t xml:space="preserve"># Матрица 1000 х 1000: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randn(n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n)</w:t>
      </w:r>
      <w:r>
        <w:br/>
      </w:r>
      <w:r>
        <w:br/>
      </w:r>
      <w:r>
        <w:rPr>
          <w:rStyle w:val="CommentTok"/>
        </w:rPr>
        <w:t xml:space="preserve"># Симметризация матрицы:</w:t>
      </w:r>
      <w:r>
        <w:br/>
      </w:r>
      <w:r>
        <w:rPr>
          <w:rStyle w:val="NormalTok"/>
        </w:rPr>
        <w:t xml:space="preserve">Asym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A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CommentTok"/>
        </w:rPr>
        <w:t xml:space="preserve"># Проверка, является ли матрица симметричной:</w:t>
      </w:r>
      <w:r>
        <w:br/>
      </w:r>
      <w:r>
        <w:rPr>
          <w:rStyle w:val="NormalTok"/>
        </w:rPr>
        <w:t xml:space="preserve">issymmetric(Asym)</w:t>
      </w:r>
      <w:r>
        <w:br/>
      </w:r>
      <w:r>
        <w:br/>
      </w:r>
      <w:r>
        <w:rPr>
          <w:rStyle w:val="CommentTok"/>
        </w:rPr>
        <w:t xml:space="preserve"># Добавление шума:</w:t>
      </w:r>
      <w:r>
        <w:br/>
      </w:r>
      <w:r>
        <w:rPr>
          <w:rStyle w:val="NormalTok"/>
        </w:rPr>
        <w:t xml:space="preserve">Asym_noisy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copy(Asym)</w:t>
      </w:r>
      <w:r>
        <w:br/>
      </w:r>
      <w:r>
        <w:rPr>
          <w:rStyle w:val="NormalTok"/>
        </w:rPr>
        <w:t xml:space="preserve">Asym_noisy[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eps()</w:t>
      </w:r>
      <w:r>
        <w:br/>
      </w:r>
      <w:r>
        <w:br/>
      </w:r>
      <w:r>
        <w:rPr>
          <w:rStyle w:val="CommentTok"/>
        </w:rPr>
        <w:t xml:space="preserve"># Проверка, является ли матрица симметричной:</w:t>
      </w:r>
      <w:r>
        <w:br/>
      </w:r>
      <w:r>
        <w:rPr>
          <w:rStyle w:val="NormalTok"/>
        </w:rPr>
        <w:t xml:space="preserve">issymmetric(Asym_noisy)</w:t>
      </w:r>
      <w:r>
        <w:br/>
      </w:r>
      <w:r>
        <w:br/>
      </w:r>
      <w:r>
        <w:rPr>
          <w:rStyle w:val="CommentTok"/>
        </w:rPr>
        <w:t xml:space="preserve"># Явно указываем, что матрица является симметричной:</w:t>
      </w:r>
      <w:r>
        <w:br/>
      </w:r>
      <w:r>
        <w:rPr>
          <w:rStyle w:val="NormalTok"/>
        </w:rPr>
        <w:t xml:space="preserve">Asym_explicit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Symmetric(Asym_noisy)</w:t>
      </w:r>
      <w:r>
        <w:br/>
      </w:r>
      <w:r>
        <w:br/>
      </w:r>
      <w:r>
        <w:rPr>
          <w:rStyle w:val="KeywordTok"/>
        </w:rPr>
        <w:t xml:space="preserve">import</w:t>
      </w:r>
      <w:r>
        <w:rPr>
          <w:rStyle w:val="NormalTok"/>
        </w:rPr>
        <w:t xml:space="preserve"> Pkg</w:t>
      </w:r>
      <w:r>
        <w:br/>
      </w:r>
      <w:r>
        <w:rPr>
          <w:rStyle w:val="NormalTok"/>
        </w:rPr>
        <w:t xml:space="preserve">Pkg.add(</w:t>
      </w:r>
      <w:r>
        <w:rPr>
          <w:rStyle w:val="StringTok"/>
        </w:rPr>
        <w:t xml:space="preserve">"BenchmarkTools"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using</w:t>
      </w:r>
      <w:r>
        <w:rPr>
          <w:rStyle w:val="NormalTok"/>
        </w:rPr>
        <w:t xml:space="preserve"> BenchmarkTools</w:t>
      </w:r>
      <w:r>
        <w:br/>
      </w:r>
      <w:r>
        <w:br/>
      </w:r>
      <w:r>
        <w:rPr>
          <w:rStyle w:val="CommentTok"/>
        </w:rPr>
        <w:t xml:space="preserve"># Оценка эффективности выполнения операции по нахождению </w:t>
      </w:r>
      <w:r>
        <w:br/>
      </w:r>
      <w:r>
        <w:rPr>
          <w:rStyle w:val="CommentTok"/>
        </w:rPr>
        <w:t xml:space="preserve"># собственных значений симметризованной матрицы:</w:t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eigvals(Asym)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# Оценка эффективности выполнения операции по нахождению</w:t>
      </w:r>
      <w:r>
        <w:br/>
      </w:r>
      <w:r>
        <w:rPr>
          <w:rStyle w:val="CommentTok"/>
        </w:rPr>
        <w:t xml:space="preserve"># собственных значений зашумлённой матрицы:</w:t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eigvals(Asym_noisy)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# Оценка эффективности выполнения операции по нахождению</w:t>
      </w:r>
      <w:r>
        <w:br/>
      </w:r>
      <w:r>
        <w:rPr>
          <w:rStyle w:val="CommentTok"/>
        </w:rPr>
        <w:t xml:space="preserve"># собственных значений зашумлённой матрицы,</w:t>
      </w:r>
      <w:r>
        <w:br/>
      </w:r>
      <w:r>
        <w:rPr>
          <w:rStyle w:val="CommentTok"/>
        </w:rPr>
        <w:t xml:space="preserve"># для которой явно указано, что она симметричная:</w:t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eigvals(Asym_explicit)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# Трёхдиагональная матрица 1000000 х 1000000:</w:t>
      </w:r>
      <w:r>
        <w:br/>
      </w:r>
      <w:r>
        <w:rPr>
          <w:rStyle w:val="NormalTok"/>
        </w:rPr>
        <w:t xml:space="preserve">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1000000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SymTridiagonal(randn(n)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randn(n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+ tags=[]</w:t>
      </w:r>
      <w:r>
        <w:br/>
      </w:r>
      <w:r>
        <w:rPr>
          <w:rStyle w:val="CommentTok"/>
        </w:rPr>
        <w:t xml:space="preserve"># Оценка эффективности выполнения операции по нахождению</w:t>
      </w:r>
      <w:r>
        <w:br/>
      </w:r>
      <w:r>
        <w:rPr>
          <w:rStyle w:val="CommentTok"/>
        </w:rPr>
        <w:t xml:space="preserve"># собственных значений:</w:t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eigmax(A)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(A)</w:t>
      </w:r>
      <w:r>
        <w:br/>
      </w:r>
      <w:r>
        <w:br/>
      </w:r>
      <w:r>
        <w:rPr>
          <w:rStyle w:val="CommentTok"/>
        </w:rPr>
        <w:t xml:space="preserve"># Матрица с рациональными элементами:</w:t>
      </w:r>
      <w:r>
        <w:br/>
      </w:r>
      <w:r>
        <w:rPr>
          <w:rStyle w:val="NormalTok"/>
        </w:rPr>
        <w:t xml:space="preserve">Arational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BigInt</w:t>
      </w:r>
      <w:r>
        <w:rPr>
          <w:rStyle w:val="NormalTok"/>
        </w:rPr>
        <w:t xml:space="preserve">}}(rand(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10</w:t>
      </w:r>
      <w:r>
        <w:br/>
      </w:r>
      <w:r>
        <w:br/>
      </w:r>
      <w:r>
        <w:rPr>
          <w:rStyle w:val="CommentTok"/>
        </w:rPr>
        <w:t xml:space="preserve"># Единичный вектор: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fill(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Задаём вектор b: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Arational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x</w:t>
      </w:r>
      <w:r>
        <w:br/>
      </w:r>
      <w:r>
        <w:br/>
      </w:r>
      <w:r>
        <w:rPr>
          <w:rStyle w:val="CommentTok"/>
        </w:rPr>
        <w:t xml:space="preserve"># Решение исходного уравнения получаем с помощью функции \ </w:t>
      </w:r>
      <w:r>
        <w:br/>
      </w:r>
      <w:r>
        <w:rPr>
          <w:rStyle w:val="CommentTok"/>
        </w:rPr>
        <w:t xml:space="preserve"># (убеждаемся, что x - единичный вектор):</w:t>
      </w:r>
      <w:r>
        <w:br/>
      </w:r>
      <w:r>
        <w:rPr>
          <w:rStyle w:val="NormalTok"/>
        </w:rPr>
        <w:t xml:space="preserve">Arational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LU-разложение:</w:t>
      </w:r>
      <w:r>
        <w:br/>
      </w:r>
      <w:r>
        <w:rPr>
          <w:rStyle w:val="NormalTok"/>
        </w:rPr>
        <w:t xml:space="preserve">lu(Arational)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ЗАДАНИЯ ДЛЯ САМОСТОЯТЕЛЬНОГО ВЫПОЛНЕНИЯ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1.1</w:t>
      </w:r>
      <w:r>
        <w:br/>
      </w:r>
      <w:r>
        <w:br/>
      </w:r>
      <w:r>
        <w:rPr>
          <w:rStyle w:val="NormalTok"/>
        </w:rPr>
        <w:t xml:space="preserve">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dot_v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'</w:t>
      </w:r>
      <w:r>
        <w:rPr>
          <w:rStyle w:val="NormalTok"/>
        </w:rPr>
        <w:t xml:space="preserve">v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CommentTok"/>
        </w:rPr>
        <w:t xml:space="preserve"># 1.2</w:t>
      </w:r>
      <w:r>
        <w:br/>
      </w:r>
      <w:r>
        <w:rPr>
          <w:rStyle w:val="NormalTok"/>
        </w:rPr>
        <w:t xml:space="preserve">outer_v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v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v</w:t>
      </w:r>
      <w:r>
        <w:rPr>
          <w:rStyle w:val="OperatorTok"/>
        </w:rPr>
        <w:t xml:space="preserve">'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#2.1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;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2.2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b</w:t>
      </w:r>
      <w:r>
        <w:br/>
      </w:r>
      <w:r>
        <w:br/>
      </w:r>
      <w:r>
        <w:rPr>
          <w:rStyle w:val="CommentTok"/>
        </w:rPr>
        <w:t xml:space="preserve"># 3.1</w:t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Diagonal(eigen(M).values)</w:t>
      </w:r>
      <w:r>
        <w:br/>
      </w:r>
      <w:r>
        <w:br/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(Diagonal(eigen(M).values))</w:t>
      </w:r>
      <w:r>
        <w:br/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Diagonal(eigen(M).values)</w:t>
      </w:r>
      <w:r>
        <w:br/>
      </w:r>
      <w:r>
        <w:br/>
      </w:r>
      <w:r>
        <w:rPr>
          <w:rStyle w:val="NormalTok"/>
        </w:rPr>
        <w:t xml:space="preserve">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Diagonal(eigen(M).values)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3.2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10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5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sqrt(C)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C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//</w:t>
      </w:r>
      <w:r>
        <w:rPr>
          <w:rStyle w:val="Float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C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sqrt(C)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#3.3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140</w:t>
      </w:r>
      <w:r>
        <w:rPr>
          <w:rStyle w:val="NormalTok"/>
        </w:rPr>
        <w:t xml:space="preserve"> </w:t>
      </w:r>
      <w:r>
        <w:rPr>
          <w:rStyle w:val="FloatTok"/>
        </w:rPr>
        <w:t xml:space="preserve">97</w:t>
      </w:r>
      <w:r>
        <w:rPr>
          <w:rStyle w:val="NormalTok"/>
        </w:rPr>
        <w:t xml:space="preserve"> </w:t>
      </w:r>
      <w:r>
        <w:rPr>
          <w:rStyle w:val="FloatTok"/>
        </w:rPr>
        <w:t xml:space="preserve">74</w:t>
      </w:r>
      <w:r>
        <w:rPr>
          <w:rStyle w:val="NormalTok"/>
        </w:rPr>
        <w:t xml:space="preserve"> </w:t>
      </w:r>
      <w:r>
        <w:rPr>
          <w:rStyle w:val="FloatTok"/>
        </w:rPr>
        <w:t xml:space="preserve">168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97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106</w:t>
      </w:r>
      <w:r>
        <w:rPr>
          <w:rStyle w:val="NormalTok"/>
        </w:rPr>
        <w:t xml:space="preserve"> </w:t>
      </w:r>
      <w:r>
        <w:rPr>
          <w:rStyle w:val="FloatTok"/>
        </w:rPr>
        <w:t xml:space="preserve">89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131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74</w:t>
      </w:r>
      <w:r>
        <w:rPr>
          <w:rStyle w:val="NormalTok"/>
        </w:rPr>
        <w:t xml:space="preserve"> </w:t>
      </w:r>
      <w:r>
        <w:rPr>
          <w:rStyle w:val="FloatTok"/>
        </w:rPr>
        <w:t xml:space="preserve">89</w:t>
      </w:r>
      <w:r>
        <w:rPr>
          <w:rStyle w:val="NormalTok"/>
        </w:rPr>
        <w:t xml:space="preserve"> </w:t>
      </w:r>
      <w:r>
        <w:rPr>
          <w:rStyle w:val="FloatTok"/>
        </w:rPr>
        <w:t xml:space="preserve">152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144</w:t>
      </w:r>
      <w:r>
        <w:rPr>
          <w:rStyle w:val="NormalTok"/>
        </w:rPr>
        <w:t xml:space="preserve"> </w:t>
      </w:r>
      <w:r>
        <w:rPr>
          <w:rStyle w:val="FloatTok"/>
        </w:rPr>
        <w:t xml:space="preserve">71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168</w:t>
      </w:r>
      <w:r>
        <w:rPr>
          <w:rStyle w:val="NormalTok"/>
        </w:rPr>
        <w:t xml:space="preserve"> </w:t>
      </w:r>
      <w:r>
        <w:rPr>
          <w:rStyle w:val="FloatTok"/>
        </w:rPr>
        <w:t xml:space="preserve">131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144</w:t>
      </w:r>
      <w:r>
        <w:rPr>
          <w:rStyle w:val="NormalTok"/>
        </w:rPr>
        <w:t xml:space="preserve"> </w:t>
      </w:r>
      <w:r>
        <w:rPr>
          <w:rStyle w:val="FloatTok"/>
        </w:rPr>
        <w:t xml:space="preserve">54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142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  </w:t>
      </w:r>
      <w:r>
        <w:rPr>
          <w:rStyle w:val="FloatTok"/>
        </w:rPr>
        <w:t xml:space="preserve">131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</w:t>
      </w:r>
      <w:r>
        <w:rPr>
          <w:rStyle w:val="NormalTok"/>
        </w:rPr>
        <w:t xml:space="preserve"> </w:t>
      </w:r>
      <w:r>
        <w:rPr>
          <w:rStyle w:val="FloatTok"/>
        </w:rPr>
        <w:t xml:space="preserve">71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142</w:t>
      </w:r>
      <w:r>
        <w:rPr>
          <w:rStyle w:val="NormalTok"/>
        </w:rPr>
        <w:t xml:space="preserve"> </w:t>
      </w:r>
      <w:r>
        <w:rPr>
          <w:rStyle w:val="FloatTok"/>
        </w:rPr>
        <w:t xml:space="preserve">36</w:t>
      </w:r>
      <w:r>
        <w:rPr>
          <w:rStyle w:val="NormalTok"/>
        </w:rPr>
        <w:t xml:space="preserve">]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eigvals(A)</w:t>
      </w:r>
      <w:r>
        <w:br/>
      </w:r>
      <w:r>
        <w:br/>
      </w:r>
      <w:r>
        <w:rPr>
          <w:rStyle w:val="NormalTok"/>
        </w:rPr>
        <w:t xml:space="preserve">Diagonal(eigen(A).values)</w:t>
      </w:r>
      <w:r>
        <w:br/>
      </w:r>
      <w:r>
        <w:br/>
      </w:r>
      <w:r>
        <w:rPr>
          <w:rStyle w:val="NormalTok"/>
        </w:rPr>
        <w:t xml:space="preserve">lu(A).L</w:t>
      </w:r>
      <w:r>
        <w:br/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eigvals(A)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Diagonal(eigen(A).values)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PreprocessorTok"/>
        </w:rPr>
        <w:t xml:space="preserve">@btime</w:t>
      </w:r>
      <w:r>
        <w:rPr>
          <w:rStyle w:val="NormalTok"/>
        </w:rPr>
        <w:t xml:space="preserve"> lu(A).L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4.1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}(I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4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rand(</w:t>
      </w:r>
      <w:r>
        <w:rPr>
          <w:rStyle w:val="FloatTok"/>
        </w:rPr>
        <w:t xml:space="preserve">0</w:t>
      </w:r>
      <w:r>
        <w:rPr>
          <w:rStyle w:val="OperatorTok"/>
        </w:rPr>
        <w:t xml:space="preserve">:</w:t>
      </w:r>
      <w:r>
        <w:rPr>
          <w:rStyle w:val="FloatTok"/>
        </w:rPr>
        <w:t xml:space="preserve">10000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y</w:t>
      </w:r>
      <w:r>
        <w:rPr>
          <w:rStyle w:val="OperatorTok"/>
        </w:rPr>
        <w:t xml:space="preserve">\</w:t>
      </w:r>
      <w:r>
        <w:rPr>
          <w:rStyle w:val="NormalTok"/>
        </w:rPr>
        <w:t xml:space="preserve">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br/>
      </w:r>
      <w:r>
        <w:rPr>
          <w:rStyle w:val="CommentTok"/>
        </w:rPr>
        <w:t xml:space="preserve"># +</w:t>
      </w:r>
      <w:r>
        <w:br/>
      </w:r>
      <w:r>
        <w:rPr>
          <w:rStyle w:val="CommentTok"/>
        </w:rPr>
        <w:t xml:space="preserve"># 4.2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inv(E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rPr>
          <w:rStyle w:val="CommentTok"/>
        </w:rPr>
        <w:t xml:space="preserve"># -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inv(E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&gt;=</w:t>
      </w:r>
      <w:r>
        <w:rPr>
          <w:rStyle w:val="NormalTok"/>
        </w:rPr>
        <w:t xml:space="preserve">(</w:t>
      </w:r>
      <w:r>
        <w:rPr>
          <w:rStyle w:val="FloatTok"/>
        </w:rPr>
        <w:t xml:space="preserve">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inv(E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A))</w:t>
      </w:r>
      <w:r>
        <w:br/>
      </w:r>
      <w:r>
        <w:br/>
      </w:r>
      <w:r>
        <w:rPr>
          <w:rStyle w:val="CommentTok"/>
        </w:rPr>
        <w:t xml:space="preserve"># 4.3</w:t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broadcast(abs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eigvals(A)))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2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broadcast(abs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eigvals(A)))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Matrix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Rational</w:t>
      </w:r>
      <w:r>
        <w:rPr>
          <w:rStyle w:val="NormalTok"/>
        </w:rPr>
        <w:t xml:space="preserve">{</w:t>
      </w:r>
      <w:r>
        <w:rPr>
          <w:rStyle w:val="DataTypeTok"/>
        </w:rPr>
        <w:t xml:space="preserve">Int</w:t>
      </w:r>
      <w:r>
        <w:rPr>
          <w:rStyle w:val="NormalTok"/>
        </w:rPr>
        <w:t xml:space="preserve">}}([</w:t>
      </w:r>
      <w:r>
        <w:rPr>
          <w:rStyle w:val="Float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3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10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broadcast(abs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eigvals(A)))</w:t>
      </w:r>
      <w:r>
        <w:br/>
      </w:r>
      <w:r>
        <w:br/>
      </w:r>
      <w:r>
        <w:rPr>
          <w:rStyle w:val="NormalTok"/>
        </w:rPr>
        <w:t xml:space="preserve">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all(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broadcast(abs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eigvals(A)))</w:t>
      </w:r>
    </w:p>
    <w:bookmarkEnd w:id="83"/>
    <w:bookmarkStart w:id="84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лабораторной работы операции применимые в рамках задач линейной алгебры. Были изучены возможности специализированных пакетов Julia для выполнения и оценки эффективности операций над объектами линейной алгебры. Также были поставлены пакеты LinearAlgebra, Statistics и BenchmarkTools.</w:t>
      </w:r>
    </w:p>
    <w:bookmarkEnd w:id="84"/>
    <w:bookmarkStart w:id="85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19"/>
        </w:numPr>
        <w:pStyle w:val="Compact"/>
      </w:pPr>
      <w:r>
        <w:t xml:space="preserve">Методические материалы курса.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6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24" Target="media/rId24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№4.</dc:title>
  <dc:creator>Ишанова А.И. группа НФИ-02-19</dc:creator>
  <dc:language>ru-RU</dc:language>
  <cp:keywords/>
  <dcterms:created xsi:type="dcterms:W3CDTF">2022-12-03T11:13:28Z</dcterms:created>
  <dcterms:modified xsi:type="dcterms:W3CDTF">2022-12-03T11:13:28Z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False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PT Serif</vt:lpwstr>
  </property>
  <property fmtid="{D5CDD505-2E9C-101B-9397-08002B2CF9AE}" pid="43" name="mainfontoptions">
    <vt:lpwstr>Ligatures=TeX</vt:lpwstr>
  </property>
  <property fmtid="{D5CDD505-2E9C-101B-9397-08002B2CF9AE}" pid="44" name="monofont">
    <vt:lpwstr>PT Mono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PT Serif</vt:lpwstr>
  </property>
  <property fmtid="{D5CDD505-2E9C-101B-9397-08002B2CF9AE}" pid="56" name="romanfontoptions">
    <vt:lpwstr>Ligatures=TeX</vt:lpwstr>
  </property>
  <property fmtid="{D5CDD505-2E9C-101B-9397-08002B2CF9AE}" pid="57" name="sansfont">
    <vt:lpwstr>PT Sans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subtitle">
    <vt:lpwstr>Линейная алгебра.</vt:lpwstr>
  </property>
  <property fmtid="{D5CDD505-2E9C-101B-9397-08002B2CF9AE}" pid="71" name="tableEqns">
    <vt:lpwstr>False</vt:lpwstr>
  </property>
  <property fmtid="{D5CDD505-2E9C-101B-9397-08002B2CF9AE}" pid="72" name="tableTemplate">
    <vt:lpwstr>tableTitle ititleDelim t</vt:lpwstr>
  </property>
  <property fmtid="{D5CDD505-2E9C-101B-9397-08002B2CF9AE}" pid="73" name="tableTitle">
    <vt:lpwstr>Table</vt:lpwstr>
  </property>
  <property fmtid="{D5CDD505-2E9C-101B-9397-08002B2CF9AE}" pid="74" name="tblLabels">
    <vt:lpwstr>arabic</vt:lpwstr>
  </property>
  <property fmtid="{D5CDD505-2E9C-101B-9397-08002B2CF9AE}" pid="75" name="tblPrefix">
    <vt:lpwstr/>
  </property>
  <property fmtid="{D5CDD505-2E9C-101B-9397-08002B2CF9AE}" pid="76" name="tblPrefixTemplate">
    <vt:lpwstr>p i</vt:lpwstr>
  </property>
  <property fmtid="{D5CDD505-2E9C-101B-9397-08002B2CF9AE}" pid="77" name="titleDelim">
    <vt:lpwstr>:</vt:lpwstr>
  </property>
  <property fmtid="{D5CDD505-2E9C-101B-9397-08002B2CF9AE}" pid="78" name="toc">
    <vt:lpwstr>True</vt:lpwstr>
  </property>
  <property fmtid="{D5CDD505-2E9C-101B-9397-08002B2CF9AE}" pid="79" name="toc-title">
    <vt:lpwstr>Содержание</vt:lpwstr>
  </property>
  <property fmtid="{D5CDD505-2E9C-101B-9397-08002B2CF9AE}" pid="80" name="toc_depth">
    <vt:lpwstr>2</vt:lpwstr>
  </property>
</Properties>
</file>