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3"/>
        <w:pBdr/>
        <w:spacing w:before="2400"/>
        <w:ind/>
        <w:rPr>
          <w:color w:val="auto"/>
        </w:rPr>
      </w:pPr>
      <w:r>
        <w:rPr>
          <w:color w:val="auto"/>
        </w:rPr>
        <w:t xml:space="preserve">PITANJA I ODGOVORI</w:t>
      </w:r>
      <w:r>
        <w:rPr>
          <w:color w:val="auto"/>
        </w:rPr>
      </w:r>
    </w:p>
    <w:p>
      <w:pPr>
        <w:pBdr/>
        <w:spacing w:after="200"/>
        <w:ind/>
        <w:jc w:val="center"/>
        <w:rPr/>
      </w:pPr>
      <w:r>
        <w:rPr>
          <w:sz w:val="32"/>
          <w:szCs w:val="32"/>
        </w:rPr>
        <w:t xml:space="preserve">Ustav i sustav obrane Republike Hrvatske</w:t>
      </w:r>
      <w:r/>
    </w:p>
    <w:p>
      <w:pPr>
        <w:pBdr/>
        <w:spacing w:after="1200"/>
        <w:ind/>
        <w:jc w:val="center"/>
        <w:rPr/>
      </w:pPr>
      <w:r>
        <w:rPr>
          <w:i/>
          <w:iCs/>
        </w:rPr>
        <w:t xml:space="preserve">31 pitanje za evaluaciju chatbota</w:t>
      </w:r>
      <w:r/>
    </w:p>
    <w:p>
      <w:pPr>
        <w:pBdr/>
        <w:spacing w:after="400"/>
        <w:ind/>
        <w:jc w:val="center"/>
        <w:rPr/>
      </w:pPr>
      <w:r>
        <w:rPr>
          <w:sz w:val="20"/>
          <w:szCs w:val="20"/>
        </w:rPr>
        <w:t xml:space="preserve">Kreirano: 01. 02. 2026.</w:t>
      </w: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Style w:val="665"/>
        <w:pBdr/>
        <w:spacing/>
        <w:ind/>
        <w:rPr>
          <w:color w:val="auto"/>
        </w:rPr>
      </w:pPr>
      <w:r>
        <w:rPr>
          <w:color w:val="auto"/>
        </w:rPr>
        <w:t xml:space="preserve">Kompleksna pitanja – više dokumenata</w:t>
      </w:r>
      <w:r>
        <w:rPr>
          <w:color w:val="auto"/>
        </w:rPr>
      </w:r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Opišite cjelokupnu proceduru transformacije novaka u razvrstanog pričuvnika kroz sve pravne akte koji reguliraju taj proces.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Procedura je regulirana kroz 4 pravna akta: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1. USTAVNI TEMELJ (Ustav RH, čl. 47):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Vojna obveza je dužnost svih za to sposobnih državljana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Dopušten prigovor savjesti iz vjerskih i/ili moralnih razloga uz obvezu ispunjavanja drugih dužnosti određenih zakonom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2. NOVAČKA OBVEZA (Zakon o obrani, čl. 19-21):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Nastaje u kalendarskoj godini kad državljanin RH navrši 18 godina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Državljanin RH  uvodi se u vojnu evidenciju u kalendarskog godini u kojoj navrši 18 godina života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Prolazi zdravstveni pregled i psihološko ispitivanje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3. TEMELJNO VOJNO OSPOSOBLJAVANJE (Zakon o obrani čl. 21.m, Pravilnik o TVO):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Traje 2 mjeseca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Ministar obrane donosi Plan upućivanja u tekućoj godini do 15.12. za iduću godinu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Odluku o upućivanju donosi 40 dana prije upućivanja kandidata (Pravilnik čl. 7)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Ročnici se obučavaju za specijalnost 11A - strijelac (Pravilnik čl. 9)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Daju svečanu prisegu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4. STATUS ROČNIKA (Zakon o službi, čl. 25, 26, 30):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Ročnik je dio mirnodopskog sastava OS tijekom TVO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Odluka o TVO uređuje prava i obveze (nije upravna stvar)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5. PRIJELAZ U PRIČUVU (Zakon o obrani, čl. 25, 27):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Nakon TVO-a automatski postaje pričuvnik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Razvrstani pričuvnik = ima određenu vojnostručnu specijalnost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Određuje mu se ratni raspored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Može biti pozivan na vježbe do 90 dana godišnje</w:t>
            </w:r>
            <w:r/>
          </w:p>
          <w:p>
            <w:pPr>
              <w:pStyle w:val="679"/>
              <w:pBdr/>
              <w:spacing/>
              <w:ind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„Esejski odgovor”</w:t>
            </w:r>
            <w:r>
              <w:rPr>
                <w:b/>
                <w:bCs/>
                <w:color w:val="ff0000"/>
                <w:u w:val="single"/>
              </w:rPr>
            </w:r>
          </w:p>
          <w:p>
            <w:pPr>
              <w:pStyle w:val="679"/>
              <w:pBdr/>
              <w:spacing/>
              <w:ind/>
              <w:rPr/>
            </w:pPr>
            <w:r>
              <w:t xml:space="preserve">Ustav RH propisuje vojnu obvezu kao dužnost svih sposobnih državljana, uz mogućnost prigovora savjesti iz vjerskih ili moralnih razloga, uz obvezu ispunjavanja drugih dužnosti određenih zakonom.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Novačka obveza nastaje u kalendarskoj godini kad državljanin RH navršava 18 godina. Državljanin RH se uvodi u vojnu evidenciju i prolazi zdravstveni i psihološki pregled.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Temeljno vojno osposobljavanje traje dva mjeseca. Plan upućivanja donosi ministar obrane do 15. prosinca za iduću godinu, a pojedinačna odluka 40 dana unaprijed. Ročnici se osposobljavaju za specijalnost 11A (strijelac) i polažu prisegu.</w:t>
            </w:r>
            <w:r/>
          </w:p>
          <w:p>
            <w:pPr>
              <w:pStyle w:val="679"/>
              <w:pBdr/>
              <w:spacing/>
              <w:ind/>
              <w:rPr>
                <w:color w:val="70ad47" w:themeColor="accent6"/>
              </w:rPr>
            </w:pPr>
            <w:r>
              <w:t xml:space="preserve">Nakon TVO-a ročnik automatski postaje razvrstani pričuvnik s dodijeljenim ratnim rasporedom i vojnostručnom specijalnošću.</w:t>
            </w:r>
            <w:r>
              <w:rPr>
                <w:color w:val="ff0000"/>
              </w:rPr>
              <w:t xml:space="preserve"> Može biti pozvan na vježbe </w:t>
            </w:r>
            <w:r>
              <w:rPr>
                <w:color w:val="70ad47" w:themeColor="accent6"/>
              </w:rPr>
              <w:t xml:space="preserve">u maksimalnom trajanju od 90 dana godišnje“</w:t>
            </w:r>
            <w:r>
              <w:rPr>
                <w:color w:val="70ad47" w:themeColor="accent6"/>
              </w:rPr>
            </w:r>
          </w:p>
          <w:p>
            <w:pPr>
              <w:pStyle w:val="679"/>
              <w:pBdr/>
              <w:spacing/>
              <w:ind/>
              <w:rPr/>
            </w:pPr>
            <w:r>
              <w:t xml:space="preserve">Prigovor savjesti podnosi se pisanim zahtjevom nadležnom tijelu. Odobrava se osobama </w:t>
            </w:r>
            <w:r>
              <w:rPr>
                <w:color w:val="70ad47" w:themeColor="accent6"/>
              </w:rPr>
              <w:t xml:space="preserve">čija</w:t>
            </w:r>
            <w:r>
              <w:rPr>
                <w:color w:val="ff0000"/>
              </w:rPr>
              <w:t xml:space="preserve"> vojna služba</w:t>
            </w:r>
            <w:r>
              <w:t xml:space="preserve"> nije spojiva s vjerskim uvjerenjima ili moralnim načelima. Umjesto vojnog osposobljavanja, obveznik ispunjava civilnu obvezu u trajanju određenom zakonom.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Ustav RH, čl. 47; Zakon o obrani, čl. 19, 20, 21, 21.m, 25.a; Zakon o službi, čl. 25, 26, 30; Pravilnik o TVO, čl. 6, 7, 9, 10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Kako je regulirana hijerarhija odlučivanja o uporabi Oružanih snaga u različitim situacijama kroz Ustav i Zakon o obrani?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Hijerarhija odlučivanja detaljno razlikuje situacije: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1. RATNO STANJE (Ustav čl. 100, Zakon čl. 47):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PREDSJEDNIK REPUBLIKE naređuje uporabu i zapovijeda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Puna ovlast, odgovoran za obranu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2. STANJE NEPOSREDNE UGROŽENOSTI (Ustav čl. 100, Zakon čl. 48):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PREDSJEDNIK REPUBLIKE može narediti uporabu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Potreban SUPOTPIS predsjednika Vlade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3. PRELAZAK GRANICE (Ustav čl. 7, Zakon čl. 49):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HRVATSKI SABOR donosi odluku (većina svih zastupnika)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VLADA predlaže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PREDSJEDNIK daje prethodnu suglasnost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Ako Predsjednik uskrati suglasnost → dvotrećinska većina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4. POMOĆ SAVEZNICIMA (Ustav čl. 7, Zakon čl. 51):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SABOR donosi odluku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VLADA predlaže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PREDSJEDNIK daje suglasnost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5. VJEŽBE I OBUKA (Ustav čl. 7, Zakon čl. 69):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VLADA donosi odluku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PREDSJEDNIK daje suglasnost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Za manje postrojbe (≤vod) - MINISTAR OBRANE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6. PROVEDBA (Zakon čl. 70):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NAČELNIK GLAVNOG STOŽERA ima ovlast punog zapovijedanja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Odgovoran Predsjedniku za zapovijedi i naredbi, ministru za provedbu odluka</w:t>
            </w:r>
            <w:r/>
          </w:p>
          <w:p>
            <w:pPr>
              <w:pStyle w:val="679"/>
              <w:pBdr/>
              <w:spacing/>
              <w:ind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„Esejski odgovor”</w:t>
            </w:r>
            <w:r>
              <w:rPr>
                <w:b/>
                <w:bCs/>
                <w:color w:val="ff0000"/>
                <w:u w:val="single"/>
              </w:rPr>
            </w:r>
          </w:p>
          <w:p>
            <w:pPr>
              <w:pStyle w:val="679"/>
              <w:pBdr/>
              <w:spacing w:after="120" w:line="360" w:lineRule="auto"/>
              <w:ind/>
              <w:rPr/>
            </w:pPr>
            <w:r>
              <w:t xml:space="preserve">Hijerarhija odlučivanja o uporabi Oružanih snaga RH razlikuje šest situacija ovisno o razini ugroze.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Ratno stanje — Predsjednik Republike naređuje uporabu i zapovijeda OS-om s punom ovlašću. Odgovoran je za obranu zemlje.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Stanje neposredne ugroženosti — Predsjednik može narediti uporabu, ali odluka zahtijeva supotpis predsjednika Vlade.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Prelazak granice — Sabor donosi odluku većinom svih zastupnika na prijedlog Vlade uz prethodnu suglasnost Predsjednika. Ako Predsjednik uskrati suglasnost, potrebna je dvotrećinska većina Sabora.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Pomoć saveznicima — Sabor donosi odluku na prijedlog Vlade uz suglasnost Predsjednika.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Vježbe i obuka — Vlada donosi odluku uz suglasnost Predsjednika. Za postrojbe do razine voda odluku donosi ministar obrane samostalno.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Provedba — Načelnik Glavnog stožera ima ovlast punog zapovijedanja. Odgovoran je Predsjedniku za izvršavanje zapovijedi i naredbi, a ministru obrane za provedbu odluka.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Ustav RH, čl. 7, 100; Zakon o obrani, čl. 46-51, 69, 70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3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Objasnite sustav imenovanja i odgovornosti načelnika Glavnog stožera kroz sve relevantne propise.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Položaj načelnika Glavnog stožera reguliran je kroz više razina: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1. IMENOVANJE (Zakon o obrani, čl. 7, 15):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Imenuje PREDSJEDNIK REPUBLIKE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 prijedlog VLADE RH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Nakon pribavljenog mišljenja ODBORA ZA OBRANU Sabora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Mandat: 4 godine (ne može biti ponovno imenovan)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2. RAZRJEŠENJE (Zakon o obrani, čl. 7):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Izravno Predsjednik Republike ILI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 prijedlog Vlade RH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Nakon mišljenja Odbora za obranu Sabora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3. POLOŽAJ I OVLASTI (Zakon o obrani, čl. 15, 70):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 čelu Glavnog stožera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Nadređen svim stožerima, zapovjedništvima, postrojbama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Glavni vojni savjetnik Predsjedniku i ministru obrane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4. ZAPOVIJEDANJE (Zakon o obrani, čl. 70):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Ima ovlast PUNOG ZAPOVIJEDANJA u OS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Djeluje na temelju zapovijedi Predsjednika, odluka ministra i Zakona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5. ODGOVORNOST (Zakon o obrani, čl. 70):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Predsjedniku Republike: za provedbu zapovijedi i naredbi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Ministru obrane: za provedbu odluka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Mora istodobno izvještavati oba o uporabi/korištenju OS</w:t>
            </w:r>
            <w:r/>
          </w:p>
          <w:p>
            <w:pPr>
              <w:pStyle w:val="679"/>
              <w:pBdr/>
              <w:spacing/>
              <w:ind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„Esejski odgovor”</w:t>
            </w:r>
            <w:r>
              <w:rPr>
                <w:b/>
                <w:bCs/>
                <w:color w:val="ff0000"/>
                <w:u w:val="single"/>
              </w:rPr>
            </w:r>
          </w:p>
          <w:p>
            <w:pPr>
              <w:pStyle w:val="679"/>
              <w:pBdr/>
              <w:spacing w:after="120" w:line="360" w:lineRule="auto"/>
              <w:ind/>
              <w:rPr/>
            </w:pPr>
            <w:r>
              <w:t xml:space="preserve">Položaj načelnika Glavnog stožera OS RH reguliran je kroz pet razina.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Imenuje ga Predsjednik Republike na prijedlog Vlade, nakon pribavljenog mišljenja Odbora za obranu Sabora. Mandat traje četiri godine bez mogućnosti ponovnog imenovanja.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Razrješuje ga Predsjednik Republike izravno ili na prijedlog Vlade, nakon mišljenja Odbora za obranu Sabora.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Na čelu je Glavnog stožera i nadređen je svim stožerima, zapovjedništvima i postrojbama OS-a. Obnaša dužnost glavnog vojnog savjetnika Predsjedniku i ministru obrane.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Ima ovlast punog zapovijedanja u OS-u. Djeluje na temelju zapovijedi Predsjednika, odluka ministra obrane i Zakona.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Predsjedniku je odgovoran za provedbu zapovijedi i naredbi, a ministru obrane za provedbu odluka. Obvezan je istodobno izvještavati oba o uporabi Oružanih snaga.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čl. 7, 15, 16, 70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4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Objasnite sve oblike obveza državljana u obrani prema Zakonu o obrani i Ustavu.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Državljani RH imaju 6 kategorija obveza u obrani: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1. USTAVNI TEMELJ (Ustav RH, čl. 47):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Vojna obveza i obrana RH dužnost je svih za to sposobnih državljana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Dopušten prigovor savjesti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2. VOJNA OBVEZA (Zakon o obrani, čl. 19-21):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Nastaje u godini kada navrši 18 godina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Prestaje: 55 god. (M), 50 god. (Ž)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Sastoji se od: novačke obveze, TVO/civilne službe, služenja u pričuvi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3. SLUŽENJE U UGOVORNOJ PRIČUVI (čl. 27.,28 ZOB):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DVO/TVO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Osposobljavanje do 90 dana godišnje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4. RADNA OBVEZA (čl. 31 ZOB):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Pravnim osobama i državljanima RH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U ratnom stanju i stanju neposredne ugroženosti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5. RADNA POMOĆ (čl. 31-32 ZOB):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može se uvesti u ratnom stanju i stanju neposredne ugroženosti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Za izvršenje zadaća nositelja obrambenih funkcija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6. MATERIJALNA OBVEZA (čl. 33 ZOB):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Ustupanje objekata i materijalnih sredstava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Za obrambene zadaće i osposobljavanje</w:t>
            </w:r>
            <w:r/>
          </w:p>
          <w:p>
            <w:pPr>
              <w:pStyle w:val="679"/>
              <w:pBdr/>
              <w:spacing/>
              <w:ind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„Esejski odgovor”</w:t>
            </w:r>
            <w:r>
              <w:rPr>
                <w:b/>
                <w:bCs/>
                <w:color w:val="ff0000"/>
                <w:u w:val="single"/>
              </w:rPr>
            </w:r>
          </w:p>
          <w:p>
            <w:pPr>
              <w:pStyle w:val="679"/>
              <w:pBdr/>
              <w:spacing/>
              <w:ind/>
              <w:rPr/>
            </w:pPr>
            <w:r>
              <w:t xml:space="preserve">Vojna obveza i obrana RH dužnost je svih sposobnih državljana, uz mogućnost prigovora savjesti.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Vojna obveza nastaje u godini navršenja 18 godina. Prestaje s 55 godina (M) odnosno 50 godina (Ž). Sastoji se od novačke obveze, TVO-a ili civilne službe te služenja u pričuvi.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Služenje u ugovornoj pričuvi – nakon dragovoljnog vojnog osposobljavanja ili temeljnog vojnog osposobljavanje. Osposobljavanje pričuve traje do 90 dana godišnje.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Radna obveza nameće se pravnim osobama i državljanima RH. Aktivira se u ratnom stanju i stanju neposredne ugroženosti.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Radna pomoć se može uvesti u ratnom stanju i stanju neposredne ugroženosti radi izvršenja zadaća nositelja obrambenih funkcija.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Materijalna obveza podrazumijeva ustupanje objekata i materijalnih sredstava za potrebe obrambenih zadaća i osposobljavanja.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Ustav RH, čl. 47; Zakon o obrani, čl. 17-35</w:t>
            </w:r>
            <w:r/>
          </w:p>
        </w:tc>
      </w:tr>
    </w:tbl>
    <w:p>
      <w:pPr>
        <w:pBdr/>
        <w:spacing w:after="300"/>
        <w:ind/>
        <w:rPr/>
      </w:pP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Style w:val="665"/>
        <w:pBdr/>
        <w:spacing/>
        <w:ind/>
        <w:rPr>
          <w:color w:val="auto"/>
        </w:rPr>
      </w:pPr>
      <w:r>
        <w:rPr>
          <w:color w:val="auto"/>
        </w:rPr>
        <w:t xml:space="preserve">Kompleksna pitanja – jedan dokument</w:t>
      </w:r>
      <w:r>
        <w:rPr>
          <w:color w:val="auto"/>
        </w:rPr>
      </w:r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5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Objasnite razlike između uporabe i korištenja Oružanih snaga prema Zakonu o obrani, uključujući tko donosi odluke u svakom slučaju.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Zakon o obrani jasno razlikuje UPORABU i KORIŠTENJE OS: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UPORABA (čl. 46-57 ZOB) - Borbeno djelovanje: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Ratno stanje: Predsjednik naređuje uporabu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Stanje neposredne ugroženosti: Predsjednik uz supotpis predsjednika Vlade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Prelazak granice: Hrvatski sabor, Vlada predlaže, Predsjednik daje suglasnost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Pomoć saveznicama: Sabor, Vlada, Predsjednik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Operacije u inozemstvu: Sabor, Vlada, Predsjednik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KORIŠTENJE (čl. 58-64 ZOB) - Neborbeno djelovanje: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Katastrofe: Vlada donosi odluku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Velike nesreće: Ministar obrane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Protupožarna zaštita: Ministar obrane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Traganje i spašavanje: Ministar obrane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Pomoć policiji (granica): Vlada uz suglasnost Predsjednika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KLJUČNE RAZLIKE: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Uporaba = borbena, izvan RH, Sabor/Predsjednik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Korištenje = neborbena, unutar RH, Vlada/Ministar</w:t>
            </w:r>
            <w:r/>
          </w:p>
          <w:p>
            <w:pPr>
              <w:pStyle w:val="679"/>
              <w:pBdr/>
              <w:spacing/>
              <w:ind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„Esejski odgovor”</w:t>
            </w:r>
            <w:r>
              <w:rPr>
                <w:b/>
                <w:bCs/>
                <w:color w:val="ff0000"/>
                <w:u w:val="single"/>
              </w:rPr>
            </w:r>
          </w:p>
          <w:p>
            <w:pPr>
              <w:pStyle w:val="679"/>
              <w:pBdr/>
              <w:spacing/>
              <w:ind/>
              <w:rPr/>
            </w:pPr>
            <w:r>
              <w:t xml:space="preserve">Uporaba obuhvaća borbeno djelovanje. Odluke donose najviša tijela vlasti ovisno o situaciji: u ratnom stanju Predsjednik naređuje samostalno; u</w:t>
            </w:r>
            <w:r>
              <w:t xml:space="preserve"> stanju neposredne ugroženosti Predsjednik uz supotpis predsjednika Vlade; za prelazak granice Sabor na prijedlog Vlade uz prethodnu suglasnost Predsjednika; za pomoć saveznicama i operacije u inozemstvu Sabor na prijedlog Vlade uz suglasnost Predsjednika.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Korištenje obuhvaća neborbeno djelovanje unuta</w:t>
            </w:r>
            <w:r>
              <w:t xml:space="preserve">r RH. Razina odlučivanja niža je i prilagođena vrsti zadaće: u katastrofama odlučuje Vlada; u velikim nesrećama, protupožarnoj zaštiti i traganju i spašavanju odlučuje ministar obrane; za pomoć policiji na granici odlučuje Vlada uz suglasnost Predsjednika.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čl. 46-64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6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Koja su prava i obveze ročnika tijekom temeljnog vojnog osposobljavanja prema Pravilniku o TVO?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OBVEZE ROČNIKA: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Življenje i rad u skladu s propisima o službi u OS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Osposobljavanje za specijalnost 11A (strijelac)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Svečana prisega pred ministrom obrane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Pridržavanje vojnih pravila i discipline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PRAVA ROČNIKA: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1. FINANCIJSKA: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Plaća/naknada prema Zakonu o službi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Naknada prijevoza (od/do prebivališta)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2. ZDRAVSTVENA ZAŠTITA: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Osnovno zdravstveno osiguranje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Dopunsko zdravstveno osiguranje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Osiguranje od ozljede na radu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Osiguranje od nesretnog slučaja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3. MATERIJALNA: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Smještaj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Prehrana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Vojna odora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Sportska oprema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4. PRIZNANJA: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Značka najboljeg ročnika naraštaja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Pravo izbora mjesta službe u prijmu u djelatnu službu ( za najboljeg ročnika)</w:t>
            </w:r>
            <w:r/>
          </w:p>
          <w:p>
            <w:pPr>
              <w:pStyle w:val="679"/>
              <w:pBdr/>
              <w:spacing/>
              <w:ind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„Esejski odgovor”</w:t>
            </w:r>
            <w:r>
              <w:rPr>
                <w:b/>
                <w:bCs/>
                <w:color w:val="ff0000"/>
                <w:u w:val="single"/>
              </w:rPr>
            </w:r>
          </w:p>
          <w:p>
            <w:pPr>
              <w:pStyle w:val="679"/>
              <w:pBdr/>
              <w:spacing/>
              <w:ind/>
              <w:rPr/>
            </w:pPr>
            <w:r>
              <w:t xml:space="preserve">Obveze ročnika — Življenje i rad u skladu s propisima o službi u OS-u, osposobljavanje za specijalnost 11A (strijelac), polaganje svečane prisege pred ministrom obrane te pridržavanje vojnih pravila i discipline.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Financijska prava — Ročnik ostvaruje pravo na plaću ili naknadu prema Zakonu o službi te naknadu troškova prijevoza od mjesta prebivališta do mjesta osposobljavanja i natrag.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Zdravstvena zaštita — Osigurano je osnovno i dopunsko zdravstveno osiguranje, osiguranje od ozljede na radu te osiguranje od nesretnog slučaja.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Materijalna prava — Ročniku se osiguravaju smještaj, prehrana, vojna odora i sportska oprema.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Priznanja — Najboljem ročniku naraštaja dodjeljuje se posebna značka. Uz to, ostvaruje pravo prednosti pri izboru mjesta službe u slučaju prijma u djelatnu vojnu službu.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Pravilnik o TVO, čl. 9, 10, 11, 15, 16, 17, 18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7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Objasnite razlike između mirnodopskog i ratnog sastava Oružanih snaga prema Zakonu o službi.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MIRNODOPSKI SASTAV: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Djelatne vojne osobe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Službenici i namještenici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Pričuvnici pozvani na službu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Ugovorni pričuvnici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Kadeti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Ročnici na TVO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Svrha: redovno funkcioniranje OS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Veličina: određena mirnodopskim ustrojem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RATNI SASTAV: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SVE iz mirnodopskog sastava PLUS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Mobiliziran i razvrstani pričuvnici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Nerazvrstani pričuvnici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Drugi vojni obveznici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Svrha: borbena djelovanja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Veličina: određena ratnim ustrojem (znatno veća)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PRIJELAZ: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Mobilizacijom (ratno stanje, stanje neposredne ugroženosti)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Odluku donosi Predsjednik Republike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Može biti opća ili djelomična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OS prelaze iz mirnodopskog u ratno ustrojstvo</w:t>
            </w:r>
            <w:r/>
          </w:p>
          <w:p>
            <w:pPr>
              <w:pStyle w:val="679"/>
              <w:pBdr/>
              <w:spacing/>
              <w:ind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„Esejski odgovor”</w:t>
            </w:r>
            <w:r>
              <w:rPr>
                <w:b/>
                <w:bCs/>
                <w:color w:val="ff0000"/>
                <w:u w:val="single"/>
              </w:rPr>
            </w:r>
          </w:p>
          <w:p>
            <w:pPr>
              <w:pStyle w:val="679"/>
              <w:pBdr/>
              <w:spacing/>
              <w:ind/>
              <w:rPr/>
            </w:pPr>
            <w:r>
              <w:t xml:space="preserve">Mirnodopski sastav — Čine ga djelatne vojne osobe, službenici i namještenici, pričuvnici pozvani na službu, ugovorni pričuvnici, kadeti te ročnici na TVO. Veličina je određena mirnodopskim ustrojem, a svrha redovno funkcioniranje OS-a.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Ratni sastav — Obuhvaća sve kategorije mirnodopskog sastava uz dodatak mobiliziranih i razvrstanih pričuvnika, nerazvrstanih pričuvnika te drugih vojnih obveznika. Veličina je određena ratnim ustrojem</w:t>
            </w:r>
            <w:bookmarkStart w:id="0" w:name="_GoBack"/>
            <w:r/>
            <w:bookmarkEnd w:id="0"/>
            <w:r>
              <w:t xml:space="preserve">. Svrha je borbeno djelovanje.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Prijelaz između sastava — Provodi se mobilizacijom koju naređuje Predsjednik Republike u ratnom stanju ili stanju neposredne ugroženosti. Mobilizacija može biti opća ili djelomična, a njome OS prelaze iz mirnodopskog u ratno ustrojstvo.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službi, čl. 25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8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Objasnite postupak i uvjete za odgodu temeljnog vojnog osposobljavanja prema Zakonu o obrani.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POSTUPAK: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1. Zahtjev se podnosi područnom odjelu za poslove obrane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2. Rok: 8 dana od primitka poziva na TVO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3. Dostavlja se preporučenom poštom ili elektronički u područni ured za obranu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4. Prilaže se dokumentacija koja opravdava odgodu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RAZLOZI ZA ODGODU: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1. ŠKOLOVANJE: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Upisan na visoko učilište u tekućoj godini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Može podnijeti svake godine tijekom studija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Najdulje do kraja godine u kojoj navršava 29 godina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2. OBITELJSKI: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Smrt člana uže obitelji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Ako bi obitelj bila dovedena u težak položaj</w:t>
            </w:r>
            <w:r/>
          </w:p>
          <w:p>
            <w:pPr>
              <w:pBdr/>
              <w:spacing w:line="360" w:lineRule="auto"/>
              <w:ind/>
              <w:rPr/>
            </w:pPr>
            <w:r/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ODLUČIVANJE: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Područni odjel donosi rješenje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U upravnom postupku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Utvrđuje se konkretan rok odgode</w:t>
            </w:r>
            <w:r/>
          </w:p>
          <w:p>
            <w:pPr>
              <w:pBdr/>
              <w:spacing w:after="120" w:line="360" w:lineRule="auto"/>
              <w:ind/>
              <w:rPr/>
            </w:pPr>
            <w:r>
              <w:t xml:space="preserve">- Moguća žalba i upravni spor</w:t>
            </w:r>
            <w:r/>
          </w:p>
          <w:p>
            <w:pPr>
              <w:pStyle w:val="679"/>
              <w:pBdr/>
              <w:spacing/>
              <w:ind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„Esejski odgovor”</w:t>
            </w:r>
            <w:r>
              <w:rPr>
                <w:b/>
                <w:bCs/>
                <w:color w:val="ff0000"/>
                <w:u w:val="single"/>
              </w:rPr>
            </w:r>
          </w:p>
          <w:p>
            <w:pPr>
              <w:pStyle w:val="679"/>
              <w:pBdr/>
              <w:spacing/>
              <w:ind/>
              <w:rPr/>
            </w:pPr>
            <w:r>
              <w:t xml:space="preserve">Odgoda upućivanja na Temeljno vojno osposobljavanje regulirana je Zakonom o obrani i provedbenim propisima.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Postupak — Zahtjev se podnosi područnom odjelu za poslove obrane u roku od 8 dana od primitka poziva, preporučenom poštom ili elektronički, uz priloženu dokumentaciju koja opravdava odgodu.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Razlozi za odgodu — Šk</w:t>
            </w:r>
            <w:r>
              <w:t xml:space="preserve">olovanje: kandidat upisan na visoko učilište može podnijeti zahtjev svake akademske godine, najdulje do kraja godine u kojoj navršava 29 godina. Obiteljski razlozi: smrt člana uže obitelji ili situacija u kojoj bi upućivanje obitelj dovelo u težak položaj.</w:t>
            </w:r>
            <w:r/>
          </w:p>
          <w:p>
            <w:pPr>
              <w:pStyle w:val="679"/>
              <w:pBdr/>
              <w:spacing/>
              <w:ind/>
              <w:rPr/>
            </w:pPr>
            <w:r>
              <w:t xml:space="preserve">Odlučivanje — Područni odjel donosi rješenje u upravnom postupku kojim se utvrđuje konkretan rok odgode. Protiv rješenja moguća je žalba i pokretanje upravnog spora.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čl. 21.i, 21.j, 21.k, 21.n, 35</w:t>
            </w:r>
            <w:r/>
          </w:p>
        </w:tc>
      </w:tr>
    </w:tbl>
    <w:p>
      <w:pPr>
        <w:pBdr/>
        <w:spacing w:after="300"/>
        <w:ind/>
        <w:rPr/>
      </w:pP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Style w:val="665"/>
        <w:pBdr/>
        <w:spacing/>
        <w:ind/>
        <w:rPr>
          <w:color w:val="auto"/>
        </w:rPr>
      </w:pPr>
      <w:r>
        <w:rPr>
          <w:color w:val="auto"/>
        </w:rPr>
        <w:t xml:space="preserve">Jednostavna pitanja</w:t>
      </w:r>
      <w:r>
        <w:rPr>
          <w:color w:val="auto"/>
        </w:rPr>
      </w:r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9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Kada nastaje vojna obveza za državljane Republike Hrvatske?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Vojna obveza nastaje u kalendarskoj godini u kojoj državljanin Republike Hrvatske navršava 18 godina života.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19, stavak 2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10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Koliko traje temeljno vojno osposobljavanje?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Temeljno vojno osposobljavanje traje dva mjeseca.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21.m, stavak 2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11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Tko je vrhovni zapovjednik Oružanih snaga Republike Hrvatske?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Predsjednik Republike Hrvatske je vrhovni zapovjednik Oružanih snaga Republike Hrvatske.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Ustav Republike Hrvatske, Članak 100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12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Koje su tri grane Oružanih snaga Republike Hrvatske?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Tri grane Oružanih snaga Republike Hrvatske su: Hrvatska kopnena </w:t>
            </w:r>
            <w:r>
              <w:t xml:space="preserve">vojska, Hrvatska ratna mornarica i Hrvatsko ratno zrakoplovstvo.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41, stavak 3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13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Kada prestaje vojna obveza za muškarce?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Vojna obveza za muškarce prestaje na kraju kalendarske godine u kojoj navršavaju 55 godina života.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20,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14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Tko imenuje načelnika Glavnog stožera Oružanih snaga?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Načelnika Glavnog stožera Oružanih snaga imenuje Predsjednik Republike Hrvatske na prijedlog Vlade Republike Hrvatske i nakon pribavljenog mišljenja Odbora za obranu Hrvatskoga sabora.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7, točka 8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15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Koliko traje mandat načelnika Glavnog stožera?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Načelnik Glavnog stožera imenuje se na razdoblje od četiri godine i bez mogućnosti reizbora.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15, stavak 4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16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Što je temeljna svrha obrane Republike Hrvatske?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Temeljna svrha obrane je očuvanje suvereniteta, neovisnosti i teritorijalne cjelovitosti Republike Hrvatske.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2,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17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Do koje dobi novak može biti upućen na temeljno vojno osposobljavanje?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Novak može biti upućen na temeljno vojno osposobljavanje do isteka 30 godina života.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21.lj, stavak 3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18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Tko donosi odluku o mobilizaciji Oružanih snaga?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Odluku o mobilizaciji Oružanih snaga donosi Predsjednik Republike na prijedlog ministra obrane.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7, točka 6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19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Kada prestaje vojna obveza za žene?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Vojna obveza za žene prestaje na kraju kalendarske godine u kojoj navršavaju 50 godina života.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20,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20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U kojoj godini života se državljanin RH uvodi u vojnu evidenciju?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Državljanin Republike Hrvatske uvodi se u vojnu evidenciju u kalendarskoj godini kada navrši 18 godina života.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21.b,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21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Tko proglašava ratno stanje u Republici Hrvatskoj?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Ratno stanje u Republici Hrvatskoj proglašava Hrvatski sabor.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5,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22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Koliko dana prije upućivanja ministar obrane donosi odluku o upućivanju kandidata na TVO?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Ministar obrane donosi odluku o upućivanju kandidata na temeljno vojno osposobljavanje u pravilu 40 dana prije upućivanja kandidata.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Pravilnik o temeljnom vojnom osposobljavanju, Članak 7, stavak 2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23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Tko donosi program obuke ročnika na temeljnom vojnom osposobljavanju?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Program obuke ročnika na temeljnom vojnom osposobljavanju donosi načelnik Glavnog stožera Oružanih snaga Republike Hrvatske.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Pravilnik o temeljnom vojnom osposobljavanju, Članak 9, stavak 2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24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Pred kim ročnici daju svečanu prisegu?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Ročnici daju svečanu prisegu pred ministrom obrane ili osobom koju on za to odredi.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Pravilnik o temeljnom vojnom osposobljavanju, Članak 10,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25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Za koju vojnostručnu specijalnost se ročnici osposobljavaju na TVO?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Ročnici se osposobljavaju u temeljnim vojnim znanjima i sposobnostima u rodu pješaštva za strijelačku specijalnost 11A, dužnost strijelca.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Pravilnik o temeljnom vojnom osposobljavanju, Članak 9,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26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Što čini mirnodopski sastav Oružanih snaga?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Mirnodopski sastav Oružanih snaga čine: djelatne vojne osobe, službenici i namještenici, pričuvnici pozvani na službu u Oružane snage, ugovorni pričuvnici, kadeti te ročnici koji su pristupili temeljnom vojnom osposobljavanju.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službi u Oružanim snagama RH, Članak 25, stavak 2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27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Tko utvrđuje mirnodopski i ratni ustroj Oružanih snaga?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Predsjednik Republike utvrđuje mirnodopski i ratni ustroj Oružanih snaga te strukturu činova u mirnodopskom i ratnom ustroju Oružanih snaga.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službi u Oružanim snagama RH, Članak 25, stavak 4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28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Koliko traje minimalno godišnji odmor djelatne vojne osobe?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Djelatna vojna osoba ima pravo na godišnji odmor za svaku kalendarsku godinu u trajanju od najmanje četiri tjedna.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službi u Oružanim snagama RH, Članak 156,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29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Koliko dana plaćenog dopusta pripada djelatnoj vojnoj osobi u slučaju rođenja djeteta?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Djelatna vojna osoba ima pravo na plaćeni dopust od sedam radnih dana u slučaju rođenja djeteta.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službi u Oružanim snagama RH, Članak 159,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30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Koliko dana plaćenog dopusta pripada djelatnoj vojnoj osobi u slučaju zaključenja braka?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Djelatna vojna osoba ima pravo na plaćeni dopust od sedam radnih dana u slučaju zaključenja braka.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službi u Oružanim snagama RH, Članak 159, stavak 1</w:t>
            </w:r>
            <w:r/>
          </w:p>
        </w:tc>
      </w:tr>
    </w:tbl>
    <w:p>
      <w:pPr>
        <w:pBdr/>
        <w:spacing w:after="300"/>
        <w:ind/>
        <w:rPr/>
      </w:pPr>
      <w:r/>
      <w:r/>
    </w:p>
    <w:tbl>
      <w:tblPr>
        <w:tblInd w:w="11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ID: </w:t>
            </w:r>
            <w:r>
              <w:t xml:space="preserve">31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b/>
                <w:bCs/>
              </w:rPr>
              <w:t xml:space="preserve">PITANJE: </w:t>
            </w:r>
            <w:r>
              <w:t xml:space="preserve">Što je vojna iskaznica i tko ju izdaje?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120" w:type="dxa"/>
              <w:bottom w:w="120" w:type="dxa"/>
            </w:tcMar>
            <w:tcW w:w="9360" w:type="dxa"/>
          </w:tcPr>
          <w:p>
            <w:pPr>
              <w:pBdr/>
              <w:spacing w:after="120" w:line="360" w:lineRule="auto"/>
              <w:ind/>
              <w:rPr/>
            </w:pPr>
            <w:r>
              <w:rPr>
                <w:b/>
                <w:bCs/>
              </w:rPr>
              <w:t xml:space="preserve">ODGOVOR: </w:t>
            </w:r>
            <w:r>
              <w:t xml:space="preserve">Vojna iskaznica je javna isprava kojom vojni obveznik dokazuje identitet dok izvršava vojnu obvezu. Izdaje ju nadležni područni odjel za poslove obrane koji vojnog obveznika vodi u evidenciji.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2"/>
                <w:szCs w:val="22"/>
              </w:rPr>
              <w:t xml:space="preserve">IZVOR: </w:t>
            </w:r>
            <w:r>
              <w:rPr>
                <w:i/>
                <w:iCs/>
                <w:sz w:val="22"/>
                <w:szCs w:val="22"/>
              </w:rPr>
              <w:t xml:space="preserve">Zakon o obrani, Članak 25.l, stavci 1 i 3</w:t>
            </w:r>
            <w:r/>
          </w:p>
        </w:tc>
      </w:tr>
    </w:tbl>
    <w:p>
      <w:pPr>
        <w:pBdr/>
        <w:spacing w:after="30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  <w:lang w:val="hr-HR" w:eastAsia="hr-H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1"/>
    <w:link w:val="6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qFormat/>
    <w:pPr>
      <w:pBdr>
        <w:bottom w:val="single" w:color="1f4e78" w:sz="6" w:space="1"/>
      </w:pBdr>
      <w:spacing w:after="200" w:before="400"/>
      <w:ind/>
      <w:outlineLvl w:val="0"/>
    </w:pPr>
    <w:rPr>
      <w:b/>
      <w:bCs/>
      <w:color w:val="1f4e78"/>
      <w:sz w:val="32"/>
      <w:szCs w:val="32"/>
    </w:rPr>
  </w:style>
  <w:style w:type="paragraph" w:styleId="666">
    <w:name w:val="Heading 2"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667">
    <w:name w:val="Heading 3"/>
    <w:qFormat/>
    <w:pPr>
      <w:pBdr/>
      <w:spacing/>
      <w:ind/>
      <w:outlineLvl w:val="2"/>
    </w:pPr>
    <w:rPr>
      <w:color w:val="1f4d78"/>
    </w:rPr>
  </w:style>
  <w:style w:type="paragraph" w:styleId="668">
    <w:name w:val="Heading 4"/>
    <w:qFormat/>
    <w:pPr>
      <w:pBdr/>
      <w:spacing/>
      <w:ind/>
      <w:outlineLvl w:val="3"/>
    </w:pPr>
    <w:rPr>
      <w:i/>
      <w:iCs/>
      <w:color w:val="2e74b5"/>
    </w:rPr>
  </w:style>
  <w:style w:type="paragraph" w:styleId="669">
    <w:name w:val="Heading 5"/>
    <w:qFormat/>
    <w:pPr>
      <w:pBdr/>
      <w:spacing/>
      <w:ind/>
      <w:outlineLvl w:val="4"/>
    </w:pPr>
    <w:rPr>
      <w:color w:val="2e74b5"/>
    </w:rPr>
  </w:style>
  <w:style w:type="paragraph" w:styleId="670">
    <w:name w:val="Heading 6"/>
    <w:qFormat/>
    <w:pPr>
      <w:pBdr/>
      <w:spacing/>
      <w:ind/>
      <w:outlineLvl w:val="5"/>
    </w:pPr>
    <w:rPr>
      <w:color w:val="1f4d78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character" w:styleId="67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75" w:customStyle="1">
    <w:name w:val="Znakovi fusnota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676">
    <w:name w:val="footnote reference"/>
    <w:pPr>
      <w:pBdr/>
      <w:spacing/>
      <w:ind/>
    </w:pPr>
    <w:rPr>
      <w:vertAlign w:val="superscript"/>
    </w:rPr>
  </w:style>
  <w:style w:type="character" w:styleId="677" w:customStyle="1">
    <w:name w:val="Footnote Text Char"/>
    <w:link w:val="686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paragraph" w:styleId="678" w:customStyle="1">
    <w:name w:val="Stil naslova"/>
    <w:basedOn w:val="664"/>
    <w:next w:val="67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79">
    <w:name w:val="Body Text"/>
    <w:basedOn w:val="664"/>
    <w:pPr>
      <w:pBdr/>
      <w:spacing w:after="140" w:line="276" w:lineRule="auto"/>
      <w:ind/>
    </w:pPr>
  </w:style>
  <w:style w:type="paragraph" w:styleId="680">
    <w:name w:val="List"/>
    <w:basedOn w:val="679"/>
    <w:pPr>
      <w:pBdr/>
      <w:spacing/>
      <w:ind/>
    </w:pPr>
    <w:rPr>
      <w:rFonts w:cs="Noto Sans Devanagari"/>
    </w:rPr>
  </w:style>
  <w:style w:type="paragraph" w:styleId="681">
    <w:name w:val="Caption"/>
    <w:basedOn w:val="664"/>
    <w:qFormat/>
    <w:pPr>
      <w:suppressLineNumbers w:val="true"/>
      <w:pBdr/>
      <w:spacing w:after="120" w:before="120"/>
      <w:ind/>
    </w:pPr>
    <w:rPr>
      <w:rFonts w:cs="Noto Sans Devanagari"/>
      <w:i/>
      <w:iCs/>
    </w:rPr>
  </w:style>
  <w:style w:type="paragraph" w:styleId="682" w:customStyle="1">
    <w:name w:val="Indeks"/>
    <w:basedOn w:val="664"/>
    <w:qFormat/>
    <w:pPr>
      <w:suppressLineNumbers w:val="true"/>
      <w:pBdr/>
      <w:spacing/>
      <w:ind/>
    </w:pPr>
    <w:rPr>
      <w:rFonts w:cs="Noto Sans Devanagari"/>
    </w:rPr>
  </w:style>
  <w:style w:type="paragraph" w:styleId="683">
    <w:name w:val="Title"/>
    <w:qFormat/>
    <w:pPr>
      <w:pBdr/>
      <w:spacing w:after="400"/>
      <w:ind/>
      <w:jc w:val="center"/>
    </w:pPr>
    <w:rPr>
      <w:b/>
      <w:bCs/>
      <w:color w:val="1f4e78"/>
      <w:sz w:val="48"/>
      <w:szCs w:val="48"/>
    </w:rPr>
  </w:style>
  <w:style w:type="paragraph" w:styleId="684" w:customStyle="1">
    <w:name w:val="Strong1"/>
    <w:qFormat/>
    <w:pPr>
      <w:pBdr/>
      <w:spacing/>
      <w:ind/>
    </w:pPr>
    <w:rPr>
      <w:b/>
      <w:bCs/>
    </w:rPr>
  </w:style>
  <w:style w:type="paragraph" w:styleId="685">
    <w:name w:val="List Paragraph"/>
    <w:qFormat/>
    <w:pPr>
      <w:pBdr/>
      <w:spacing/>
      <w:ind/>
    </w:pPr>
  </w:style>
  <w:style w:type="paragraph" w:styleId="686">
    <w:name w:val="footnote text"/>
    <w:link w:val="67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87" w:customStyle="1">
    <w:name w:val="Sadržaji tablice"/>
    <w:basedOn w:val="664"/>
    <w:qFormat/>
    <w:pPr>
      <w:widowControl w:val="false"/>
      <w:suppressLineNumbers w:val="true"/>
      <w:pBdr/>
      <w:spacing/>
      <w:ind/>
    </w:pPr>
  </w:style>
  <w:style w:type="paragraph" w:styleId="688" w:customStyle="1">
    <w:name w:val="Naslov tablice"/>
    <w:basedOn w:val="687"/>
    <w:qFormat/>
    <w:pPr>
      <w:pBdr/>
      <w:spacing/>
      <w:ind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MORH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JURICA MIJATOVIĆ</dc:creator>
  <dc:language>hr-HR</dc:language>
  <cp:revision>4</cp:revision>
  <dcterms:created xsi:type="dcterms:W3CDTF">2026-03-03T07:38:00Z</dcterms:created>
  <dcterms:modified xsi:type="dcterms:W3CDTF">2026-09-07T09:08:51Z</dcterms:modified>
</cp:coreProperties>
</file>