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CC34CB0">
      <w:pPr>
        <w:keepNext w:val="0"/>
        <w:keepLines w:val="0"/>
        <w:widowControl/>
        <w:suppressLineNumbers w:val="0"/>
        <w:jc w:val="left"/>
        <w:rPr>
          <w:spacing w:val="20"/>
          <w:sz w:val="16"/>
          <w:szCs w:val="16"/>
        </w:rPr>
      </w:pPr>
      <w:r>
        <w:rPr>
          <w:rFonts w:ascii="宋体" w:hAnsi="宋体" w:eastAsia="宋体" w:cs="宋体"/>
          <w:kern w:val="0"/>
          <w:sz w:val="24"/>
          <w:szCs w:val="24"/>
          <w:lang w:val="en-US" w:eastAsia="zh-CN" w:bidi="ar"/>
        </w:rPr>
        <w:t>中国血脂管理指南（基层版2024年）</w:t>
      </w:r>
      <w:bookmarkStart w:id="0" w:name="_GoBack"/>
      <w:bookmarkEnd w:id="0"/>
    </w:p>
    <w:p w14:paraId="0AE9E626">
      <w:pPr>
        <w:pStyle w:val="2"/>
        <w:keepNext w:val="0"/>
        <w:keepLines w:val="0"/>
        <w:widowControl/>
        <w:suppressLineNumbers w:val="0"/>
        <w:spacing w:after="160" w:afterAutospacing="0"/>
        <w:ind w:left="0" w:firstLine="0"/>
      </w:pPr>
      <w:r>
        <w:rPr>
          <w:spacing w:val="20"/>
          <w:sz w:val="16"/>
          <w:szCs w:val="16"/>
        </w:rPr>
        <w:t>以动脉粥样硬化性心血管疾病（atherosclerotic cardiovascular disease，ASCVD）为主的心血管疾病（cardiovascular disease，CVD）是我国城乡居民第一位死亡原因，占死因构成的40%以上</w:t>
      </w:r>
      <w:r>
        <w:rPr>
          <w:spacing w:val="20"/>
          <w:sz w:val="10"/>
          <w:szCs w:val="10"/>
          <w:vertAlign w:val="superscript"/>
        </w:rPr>
        <w:t>［1］</w:t>
      </w:r>
      <w:r>
        <w:rPr>
          <w:spacing w:val="20"/>
          <w:sz w:val="16"/>
          <w:szCs w:val="16"/>
        </w:rPr>
        <w:t>。近年来，我国ASCVD的负担仍持续增加，防控形势严峻。目前已证实，低密度脂蛋白胆固醇（low-density lipoprotein cholesterol，LDL-C）是ASCVD的致病性危险因素</w:t>
      </w:r>
      <w:r>
        <w:rPr>
          <w:spacing w:val="20"/>
          <w:sz w:val="10"/>
          <w:szCs w:val="10"/>
          <w:vertAlign w:val="superscript"/>
        </w:rPr>
        <w:t>［2］</w:t>
      </w:r>
      <w:r>
        <w:rPr>
          <w:spacing w:val="20"/>
          <w:sz w:val="16"/>
          <w:szCs w:val="16"/>
        </w:rPr>
        <w:t>。然而，数据显示，近几十年来我国≥18岁人群血脂异常患病率明显升高</w:t>
      </w:r>
      <w:r>
        <w:rPr>
          <w:spacing w:val="20"/>
          <w:sz w:val="10"/>
          <w:szCs w:val="10"/>
          <w:vertAlign w:val="superscript"/>
        </w:rPr>
        <w:t>［3］</w:t>
      </w:r>
      <w:r>
        <w:rPr>
          <w:spacing w:val="20"/>
          <w:sz w:val="16"/>
          <w:szCs w:val="16"/>
        </w:rPr>
        <w:t>，但其知晓率、治疗率和控制率均处于较低水平。因此，有必要进一步加强血脂管理，做好ASCVD的一级和二级预防。</w:t>
      </w:r>
    </w:p>
    <w:p w14:paraId="2B608770">
      <w:pPr>
        <w:pStyle w:val="2"/>
        <w:keepNext w:val="0"/>
        <w:keepLines w:val="0"/>
        <w:widowControl/>
        <w:suppressLineNumbers w:val="0"/>
        <w:spacing w:after="160" w:afterAutospacing="0"/>
        <w:ind w:left="0" w:firstLine="0"/>
      </w:pPr>
      <w:r>
        <w:rPr>
          <w:spacing w:val="20"/>
          <w:sz w:val="16"/>
          <w:szCs w:val="16"/>
        </w:rPr>
        <w:t>2023年3月24日，由国家心血管病专家委员会联合中华医学会心血管病学分会、内分泌学分会、糖尿病学分会、检验医学分会及中国卒中学会发布了《中国血脂管理指南（2023年）》</w:t>
      </w:r>
      <w:r>
        <w:rPr>
          <w:spacing w:val="20"/>
          <w:sz w:val="10"/>
          <w:szCs w:val="10"/>
          <w:vertAlign w:val="superscript"/>
        </w:rPr>
        <w:t>［4］</w:t>
      </w:r>
      <w:r>
        <w:rPr>
          <w:spacing w:val="20"/>
          <w:sz w:val="16"/>
          <w:szCs w:val="16"/>
        </w:rPr>
        <w:t>。为便于基层医师更好地开展血脂管理，在该指南基础上制定了《中国血脂管理指南（基层版2024年）》。</w:t>
      </w:r>
    </w:p>
    <w:p w14:paraId="4DCEDFAC">
      <w:pPr>
        <w:keepNext w:val="0"/>
        <w:keepLines w:val="0"/>
        <w:widowControl/>
        <w:suppressLineNumbers w:val="0"/>
        <w:jc w:val="left"/>
      </w:pPr>
      <w:r>
        <w:rPr>
          <w:rFonts w:ascii="宋体" w:hAnsi="宋体" w:eastAsia="宋体" w:cs="宋体"/>
          <w:spacing w:val="20"/>
          <w:kern w:val="0"/>
          <w:sz w:val="16"/>
          <w:szCs w:val="16"/>
          <w:lang w:val="en-US" w:eastAsia="zh-CN" w:bidi="ar"/>
        </w:rPr>
        <w:t>一、血脂检测项目</w:t>
      </w:r>
    </w:p>
    <w:p w14:paraId="2DA97E10">
      <w:pPr>
        <w:pStyle w:val="2"/>
        <w:keepNext w:val="0"/>
        <w:keepLines w:val="0"/>
        <w:widowControl/>
        <w:suppressLineNumbers w:val="0"/>
        <w:spacing w:after="160" w:afterAutospacing="0" w:line="420" w:lineRule="atLeast"/>
        <w:ind w:left="0" w:firstLine="0"/>
      </w:pPr>
      <w:r>
        <w:rPr>
          <w:spacing w:val="20"/>
          <w:sz w:val="16"/>
          <w:szCs w:val="16"/>
        </w:rPr>
        <w:t>建议临床血脂检测包括总胆固醇（total cholesterol，TC）、甘油三酯（triglyceride，TG）、LDL-C和高密度脂蛋白胆固醇（high-density lipoprotein cholesterol，HDL-C）。TC是指血液中各脂蛋白所含胆固醇之总和。LDL-C是ASCVD的致病性危险因素，是调脂治疗的首要干预靶点。通常情况下，HDL-C水平与ASCVD风险呈负相关。</w:t>
      </w:r>
    </w:p>
    <w:p w14:paraId="453BC80A">
      <w:pPr>
        <w:pStyle w:val="2"/>
        <w:keepNext w:val="0"/>
        <w:keepLines w:val="0"/>
        <w:widowControl/>
        <w:suppressLineNumbers w:val="0"/>
        <w:spacing w:after="160" w:afterAutospacing="0" w:line="420" w:lineRule="atLeast"/>
        <w:ind w:left="0" w:firstLine="0"/>
      </w:pPr>
      <w:r>
        <w:rPr>
          <w:spacing w:val="20"/>
          <w:sz w:val="16"/>
          <w:szCs w:val="16"/>
        </w:rPr>
        <w:t>非HDL-C为TC减去HDL-C获得，代表了所有含有载脂蛋白B（apolipoprotein B，ApoB）的脂蛋白胆固醇的总量，非HDL-C也可作为ASCVD一级和二级预防的干预靶点。</w:t>
      </w:r>
    </w:p>
    <w:p w14:paraId="5B13DAC6">
      <w:pPr>
        <w:pStyle w:val="2"/>
        <w:keepNext w:val="0"/>
        <w:keepLines w:val="0"/>
        <w:widowControl/>
        <w:suppressLineNumbers w:val="0"/>
        <w:spacing w:after="160" w:afterAutospacing="0" w:line="420" w:lineRule="atLeast"/>
        <w:ind w:left="0" w:firstLine="0"/>
      </w:pPr>
      <w:r>
        <w:rPr>
          <w:spacing w:val="20"/>
          <w:sz w:val="16"/>
          <w:szCs w:val="16"/>
        </w:rPr>
        <w:t>有条件的医疗机构可以开展载脂蛋白A1（apolipoprotein A1，ApoA1）、ApoB、脂蛋白（a）［lipoprotein（a），Lp（a）］检测。一般情况下，血清ApoA1主要反映高密度脂蛋白（high-density lipoprotein，HDL）颗粒水平，血清ApoB主要反映低密度脂蛋白（low-density lipoprotein，LDL）颗粒水平。Lp（a）由LDL样颗粒和载脂蛋白（a）［apolipoprotein，Apo（a）］组成，是ASCVD和钙化性主动脉瓣狭窄的独立危险因素。</w:t>
      </w:r>
    </w:p>
    <w:p w14:paraId="6D0E85DE">
      <w:pPr>
        <w:keepNext w:val="0"/>
        <w:keepLines w:val="0"/>
        <w:widowControl/>
        <w:numPr>
          <w:ilvl w:val="0"/>
          <w:numId w:val="1"/>
        </w:numPr>
        <w:suppressLineNumbers w:val="0"/>
        <w:jc w:val="left"/>
        <w:rPr>
          <w:rFonts w:hint="eastAsia" w:ascii="宋体" w:hAnsi="宋体" w:eastAsia="宋体" w:cs="宋体"/>
          <w:spacing w:val="20"/>
          <w:kern w:val="0"/>
          <w:sz w:val="16"/>
          <w:szCs w:val="16"/>
          <w:lang w:val="en-US" w:eastAsia="zh-CN" w:bidi="ar"/>
        </w:rPr>
      </w:pPr>
      <w:r>
        <w:rPr>
          <w:rFonts w:ascii="宋体" w:hAnsi="宋体" w:eastAsia="宋体" w:cs="宋体"/>
          <w:spacing w:val="20"/>
          <w:kern w:val="0"/>
          <w:sz w:val="16"/>
          <w:szCs w:val="16"/>
          <w:lang w:val="en-US" w:eastAsia="zh-CN" w:bidi="ar"/>
        </w:rPr>
        <w:t>血脂筛查对</w:t>
      </w:r>
      <w:r>
        <w:rPr>
          <w:rFonts w:hint="eastAsia" w:ascii="宋体" w:hAnsi="宋体" w:eastAsia="宋体" w:cs="宋体"/>
          <w:spacing w:val="20"/>
          <w:kern w:val="0"/>
          <w:sz w:val="16"/>
          <w:szCs w:val="16"/>
          <w:lang w:val="en-US" w:eastAsia="zh-CN" w:bidi="ar"/>
        </w:rPr>
        <w:t>象</w:t>
      </w:r>
    </w:p>
    <w:p w14:paraId="25945171">
      <w:pPr>
        <w:keepNext w:val="0"/>
        <w:keepLines w:val="0"/>
        <w:widowControl/>
        <w:numPr>
          <w:numId w:val="0"/>
        </w:numPr>
        <w:suppressLineNumbers w:val="0"/>
        <w:jc w:val="left"/>
        <w:rPr>
          <w:rFonts w:hint="default" w:ascii="宋体" w:hAnsi="宋体" w:eastAsia="宋体" w:cs="宋体"/>
          <w:spacing w:val="20"/>
          <w:kern w:val="0"/>
          <w:sz w:val="16"/>
          <w:szCs w:val="16"/>
          <w:lang w:val="en-US" w:eastAsia="zh-CN" w:bidi="ar"/>
        </w:rPr>
      </w:pPr>
    </w:p>
    <w:p w14:paraId="78583B7C">
      <w:pPr>
        <w:keepNext w:val="0"/>
        <w:keepLines w:val="0"/>
        <w:widowControl/>
        <w:suppressLineNumbers w:val="0"/>
        <w:jc w:val="left"/>
        <w:rPr>
          <w:rFonts w:ascii="宋体" w:hAnsi="宋体" w:eastAsia="宋体" w:cs="宋体"/>
          <w:spacing w:val="20"/>
          <w:kern w:val="0"/>
          <w:sz w:val="16"/>
          <w:szCs w:val="16"/>
          <w:lang w:val="en-US" w:eastAsia="zh-CN" w:bidi="ar"/>
        </w:rPr>
      </w:pPr>
      <w:r>
        <w:rPr>
          <w:rFonts w:ascii="宋体" w:hAnsi="宋体" w:eastAsia="宋体" w:cs="宋体"/>
          <w:spacing w:val="20"/>
          <w:kern w:val="0"/>
          <w:sz w:val="16"/>
          <w:szCs w:val="16"/>
          <w:lang w:val="en-US" w:eastAsia="zh-CN" w:bidi="ar"/>
        </w:rPr>
        <w:t>血脂筛查有利于及早发现血脂异常人群和指导ASCVD风险评估与干预治疗。对于普通人群，建议&lt;40岁成年人每2~5年进行1次血脂检测（包括TC、LDL-C、HDL-C和TG），≥40岁成年人每年至少应进行1次血脂检测。采集静脉血，采血前至少2周内保持日常饮食习惯和体重稳定，24 h内不进行剧烈身体活动，禁食8~12 h，坐位休息至少5 min。血脂检查的重点对象为：（1）有ASCVD病史者；（2）有多个ASCVD危险因素（如高血压、糖尿病、肥胖、吸烟）者；（3）有早发ASCVD家族史（男性一级亲属&lt;55岁或女性一级亲属&lt;65岁患ASCVD）者或家族性高脂血症患者；（4）皮肤或肌腱黄色瘤及跟腱增厚者。</w:t>
      </w:r>
    </w:p>
    <w:p w14:paraId="57D9355C">
      <w:pPr>
        <w:keepNext w:val="0"/>
        <w:keepLines w:val="0"/>
        <w:widowControl/>
        <w:suppressLineNumbers w:val="0"/>
        <w:jc w:val="left"/>
        <w:rPr>
          <w:rFonts w:ascii="宋体" w:hAnsi="宋体" w:eastAsia="宋体" w:cs="宋体"/>
          <w:spacing w:val="20"/>
          <w:kern w:val="0"/>
          <w:sz w:val="16"/>
          <w:szCs w:val="16"/>
          <w:lang w:val="en-US" w:eastAsia="zh-CN" w:bidi="ar"/>
        </w:rPr>
      </w:pPr>
    </w:p>
    <w:p w14:paraId="5AD35FA3">
      <w:pPr>
        <w:keepNext w:val="0"/>
        <w:keepLines w:val="0"/>
        <w:widowControl/>
        <w:numPr>
          <w:ilvl w:val="0"/>
          <w:numId w:val="1"/>
        </w:numPr>
        <w:suppressLineNumbers w:val="0"/>
        <w:ind w:left="0" w:leftChars="0" w:firstLine="0" w:firstLineChars="0"/>
        <w:jc w:val="left"/>
        <w:rPr>
          <w:rFonts w:ascii="宋体" w:hAnsi="宋体" w:eastAsia="宋体" w:cs="宋体"/>
          <w:spacing w:val="20"/>
          <w:kern w:val="0"/>
          <w:sz w:val="24"/>
          <w:szCs w:val="24"/>
          <w:lang w:val="en-US" w:eastAsia="zh-CN" w:bidi="ar"/>
        </w:rPr>
      </w:pPr>
      <w:r>
        <w:rPr>
          <w:rFonts w:ascii="宋体" w:hAnsi="宋体" w:eastAsia="宋体" w:cs="宋体"/>
          <w:spacing w:val="20"/>
          <w:kern w:val="0"/>
          <w:sz w:val="24"/>
          <w:szCs w:val="24"/>
          <w:lang w:val="en-US" w:eastAsia="zh-CN" w:bidi="ar"/>
        </w:rPr>
        <w:t>血脂管理原则</w:t>
      </w:r>
    </w:p>
    <w:p w14:paraId="15A8054D">
      <w:pPr>
        <w:keepNext w:val="0"/>
        <w:keepLines w:val="0"/>
        <w:widowControl/>
        <w:numPr>
          <w:numId w:val="0"/>
        </w:numPr>
        <w:suppressLineNumbers w:val="0"/>
        <w:ind w:leftChars="0"/>
        <w:jc w:val="left"/>
      </w:pPr>
      <w:r>
        <w:rPr>
          <w:rFonts w:ascii="宋体" w:hAnsi="宋体" w:eastAsia="宋体" w:cs="宋体"/>
          <w:spacing w:val="20"/>
          <w:kern w:val="0"/>
          <w:sz w:val="16"/>
          <w:szCs w:val="16"/>
          <w:lang w:val="en-US" w:eastAsia="zh-CN" w:bidi="ar"/>
        </w:rPr>
        <w:t>1.ASCVD总体风险评估：依据ASCVD危险分层进行不同强度干预是血脂管理的核心策略，ASCVD总体风险评估是血脂管理决策的基础（图1）。</w:t>
      </w:r>
      <w:r>
        <w:rPr>
          <w:rFonts w:ascii="Tahoma" w:hAnsi="Tahoma" w:eastAsia="Tahoma" w:cs="Tahoma"/>
          <w:color w:val="333333"/>
          <w:spacing w:val="20"/>
          <w:kern w:val="0"/>
          <w:sz w:val="16"/>
          <w:szCs w:val="16"/>
          <w:shd w:val="clear" w:fill="FFFFFF"/>
          <w:lang w:val="en-US" w:eastAsia="zh-CN" w:bidi="ar"/>
        </w:rPr>
        <w:t>2.血脂合适水平的参考标准：ASCVD一级预防低危人群（非糖尿病患者）的主要血脂指标参考标准见</w:t>
      </w:r>
      <w:r>
        <w:rPr>
          <w:rFonts w:ascii="宋体" w:hAnsi="宋体" w:eastAsia="宋体" w:cs="宋体"/>
          <w:spacing w:val="20"/>
          <w:kern w:val="0"/>
          <w:sz w:val="16"/>
          <w:szCs w:val="16"/>
          <w:lang w:val="en-US" w:eastAsia="zh-CN" w:bidi="ar"/>
        </w:rPr>
        <w:t>表1</w:t>
      </w:r>
      <w:r>
        <w:rPr>
          <w:rFonts w:hint="default" w:ascii="Tahoma" w:hAnsi="Tahoma" w:eastAsia="Tahoma" w:cs="Tahoma"/>
          <w:color w:val="333333"/>
          <w:spacing w:val="20"/>
          <w:kern w:val="0"/>
          <w:sz w:val="16"/>
          <w:szCs w:val="16"/>
          <w:shd w:val="clear" w:fill="FFFFFF"/>
          <w:lang w:val="en-US" w:eastAsia="zh-CN" w:bidi="ar"/>
        </w:rPr>
        <w:t>。血脂异常的临床分类依照</w:t>
      </w:r>
      <w:r>
        <w:rPr>
          <w:rFonts w:ascii="宋体" w:hAnsi="宋体" w:eastAsia="宋体" w:cs="宋体"/>
          <w:spacing w:val="20"/>
          <w:kern w:val="0"/>
          <w:sz w:val="16"/>
          <w:szCs w:val="16"/>
          <w:lang w:val="en-US" w:eastAsia="zh-CN" w:bidi="ar"/>
        </w:rPr>
        <w:t>表1</w:t>
      </w:r>
      <w:r>
        <w:rPr>
          <w:rFonts w:hint="default" w:ascii="Tahoma" w:hAnsi="Tahoma" w:eastAsia="Tahoma" w:cs="Tahoma"/>
          <w:color w:val="333333"/>
          <w:spacing w:val="20"/>
          <w:kern w:val="0"/>
          <w:sz w:val="16"/>
          <w:szCs w:val="16"/>
          <w:shd w:val="clear" w:fill="FFFFFF"/>
          <w:lang w:val="en-US" w:eastAsia="zh-CN" w:bidi="ar"/>
        </w:rPr>
        <w:t>可分为高胆固醇血症、高甘油三酯血症、混合型高脂血症和低高密度脂蛋白胆固醇血症，血脂水平是否达标要依据ASCVD风险的不同来判断。</w:t>
      </w:r>
    </w:p>
    <w:p w14:paraId="7E26AA42">
      <w:pPr>
        <w:pStyle w:val="2"/>
        <w:keepNext w:val="0"/>
        <w:keepLines w:val="0"/>
        <w:widowControl/>
        <w:suppressLineNumbers w:val="0"/>
        <w:ind w:left="0" w:firstLine="420"/>
      </w:pPr>
    </w:p>
    <w:p w14:paraId="44C2778B">
      <w:pPr>
        <w:pStyle w:val="2"/>
        <w:keepNext w:val="0"/>
        <w:keepLines w:val="0"/>
        <w:widowControl/>
        <w:suppressLineNumbers w:val="0"/>
        <w:jc w:val="center"/>
      </w:pPr>
      <w:r>
        <w:drawing>
          <wp:inline distT="0" distB="0" distL="114300" distR="114300">
            <wp:extent cx="5266690" cy="4296410"/>
            <wp:effectExtent l="0" t="0" r="3810" b="8890"/>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4"/>
                    <a:stretch>
                      <a:fillRect/>
                    </a:stretch>
                  </pic:blipFill>
                  <pic:spPr>
                    <a:xfrm>
                      <a:off x="0" y="0"/>
                      <a:ext cx="5266690" cy="4296410"/>
                    </a:xfrm>
                    <a:prstGeom prst="rect">
                      <a:avLst/>
                    </a:prstGeom>
                    <a:noFill/>
                    <a:ln w="9525">
                      <a:noFill/>
                    </a:ln>
                  </pic:spPr>
                </pic:pic>
              </a:graphicData>
            </a:graphic>
          </wp:inline>
        </w:drawing>
      </w:r>
    </w:p>
    <w:p w14:paraId="59BD202C">
      <w:pPr>
        <w:pStyle w:val="2"/>
        <w:keepNext w:val="0"/>
        <w:keepLines w:val="0"/>
        <w:widowControl/>
        <w:suppressLineNumbers w:val="0"/>
        <w:jc w:val="center"/>
      </w:pPr>
      <w:r>
        <w:rPr>
          <w:sz w:val="14"/>
          <w:szCs w:val="14"/>
        </w:rPr>
        <w:t>（点击查看大图）</w:t>
      </w:r>
    </w:p>
    <w:p w14:paraId="5CF991CF">
      <w:pPr>
        <w:pStyle w:val="2"/>
        <w:keepNext w:val="0"/>
        <w:keepLines w:val="0"/>
        <w:widowControl/>
        <w:suppressLineNumbers w:val="0"/>
        <w:jc w:val="center"/>
      </w:pPr>
    </w:p>
    <w:p w14:paraId="6FB06378">
      <w:pPr>
        <w:pStyle w:val="2"/>
        <w:keepNext w:val="0"/>
        <w:keepLines w:val="0"/>
        <w:widowControl/>
        <w:suppressLineNumbers w:val="0"/>
        <w:jc w:val="center"/>
      </w:pPr>
      <w:r>
        <w:drawing>
          <wp:inline distT="0" distB="0" distL="114300" distR="114300">
            <wp:extent cx="5269865" cy="3740785"/>
            <wp:effectExtent l="0" t="0" r="635" b="5715"/>
            <wp:docPr id="10"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7"/>
                    <pic:cNvPicPr>
                      <a:picLocks noChangeAspect="1"/>
                    </pic:cNvPicPr>
                  </pic:nvPicPr>
                  <pic:blipFill>
                    <a:blip r:embed="rId5"/>
                    <a:stretch>
                      <a:fillRect/>
                    </a:stretch>
                  </pic:blipFill>
                  <pic:spPr>
                    <a:xfrm>
                      <a:off x="0" y="0"/>
                      <a:ext cx="5269865" cy="3740785"/>
                    </a:xfrm>
                    <a:prstGeom prst="rect">
                      <a:avLst/>
                    </a:prstGeom>
                    <a:noFill/>
                    <a:ln w="9525">
                      <a:noFill/>
                    </a:ln>
                  </pic:spPr>
                </pic:pic>
              </a:graphicData>
            </a:graphic>
          </wp:inline>
        </w:drawing>
      </w:r>
    </w:p>
    <w:p w14:paraId="4F83B3E4">
      <w:pPr>
        <w:pStyle w:val="2"/>
        <w:keepNext w:val="0"/>
        <w:keepLines w:val="0"/>
        <w:widowControl/>
        <w:suppressLineNumbers w:val="0"/>
        <w:jc w:val="center"/>
      </w:pPr>
      <w:r>
        <w:rPr>
          <w:rFonts w:ascii="Microsoft YaHei UI" w:hAnsi="Microsoft YaHei UI" w:eastAsia="Microsoft YaHei UI" w:cs="Microsoft YaHei UI"/>
          <w:spacing w:val="5"/>
          <w:sz w:val="14"/>
          <w:szCs w:val="14"/>
          <w:shd w:val="clear" w:fill="FFFFFF"/>
        </w:rPr>
        <w:t>（点击查看大图）</w:t>
      </w:r>
    </w:p>
    <w:p w14:paraId="55EB11E0">
      <w:pPr>
        <w:pStyle w:val="2"/>
        <w:keepNext w:val="0"/>
        <w:keepLines w:val="0"/>
        <w:widowControl/>
        <w:suppressLineNumbers w:val="0"/>
        <w:jc w:val="center"/>
      </w:pPr>
    </w:p>
    <w:p w14:paraId="18861F3B">
      <w:pPr>
        <w:pStyle w:val="2"/>
        <w:keepNext w:val="0"/>
        <w:keepLines w:val="0"/>
        <w:widowControl/>
        <w:suppressLineNumbers w:val="0"/>
        <w:shd w:val="clear" w:fill="FFFFFF"/>
        <w:spacing w:after="160" w:afterAutospacing="0" w:line="420" w:lineRule="atLeast"/>
        <w:ind w:left="0" w:firstLine="0"/>
        <w:jc w:val="both"/>
        <w:rPr>
          <w:rFonts w:hint="default" w:ascii="Tahoma" w:hAnsi="Tahoma" w:eastAsia="Tahoma" w:cs="Tahoma"/>
          <w:color w:val="333333"/>
          <w:spacing w:val="0"/>
          <w:sz w:val="14"/>
          <w:szCs w:val="14"/>
        </w:rPr>
      </w:pPr>
      <w:r>
        <w:rPr>
          <w:rFonts w:hint="default" w:ascii="Tahoma" w:hAnsi="Tahoma" w:eastAsia="Tahoma" w:cs="Tahoma"/>
          <w:color w:val="333333"/>
          <w:spacing w:val="20"/>
          <w:sz w:val="16"/>
          <w:szCs w:val="16"/>
          <w:shd w:val="clear" w:fill="FFFFFF"/>
        </w:rPr>
        <w:t>3.降脂目标：LDL-C是降脂治疗的首要靶点。LDL-C达标后，非HDL-C为次要干预靶点。LDL-C和非HDL-C达标后TG仍高（≥2.3 mmol/L）的ASCVD高危及以上患者，可同时采用二十碳五烯酸（eicosapentaenoic acid，EPA）治疗以进一步降低ASCVD风险。</w:t>
      </w:r>
    </w:p>
    <w:p w14:paraId="524E1F4A">
      <w:pPr>
        <w:pStyle w:val="2"/>
        <w:keepNext w:val="0"/>
        <w:keepLines w:val="0"/>
        <w:widowControl/>
        <w:suppressLineNumbers w:val="0"/>
        <w:shd w:val="clear" w:fill="FFFFFF"/>
        <w:spacing w:after="160" w:afterAutospacing="0" w:line="420" w:lineRule="atLeast"/>
        <w:ind w:left="0" w:firstLine="0"/>
        <w:jc w:val="both"/>
        <w:rPr>
          <w:rFonts w:hint="default" w:ascii="Tahoma" w:hAnsi="Tahoma" w:eastAsia="Tahoma" w:cs="Tahoma"/>
          <w:color w:val="333333"/>
          <w:spacing w:val="0"/>
          <w:sz w:val="14"/>
          <w:szCs w:val="14"/>
        </w:rPr>
      </w:pPr>
      <w:r>
        <w:rPr>
          <w:rFonts w:hint="default" w:ascii="Tahoma" w:hAnsi="Tahoma" w:eastAsia="Tahoma" w:cs="Tahoma"/>
          <w:color w:val="333333"/>
          <w:spacing w:val="20"/>
          <w:sz w:val="16"/>
          <w:szCs w:val="16"/>
          <w:shd w:val="clear" w:fill="FFFFFF"/>
        </w:rPr>
        <w:t>LDL-C控制水平应参照ASCVD总体风险。LDL-C的目标值见表2</w:t>
      </w:r>
      <w:r>
        <w:rPr>
          <w:rFonts w:hint="default" w:ascii="Tahoma" w:hAnsi="Tahoma" w:eastAsia="Tahoma" w:cs="Tahoma"/>
          <w:color w:val="333333"/>
          <w:spacing w:val="20"/>
          <w:sz w:val="10"/>
          <w:szCs w:val="10"/>
          <w:shd w:val="clear" w:fill="FFFFFF"/>
          <w:vertAlign w:val="superscript"/>
        </w:rPr>
        <w:t>［5, 6, 7, 8, 9, 10］</w:t>
      </w:r>
      <w:r>
        <w:rPr>
          <w:rFonts w:hint="default" w:ascii="Tahoma" w:hAnsi="Tahoma" w:eastAsia="Tahoma" w:cs="Tahoma"/>
          <w:color w:val="333333"/>
          <w:spacing w:val="20"/>
          <w:sz w:val="16"/>
          <w:szCs w:val="16"/>
          <w:shd w:val="clear" w:fill="FFFFFF"/>
        </w:rPr>
        <w:t>。LDL-C降幅越大，持续时间越长，ASCVD风险下降越多。非HDL-C目标值=LDL-C目标值+0.8 mmol/L。</w:t>
      </w:r>
    </w:p>
    <w:p w14:paraId="3A7C3E46">
      <w:pPr>
        <w:pStyle w:val="2"/>
        <w:keepNext w:val="0"/>
        <w:keepLines w:val="0"/>
        <w:widowControl/>
        <w:suppressLineNumbers w:val="0"/>
        <w:jc w:val="center"/>
      </w:pPr>
      <w:r>
        <w:drawing>
          <wp:inline distT="0" distB="0" distL="114300" distR="114300">
            <wp:extent cx="5268595" cy="2588895"/>
            <wp:effectExtent l="0" t="0" r="1905" b="1905"/>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6"/>
                    <a:stretch>
                      <a:fillRect/>
                    </a:stretch>
                  </pic:blipFill>
                  <pic:spPr>
                    <a:xfrm>
                      <a:off x="0" y="0"/>
                      <a:ext cx="5268595" cy="2588895"/>
                    </a:xfrm>
                    <a:prstGeom prst="rect">
                      <a:avLst/>
                    </a:prstGeom>
                    <a:noFill/>
                    <a:ln w="9525">
                      <a:noFill/>
                    </a:ln>
                  </pic:spPr>
                </pic:pic>
              </a:graphicData>
            </a:graphic>
          </wp:inline>
        </w:drawing>
      </w:r>
    </w:p>
    <w:p w14:paraId="06C51A1A">
      <w:pPr>
        <w:pStyle w:val="2"/>
        <w:keepNext w:val="0"/>
        <w:keepLines w:val="0"/>
        <w:widowControl/>
        <w:suppressLineNumbers w:val="0"/>
        <w:shd w:val="clear" w:fill="FFFFFF"/>
        <w:spacing w:after="160" w:afterAutospacing="0" w:line="420" w:lineRule="atLeast"/>
        <w:ind w:left="0" w:firstLine="0"/>
        <w:jc w:val="center"/>
        <w:rPr>
          <w:rFonts w:hint="default" w:ascii="Tahoma" w:hAnsi="Tahoma" w:eastAsia="Tahoma" w:cs="Tahoma"/>
          <w:color w:val="333333"/>
          <w:spacing w:val="0"/>
          <w:sz w:val="14"/>
          <w:szCs w:val="14"/>
        </w:rPr>
      </w:pPr>
      <w:r>
        <w:rPr>
          <w:rFonts w:hint="eastAsia" w:ascii="Microsoft YaHei UI" w:hAnsi="Microsoft YaHei UI" w:eastAsia="Microsoft YaHei UI" w:cs="Microsoft YaHei UI"/>
          <w:color w:val="333333"/>
          <w:spacing w:val="5"/>
          <w:sz w:val="14"/>
          <w:szCs w:val="14"/>
          <w:shd w:val="clear" w:fill="FFFFFF"/>
        </w:rPr>
        <w:t>（点击查看大图）</w:t>
      </w:r>
    </w:p>
    <w:p w14:paraId="4A715E6A">
      <w:pPr>
        <w:pStyle w:val="2"/>
        <w:keepNext w:val="0"/>
        <w:keepLines w:val="0"/>
        <w:widowControl/>
        <w:suppressLineNumbers w:val="0"/>
        <w:shd w:val="clear" w:fill="FFFFFF"/>
        <w:spacing w:after="240" w:afterAutospacing="0" w:line="420" w:lineRule="atLeast"/>
        <w:ind w:left="0" w:firstLine="0"/>
        <w:jc w:val="both"/>
        <w:rPr>
          <w:rFonts w:hint="default" w:ascii="Tahoma" w:hAnsi="Tahoma" w:eastAsia="Tahoma" w:cs="Tahoma"/>
          <w:color w:val="333333"/>
          <w:spacing w:val="0"/>
          <w:sz w:val="14"/>
          <w:szCs w:val="14"/>
        </w:rPr>
      </w:pPr>
      <w:r>
        <w:rPr>
          <w:rFonts w:hint="default" w:ascii="Tahoma" w:hAnsi="Tahoma" w:eastAsia="Tahoma" w:cs="Tahoma"/>
          <w:color w:val="333333"/>
          <w:spacing w:val="20"/>
          <w:sz w:val="16"/>
          <w:szCs w:val="16"/>
          <w:shd w:val="clear" w:fill="FFFFFF"/>
        </w:rPr>
        <w:t>4.降脂治疗的策略：降脂治疗包括生活方式干预和药物治疗。首先推荐健康生活方式，包括合理膳食、适度增加身体活动、控制体重、戒烟和限制饮酒等。其中，合理膳食对血脂影响较大，主要是限制饱和脂肪酸及反式脂肪酸的摄入，增加蔬菜和水果、全谷物、膳食纤维及鱼类的摄入。对于ASCVD中危以上人群或合并高胆固醇血症患者，应特别强调减少膳食胆固醇的摄入，每天膳食胆固醇摄入量应在300 mg以下</w:t>
      </w:r>
      <w:r>
        <w:rPr>
          <w:rFonts w:hint="default" w:ascii="Tahoma" w:hAnsi="Tahoma" w:eastAsia="Tahoma" w:cs="Tahoma"/>
          <w:color w:val="333333"/>
          <w:spacing w:val="0"/>
          <w:sz w:val="10"/>
          <w:szCs w:val="10"/>
          <w:shd w:val="clear" w:fill="FFFFFF"/>
          <w:vertAlign w:val="superscript"/>
        </w:rPr>
        <w:t>［11, 12, 13］</w:t>
      </w:r>
      <w:r>
        <w:rPr>
          <w:rFonts w:hint="default" w:ascii="Tahoma" w:hAnsi="Tahoma" w:eastAsia="Tahoma" w:cs="Tahoma"/>
          <w:color w:val="333333"/>
          <w:spacing w:val="20"/>
          <w:sz w:val="16"/>
          <w:szCs w:val="16"/>
          <w:shd w:val="clear" w:fill="FFFFFF"/>
        </w:rPr>
        <w:t>。血脂管理膳食治疗建议如下</w:t>
      </w:r>
      <w:r>
        <w:rPr>
          <w:rFonts w:hint="default" w:ascii="Tahoma" w:hAnsi="Tahoma" w:eastAsia="Tahoma" w:cs="Tahoma"/>
          <w:color w:val="333333"/>
          <w:spacing w:val="0"/>
          <w:sz w:val="10"/>
          <w:szCs w:val="10"/>
          <w:shd w:val="clear" w:fill="FFFFFF"/>
          <w:vertAlign w:val="superscript"/>
        </w:rPr>
        <w:t>［11, 12, 13, 14］</w:t>
      </w:r>
      <w:r>
        <w:rPr>
          <w:rFonts w:hint="eastAsia" w:ascii="Microsoft YaHei UI" w:hAnsi="Microsoft YaHei UI" w:eastAsia="Microsoft YaHei UI" w:cs="Microsoft YaHei UI"/>
          <w:color w:val="333333"/>
          <w:spacing w:val="20"/>
          <w:sz w:val="16"/>
          <w:szCs w:val="16"/>
          <w:shd w:val="clear" w:fill="FFFFFF"/>
        </w:rPr>
        <w:t>。</w:t>
      </w:r>
    </w:p>
    <w:p w14:paraId="32C05A68">
      <w:pPr>
        <w:pStyle w:val="2"/>
        <w:keepNext w:val="0"/>
        <w:keepLines w:val="0"/>
        <w:widowControl/>
        <w:suppressLineNumbers w:val="0"/>
        <w:jc w:val="center"/>
      </w:pPr>
      <w:r>
        <w:drawing>
          <wp:inline distT="0" distB="0" distL="114300" distR="114300">
            <wp:extent cx="5273675" cy="3515995"/>
            <wp:effectExtent l="0" t="0" r="9525" b="1905"/>
            <wp:docPr id="8"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9"/>
                    <pic:cNvPicPr>
                      <a:picLocks noChangeAspect="1"/>
                    </pic:cNvPicPr>
                  </pic:nvPicPr>
                  <pic:blipFill>
                    <a:blip r:embed="rId7"/>
                    <a:stretch>
                      <a:fillRect/>
                    </a:stretch>
                  </pic:blipFill>
                  <pic:spPr>
                    <a:xfrm>
                      <a:off x="0" y="0"/>
                      <a:ext cx="5273675" cy="3515995"/>
                    </a:xfrm>
                    <a:prstGeom prst="rect">
                      <a:avLst/>
                    </a:prstGeom>
                    <a:noFill/>
                    <a:ln w="9525">
                      <a:noFill/>
                    </a:ln>
                  </pic:spPr>
                </pic:pic>
              </a:graphicData>
            </a:graphic>
          </wp:inline>
        </w:drawing>
      </w:r>
    </w:p>
    <w:p w14:paraId="10A9ED59">
      <w:pPr>
        <w:pStyle w:val="2"/>
        <w:keepNext w:val="0"/>
        <w:keepLines w:val="0"/>
        <w:widowControl/>
        <w:suppressLineNumbers w:val="0"/>
        <w:shd w:val="clear" w:fill="FFFFFF"/>
        <w:spacing w:after="240" w:afterAutospacing="0" w:line="420" w:lineRule="atLeast"/>
        <w:ind w:left="0" w:firstLine="0"/>
        <w:jc w:val="center"/>
        <w:rPr>
          <w:rFonts w:hint="default" w:ascii="Tahoma" w:hAnsi="Tahoma" w:eastAsia="Tahoma" w:cs="Tahoma"/>
          <w:color w:val="333333"/>
          <w:spacing w:val="0"/>
          <w:sz w:val="14"/>
          <w:szCs w:val="14"/>
        </w:rPr>
      </w:pPr>
      <w:r>
        <w:rPr>
          <w:rFonts w:hint="eastAsia" w:ascii="Microsoft YaHei UI" w:hAnsi="Microsoft YaHei UI" w:eastAsia="Microsoft YaHei UI" w:cs="Microsoft YaHei UI"/>
          <w:color w:val="333333"/>
          <w:spacing w:val="5"/>
          <w:sz w:val="14"/>
          <w:szCs w:val="14"/>
          <w:shd w:val="clear" w:fill="FFFFFF"/>
        </w:rPr>
        <w:t>（点击查看大图）</w:t>
      </w:r>
    </w:p>
    <w:p w14:paraId="66D1E19F">
      <w:pPr>
        <w:keepNext w:val="0"/>
        <w:keepLines w:val="0"/>
        <w:widowControl/>
        <w:suppressLineNumbers w:val="0"/>
        <w:jc w:val="left"/>
      </w:pPr>
      <w:r>
        <w:rPr>
          <w:rFonts w:ascii="宋体" w:hAnsi="宋体" w:eastAsia="宋体" w:cs="宋体"/>
          <w:spacing w:val="20"/>
          <w:kern w:val="0"/>
          <w:sz w:val="16"/>
          <w:szCs w:val="16"/>
          <w:lang w:val="en-US" w:eastAsia="zh-CN" w:bidi="ar"/>
        </w:rPr>
        <w:t>在无ASCVD的人群中，当生活方式干预3个月后不能达到降脂目标时，应考虑加用降脂药物。他汀类药物是降胆固醇治疗的基础，推荐起始使用常规剂量或中等强度他汀类药物。当LDL-C不能达标时，可联合使用非他汀类降脂药物，如胆固醇吸收抑制剂</w:t>
      </w:r>
      <w:r>
        <w:rPr>
          <w:rFonts w:ascii="宋体" w:hAnsi="宋体" w:eastAsia="宋体" w:cs="宋体"/>
          <w:spacing w:val="20"/>
          <w:kern w:val="0"/>
          <w:sz w:val="10"/>
          <w:szCs w:val="10"/>
          <w:vertAlign w:val="superscript"/>
          <w:lang w:val="en-US" w:eastAsia="zh-CN" w:bidi="ar"/>
        </w:rPr>
        <w:t>［15］</w:t>
      </w:r>
      <w:r>
        <w:rPr>
          <w:rFonts w:ascii="宋体" w:hAnsi="宋体" w:eastAsia="宋体" w:cs="宋体"/>
          <w:spacing w:val="20"/>
          <w:kern w:val="0"/>
          <w:sz w:val="16"/>
          <w:szCs w:val="16"/>
          <w:lang w:val="en-US" w:eastAsia="zh-CN" w:bidi="ar"/>
        </w:rPr>
        <w:t>和（或）前蛋白转化酶枯草溶菌素9（proprotein convertase subtilisin/kexin type 9，PCSK9）抑制剂</w:t>
      </w:r>
      <w:r>
        <w:rPr>
          <w:rFonts w:ascii="宋体" w:hAnsi="宋体" w:eastAsia="宋体" w:cs="宋体"/>
          <w:spacing w:val="20"/>
          <w:kern w:val="0"/>
          <w:sz w:val="10"/>
          <w:szCs w:val="10"/>
          <w:vertAlign w:val="superscript"/>
          <w:lang w:val="en-US" w:eastAsia="zh-CN" w:bidi="ar"/>
        </w:rPr>
        <w:t>［10］</w:t>
      </w:r>
      <w:r>
        <w:rPr>
          <w:rFonts w:ascii="宋体" w:hAnsi="宋体" w:eastAsia="宋体" w:cs="宋体"/>
          <w:spacing w:val="20"/>
          <w:kern w:val="0"/>
          <w:sz w:val="16"/>
          <w:szCs w:val="16"/>
          <w:lang w:val="en-US" w:eastAsia="zh-CN" w:bidi="ar"/>
        </w:rPr>
        <w:t>。对于ASCVD超高危患者，当基线LDL-C较高时（未使用他汀类药物患者LDL-C≥4.9 mmol/L，或服用他汀类药物患者LDL-C≥2.6 mmol/L），预计他汀类药物联合胆固醇吸收抑制剂不能使LDL-C达标时，可考虑直接联用他汀类药物和PCSK9抑制剂，以保证患者LDL-C早期达标。降脂策略流程见图2。</w:t>
      </w:r>
    </w:p>
    <w:p w14:paraId="72BEF3C2">
      <w:pPr>
        <w:pStyle w:val="2"/>
        <w:keepNext w:val="0"/>
        <w:keepLines w:val="0"/>
        <w:widowControl/>
        <w:suppressLineNumbers w:val="0"/>
        <w:jc w:val="center"/>
      </w:pPr>
      <w:r>
        <w:drawing>
          <wp:inline distT="0" distB="0" distL="114300" distR="114300">
            <wp:extent cx="5272405" cy="6134735"/>
            <wp:effectExtent l="0" t="0" r="10795" b="12065"/>
            <wp:docPr id="13"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IMG_260"/>
                    <pic:cNvPicPr>
                      <a:picLocks noChangeAspect="1"/>
                    </pic:cNvPicPr>
                  </pic:nvPicPr>
                  <pic:blipFill>
                    <a:blip r:embed="rId8"/>
                    <a:stretch>
                      <a:fillRect/>
                    </a:stretch>
                  </pic:blipFill>
                  <pic:spPr>
                    <a:xfrm>
                      <a:off x="0" y="0"/>
                      <a:ext cx="5272405" cy="6134735"/>
                    </a:xfrm>
                    <a:prstGeom prst="rect">
                      <a:avLst/>
                    </a:prstGeom>
                    <a:noFill/>
                    <a:ln w="9525">
                      <a:noFill/>
                    </a:ln>
                  </pic:spPr>
                </pic:pic>
              </a:graphicData>
            </a:graphic>
          </wp:inline>
        </w:drawing>
      </w:r>
    </w:p>
    <w:p w14:paraId="3BDC48DF">
      <w:pPr>
        <w:pStyle w:val="2"/>
        <w:keepNext w:val="0"/>
        <w:keepLines w:val="0"/>
        <w:widowControl/>
        <w:suppressLineNumbers w:val="0"/>
        <w:shd w:val="clear" w:fill="FFFFFF"/>
        <w:spacing w:after="240" w:afterAutospacing="0" w:line="420" w:lineRule="atLeast"/>
        <w:ind w:left="0" w:firstLine="0"/>
        <w:jc w:val="center"/>
        <w:rPr>
          <w:rFonts w:hint="default" w:ascii="Tahoma" w:hAnsi="Tahoma" w:eastAsia="Tahoma" w:cs="Tahoma"/>
          <w:color w:val="333333"/>
          <w:spacing w:val="0"/>
          <w:sz w:val="14"/>
          <w:szCs w:val="14"/>
        </w:rPr>
      </w:pPr>
      <w:r>
        <w:rPr>
          <w:rFonts w:hint="eastAsia" w:ascii="Microsoft YaHei UI" w:hAnsi="Microsoft YaHei UI" w:eastAsia="Microsoft YaHei UI" w:cs="Microsoft YaHei UI"/>
          <w:color w:val="333333"/>
          <w:spacing w:val="5"/>
          <w:sz w:val="14"/>
          <w:szCs w:val="14"/>
          <w:shd w:val="clear" w:fill="FFFFFF"/>
        </w:rPr>
        <w:t>（点击查看大图）</w:t>
      </w:r>
    </w:p>
    <w:p w14:paraId="7A4ED5B8">
      <w:pPr>
        <w:keepNext w:val="0"/>
        <w:keepLines w:val="0"/>
        <w:widowControl/>
        <w:suppressLineNumbers w:val="0"/>
        <w:jc w:val="left"/>
      </w:pPr>
      <w:r>
        <w:rPr>
          <w:rFonts w:ascii="宋体" w:hAnsi="宋体" w:eastAsia="宋体" w:cs="宋体"/>
          <w:spacing w:val="20"/>
          <w:kern w:val="0"/>
          <w:sz w:val="16"/>
          <w:szCs w:val="16"/>
          <w:lang w:val="en-US" w:eastAsia="zh-CN" w:bidi="ar"/>
        </w:rPr>
        <w:t>TG升高与不健康生活方式及饮食密切相关，运动和控制饮食可有效降低TG。饮酒是TG升高的重要因素，TG升高的个体更需要严格限制酒精摄入。饮食成分中除限制饱和脂肪酸的摄入外，要特别注意减少精制碳水化合物摄入，增加膳食纤维含量丰富的低糖饮食如全谷类的粗粮摄入。降低TG的药物主要包括贝特类、ω-3多不饱和脂肪酸（w-3脂肪酸指高纯度医用处方级）及烟酸类药物。具体用法如下</w:t>
      </w:r>
      <w:r>
        <w:rPr>
          <w:rFonts w:ascii="宋体" w:hAnsi="宋体" w:eastAsia="宋体" w:cs="宋体"/>
          <w:spacing w:val="20"/>
          <w:kern w:val="0"/>
          <w:sz w:val="10"/>
          <w:szCs w:val="10"/>
          <w:vertAlign w:val="superscript"/>
          <w:lang w:val="en-US" w:eastAsia="zh-CN" w:bidi="ar"/>
        </w:rPr>
        <w:t>［16, 17, 18, 19, 20］</w:t>
      </w:r>
      <w:r>
        <w:rPr>
          <w:rFonts w:ascii="宋体" w:hAnsi="宋体" w:eastAsia="宋体" w:cs="宋体"/>
          <w:spacing w:val="20"/>
          <w:kern w:val="0"/>
          <w:sz w:val="16"/>
          <w:szCs w:val="16"/>
          <w:lang w:val="en-US" w:eastAsia="zh-CN" w:bidi="ar"/>
        </w:rPr>
        <w:t>。</w:t>
      </w:r>
    </w:p>
    <w:p w14:paraId="5563FD16">
      <w:pPr>
        <w:pStyle w:val="2"/>
        <w:keepNext w:val="0"/>
        <w:keepLines w:val="0"/>
        <w:widowControl/>
        <w:suppressLineNumbers w:val="0"/>
        <w:jc w:val="center"/>
      </w:pPr>
      <w:r>
        <w:drawing>
          <wp:inline distT="0" distB="0" distL="114300" distR="114300">
            <wp:extent cx="5268595" cy="3131185"/>
            <wp:effectExtent l="0" t="0" r="1905" b="5715"/>
            <wp:docPr id="12"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IMG_261"/>
                    <pic:cNvPicPr>
                      <a:picLocks noChangeAspect="1"/>
                    </pic:cNvPicPr>
                  </pic:nvPicPr>
                  <pic:blipFill>
                    <a:blip r:embed="rId9"/>
                    <a:stretch>
                      <a:fillRect/>
                    </a:stretch>
                  </pic:blipFill>
                  <pic:spPr>
                    <a:xfrm>
                      <a:off x="0" y="0"/>
                      <a:ext cx="5268595" cy="3131185"/>
                    </a:xfrm>
                    <a:prstGeom prst="rect">
                      <a:avLst/>
                    </a:prstGeom>
                    <a:noFill/>
                    <a:ln w="9525">
                      <a:noFill/>
                    </a:ln>
                  </pic:spPr>
                </pic:pic>
              </a:graphicData>
            </a:graphic>
          </wp:inline>
        </w:drawing>
      </w:r>
    </w:p>
    <w:p w14:paraId="743FDE06">
      <w:pPr>
        <w:pStyle w:val="2"/>
        <w:keepNext w:val="0"/>
        <w:keepLines w:val="0"/>
        <w:widowControl/>
        <w:suppressLineNumbers w:val="0"/>
        <w:jc w:val="center"/>
      </w:pPr>
      <w:r>
        <w:rPr>
          <w:rFonts w:hint="eastAsia" w:ascii="Microsoft YaHei UI" w:hAnsi="Microsoft YaHei UI" w:eastAsia="Microsoft YaHei UI" w:cs="Microsoft YaHei UI"/>
          <w:color w:val="333333"/>
          <w:spacing w:val="5"/>
          <w:sz w:val="14"/>
          <w:szCs w:val="14"/>
          <w:shd w:val="clear" w:fill="FFFFFF"/>
        </w:rPr>
        <w:t>（点击查看大图）</w:t>
      </w:r>
    </w:p>
    <w:p w14:paraId="0BB11567">
      <w:pPr>
        <w:pStyle w:val="2"/>
        <w:keepNext w:val="0"/>
        <w:keepLines w:val="0"/>
        <w:widowControl/>
        <w:suppressLineNumbers w:val="0"/>
        <w:jc w:val="center"/>
      </w:pPr>
    </w:p>
    <w:p w14:paraId="3FFF2124">
      <w:pPr>
        <w:keepNext w:val="0"/>
        <w:keepLines w:val="0"/>
        <w:widowControl/>
        <w:suppressLineNumbers w:val="0"/>
        <w:jc w:val="left"/>
      </w:pPr>
      <w:r>
        <w:rPr>
          <w:rFonts w:ascii="宋体" w:hAnsi="宋体" w:eastAsia="宋体" w:cs="宋体"/>
          <w:spacing w:val="20"/>
          <w:kern w:val="0"/>
          <w:sz w:val="16"/>
          <w:szCs w:val="16"/>
          <w:lang w:val="en-US" w:eastAsia="zh-CN" w:bidi="ar"/>
        </w:rPr>
        <w:t>5.降脂治疗过程中的监测与随访：降脂治疗中监测的目的为观察是否达到降脂目标值，并了解药物的潜在不良反应。根据评估结果，优化药物治疗方案，不建议轻易停药。</w:t>
      </w:r>
    </w:p>
    <w:p w14:paraId="2A4D5631">
      <w:pPr>
        <w:pStyle w:val="2"/>
        <w:keepNext w:val="0"/>
        <w:keepLines w:val="0"/>
        <w:widowControl/>
        <w:suppressLineNumbers w:val="0"/>
        <w:shd w:val="clear" w:fill="FFFFFF"/>
        <w:spacing w:after="240" w:afterAutospacing="0"/>
        <w:ind w:left="0" w:firstLine="0"/>
        <w:rPr>
          <w:rFonts w:hint="default" w:ascii="Tahoma" w:hAnsi="Tahoma" w:eastAsia="Tahoma" w:cs="Tahoma"/>
          <w:color w:val="333333"/>
          <w:spacing w:val="0"/>
          <w:sz w:val="14"/>
          <w:szCs w:val="14"/>
        </w:rPr>
      </w:pPr>
      <w:r>
        <w:rPr>
          <w:rFonts w:hint="default" w:ascii="Tahoma" w:hAnsi="Tahoma" w:eastAsia="Tahoma" w:cs="Tahoma"/>
          <w:color w:val="333333"/>
          <w:spacing w:val="20"/>
          <w:sz w:val="16"/>
          <w:szCs w:val="16"/>
          <w:shd w:val="clear" w:fill="FFFFFF"/>
        </w:rPr>
        <w:t>降脂治疗随访时间为开始药物治疗后4~6周随访1次，安全达标后3~6个月随访1次（图3）。</w:t>
      </w:r>
    </w:p>
    <w:p w14:paraId="1CB5A115">
      <w:pPr>
        <w:pStyle w:val="2"/>
        <w:keepNext w:val="0"/>
        <w:keepLines w:val="0"/>
        <w:widowControl/>
        <w:suppressLineNumbers w:val="0"/>
        <w:jc w:val="center"/>
      </w:pPr>
      <w:r>
        <w:drawing>
          <wp:inline distT="0" distB="0" distL="114300" distR="114300">
            <wp:extent cx="5269865" cy="3613150"/>
            <wp:effectExtent l="0" t="0" r="635" b="6350"/>
            <wp:docPr id="1"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7" descr="IMG_262"/>
                    <pic:cNvPicPr>
                      <a:picLocks noChangeAspect="1"/>
                    </pic:cNvPicPr>
                  </pic:nvPicPr>
                  <pic:blipFill>
                    <a:blip r:embed="rId10"/>
                    <a:stretch>
                      <a:fillRect/>
                    </a:stretch>
                  </pic:blipFill>
                  <pic:spPr>
                    <a:xfrm>
                      <a:off x="0" y="0"/>
                      <a:ext cx="5269865" cy="3613150"/>
                    </a:xfrm>
                    <a:prstGeom prst="rect">
                      <a:avLst/>
                    </a:prstGeom>
                    <a:noFill/>
                    <a:ln w="9525">
                      <a:noFill/>
                    </a:ln>
                  </pic:spPr>
                </pic:pic>
              </a:graphicData>
            </a:graphic>
          </wp:inline>
        </w:drawing>
      </w:r>
    </w:p>
    <w:p w14:paraId="45E32F74">
      <w:pPr>
        <w:pStyle w:val="2"/>
        <w:keepNext w:val="0"/>
        <w:keepLines w:val="0"/>
        <w:widowControl/>
        <w:suppressLineNumbers w:val="0"/>
        <w:shd w:val="clear" w:fill="FFFFFF"/>
        <w:spacing w:after="240" w:afterAutospacing="0"/>
        <w:ind w:left="0" w:firstLine="0"/>
        <w:jc w:val="center"/>
        <w:rPr>
          <w:rFonts w:hint="default" w:ascii="Tahoma" w:hAnsi="Tahoma" w:eastAsia="Tahoma" w:cs="Tahoma"/>
          <w:color w:val="333333"/>
          <w:spacing w:val="0"/>
          <w:sz w:val="14"/>
          <w:szCs w:val="14"/>
        </w:rPr>
      </w:pPr>
      <w:r>
        <w:rPr>
          <w:rFonts w:hint="eastAsia" w:ascii="Microsoft YaHei UI" w:hAnsi="Microsoft YaHei UI" w:eastAsia="Microsoft YaHei UI" w:cs="Microsoft YaHei UI"/>
          <w:color w:val="333333"/>
          <w:spacing w:val="5"/>
          <w:sz w:val="14"/>
          <w:szCs w:val="14"/>
          <w:shd w:val="clear" w:fill="FFFFFF"/>
        </w:rPr>
        <w:t>（点击查看大图）</w:t>
      </w:r>
    </w:p>
    <w:p w14:paraId="06D81585">
      <w:pPr>
        <w:keepNext w:val="0"/>
        <w:keepLines w:val="0"/>
        <w:widowControl/>
        <w:suppressLineNumbers w:val="0"/>
        <w:jc w:val="left"/>
      </w:pPr>
      <w:r>
        <w:rPr>
          <w:rFonts w:hint="eastAsia" w:ascii="Microsoft YaHei UI" w:hAnsi="Microsoft YaHei UI" w:eastAsia="Microsoft YaHei UI" w:cs="Microsoft YaHei UI"/>
          <w:color w:val="333333"/>
          <w:spacing w:val="20"/>
          <w:kern w:val="0"/>
          <w:sz w:val="16"/>
          <w:szCs w:val="16"/>
          <w:shd w:val="clear" w:fill="FFFFFF"/>
          <w:lang w:val="en-US" w:eastAsia="zh-CN" w:bidi="ar"/>
        </w:rPr>
        <w:t>6.转诊指征：基层血脂管理建议转诊指征：（1）严重高胆固醇血症（LDL-C≥4.9 mmol/L）或严重高甘油三酯血症（TG≥5.6 mmol/L），且合并2项及以上高危因素者；（2）合并严重肝肾疾病者，妊娠女性、儿童青少年及高龄老年人初始治疗，有原发性高胆固醇血症家族史者；（3）降脂治疗后血脂不能达标，或有严重药物不良反应者。</w:t>
      </w:r>
      <w:r>
        <w:rPr>
          <w:rFonts w:hint="default" w:ascii="Tahoma" w:hAnsi="Tahoma" w:eastAsia="Tahoma" w:cs="Tahoma"/>
          <w:b/>
          <w:bCs/>
          <w:color w:val="333333"/>
          <w:spacing w:val="0"/>
          <w:kern w:val="0"/>
          <w:sz w:val="16"/>
          <w:szCs w:val="16"/>
          <w:shd w:val="clear" w:fill="FFFFFF"/>
          <w:lang w:val="en-US" w:eastAsia="zh-CN" w:bidi="ar"/>
        </w:rPr>
        <w:t>四、降脂药物治疗</w:t>
      </w:r>
      <w:r>
        <w:rPr>
          <w:rFonts w:ascii="宋体" w:hAnsi="宋体" w:eastAsia="宋体" w:cs="宋体"/>
          <w:spacing w:val="20"/>
          <w:kern w:val="0"/>
          <w:sz w:val="16"/>
          <w:szCs w:val="16"/>
          <w:lang w:val="en-US" w:eastAsia="zh-CN" w:bidi="ar"/>
        </w:rPr>
        <w:t>根据其主要作用，降脂药物分为主要降低胆固醇的药物和主要降低TG的药物。在临床实践中，通常根据血脂异常类型、基线水平以及需要达到的目标值决定是否启用降脂药物或是否联合应用。1.主要降胆固醇的药物：包括他汀类药物、胆固醇吸收抑制剂、PCSK9抑制剂、普罗布考及其他降脂药。（1）他汀类药物：他汀类药物适用于高胆固醇血症、混合型高脂血症和ASCVD的防治。他汀类药物还可使TG水平降低7%~30%，HDL-C水平升高5%~15%。不同种类与剂量的他汀类药物降胆固醇幅度有一定差别，但任何一种他汀类药物剂量增倍时，LDL-C水平进一步降低幅度仅约为6%。他汀类药物可在任何时间段每天服用1次，但晚上服用时LDL-C降幅会稍增加。中等强度他汀类药物指LDL-C降幅25%~50%时所采用的他汀类药物日剂量。不同种类与剂量的他汀类药物降低LDL-C的幅度见表3。</w:t>
      </w:r>
    </w:p>
    <w:p w14:paraId="6C122E52">
      <w:pPr>
        <w:pStyle w:val="2"/>
        <w:keepNext w:val="0"/>
        <w:keepLines w:val="0"/>
        <w:widowControl/>
        <w:suppressLineNumbers w:val="0"/>
        <w:jc w:val="center"/>
      </w:pPr>
      <w:r>
        <w:drawing>
          <wp:inline distT="0" distB="0" distL="114300" distR="114300">
            <wp:extent cx="5274310" cy="4155440"/>
            <wp:effectExtent l="0" t="0" r="8890" b="10160"/>
            <wp:docPr id="7"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IMG_263"/>
                    <pic:cNvPicPr>
                      <a:picLocks noChangeAspect="1"/>
                    </pic:cNvPicPr>
                  </pic:nvPicPr>
                  <pic:blipFill>
                    <a:blip r:embed="rId11"/>
                    <a:stretch>
                      <a:fillRect/>
                    </a:stretch>
                  </pic:blipFill>
                  <pic:spPr>
                    <a:xfrm>
                      <a:off x="0" y="0"/>
                      <a:ext cx="5274310" cy="4155440"/>
                    </a:xfrm>
                    <a:prstGeom prst="rect">
                      <a:avLst/>
                    </a:prstGeom>
                    <a:noFill/>
                    <a:ln w="9525">
                      <a:noFill/>
                    </a:ln>
                  </pic:spPr>
                </pic:pic>
              </a:graphicData>
            </a:graphic>
          </wp:inline>
        </w:drawing>
      </w:r>
      <w:r>
        <w:rPr>
          <w:color w:val="333333"/>
          <w:spacing w:val="5"/>
          <w:sz w:val="14"/>
          <w:szCs w:val="14"/>
        </w:rPr>
        <w:t>（点击查看大图）</w:t>
      </w:r>
    </w:p>
    <w:p w14:paraId="5E19B901">
      <w:pPr>
        <w:pStyle w:val="2"/>
        <w:keepNext w:val="0"/>
        <w:keepLines w:val="0"/>
        <w:widowControl/>
        <w:suppressLineNumbers w:val="0"/>
        <w:shd w:val="clear" w:fill="FFFFFF"/>
        <w:spacing w:before="80" w:beforeAutospacing="0" w:after="240" w:afterAutospacing="0" w:line="420" w:lineRule="atLeast"/>
        <w:ind w:left="0" w:firstLine="0"/>
        <w:rPr>
          <w:rFonts w:hint="default" w:ascii="Tahoma" w:hAnsi="Tahoma" w:eastAsia="Tahoma" w:cs="Tahoma"/>
          <w:color w:val="333333"/>
          <w:spacing w:val="0"/>
          <w:sz w:val="14"/>
          <w:szCs w:val="14"/>
        </w:rPr>
      </w:pPr>
      <w:r>
        <w:rPr>
          <w:rFonts w:hint="default" w:ascii="Tahoma" w:hAnsi="Tahoma" w:eastAsia="Tahoma" w:cs="Tahoma"/>
          <w:color w:val="333333"/>
          <w:spacing w:val="20"/>
          <w:sz w:val="16"/>
          <w:szCs w:val="16"/>
          <w:shd w:val="clear" w:fill="FFFFFF"/>
        </w:rPr>
        <w:t>如应用中等强度他汀类药物（避免使用大剂量他汀类药物）后LDL-C仍不达标，则考虑联合治疗［联合胆固醇吸收抑制剂和（或）PCSK9抑制剂或其他药物］。在应用他汀类药物期间，需关注与其他药物间的相互作用。通过CYP3A4途径代谢的他汀类药物与免疫抑制剂（如环孢菌素A等）、抗真菌药物、大环内酯类药物、胺碘酮、吉非罗齐以及西柚汁等联用时，可能增加肌病或肌溶解的风险，故使用上述药（食）物的患者应避免使用大剂量他汀类药物，并监测不良反应。</w:t>
      </w:r>
    </w:p>
    <w:p w14:paraId="25238E8A">
      <w:pPr>
        <w:pStyle w:val="2"/>
        <w:keepNext w:val="0"/>
        <w:keepLines w:val="0"/>
        <w:widowControl/>
        <w:suppressLineNumbers w:val="0"/>
        <w:shd w:val="clear" w:fill="FFFFFF"/>
        <w:spacing w:before="80" w:beforeAutospacing="0" w:after="240" w:afterAutospacing="0" w:line="420" w:lineRule="atLeast"/>
        <w:ind w:left="0" w:firstLine="0"/>
        <w:rPr>
          <w:rFonts w:hint="default" w:ascii="Tahoma" w:hAnsi="Tahoma" w:eastAsia="Tahoma" w:cs="Tahoma"/>
          <w:color w:val="333333"/>
          <w:spacing w:val="0"/>
          <w:sz w:val="14"/>
          <w:szCs w:val="14"/>
        </w:rPr>
      </w:pPr>
      <w:r>
        <w:rPr>
          <w:rFonts w:hint="default" w:ascii="Tahoma" w:hAnsi="Tahoma" w:eastAsia="Tahoma" w:cs="Tahoma"/>
          <w:color w:val="333333"/>
          <w:spacing w:val="20"/>
          <w:sz w:val="16"/>
          <w:szCs w:val="16"/>
          <w:shd w:val="clear" w:fill="FFFFFF"/>
        </w:rPr>
        <w:t>应用他汀类药物使LDL-C达标后应继续长期应用，如能耐受应避免停用。</w:t>
      </w:r>
    </w:p>
    <w:p w14:paraId="7B29CCCB">
      <w:pPr>
        <w:pStyle w:val="2"/>
        <w:keepNext w:val="0"/>
        <w:keepLines w:val="0"/>
        <w:widowControl/>
        <w:suppressLineNumbers w:val="0"/>
        <w:shd w:val="clear" w:fill="FFFFFF"/>
        <w:spacing w:before="80" w:beforeAutospacing="0" w:after="240" w:afterAutospacing="0" w:line="420" w:lineRule="atLeast"/>
        <w:ind w:left="0" w:firstLine="0"/>
        <w:rPr>
          <w:rFonts w:hint="default" w:ascii="Tahoma" w:hAnsi="Tahoma" w:eastAsia="Tahoma" w:cs="Tahoma"/>
          <w:color w:val="333333"/>
          <w:spacing w:val="0"/>
          <w:sz w:val="14"/>
          <w:szCs w:val="14"/>
        </w:rPr>
      </w:pPr>
      <w:r>
        <w:rPr>
          <w:rFonts w:hint="default" w:ascii="Tahoma" w:hAnsi="Tahoma" w:eastAsia="Tahoma" w:cs="Tahoma"/>
          <w:color w:val="333333"/>
          <w:spacing w:val="20"/>
          <w:sz w:val="16"/>
          <w:szCs w:val="16"/>
          <w:shd w:val="clear" w:fill="FFFFFF"/>
        </w:rPr>
        <w:t>目前报道的他汀类药物不良反应主要包括肝功能异常、他汀类药物相关肌痛、肌酶升高、肌炎、横纹肌溶解症（图4），多呈剂量依赖性。长期、大剂量服用他汀类药物有增加新发糖尿病的风险，但其对ASCVD的总体益处远大于新发糖尿病的风险。</w:t>
      </w:r>
    </w:p>
    <w:p w14:paraId="22DB52C0">
      <w:pPr>
        <w:pStyle w:val="2"/>
        <w:keepNext w:val="0"/>
        <w:keepLines w:val="0"/>
        <w:widowControl/>
        <w:suppressLineNumbers w:val="0"/>
        <w:jc w:val="center"/>
      </w:pPr>
      <w:r>
        <w:drawing>
          <wp:inline distT="0" distB="0" distL="114300" distR="114300">
            <wp:extent cx="5265420" cy="4355465"/>
            <wp:effectExtent l="0" t="0" r="5080" b="635"/>
            <wp:docPr id="4"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descr="IMG_264"/>
                    <pic:cNvPicPr>
                      <a:picLocks noChangeAspect="1"/>
                    </pic:cNvPicPr>
                  </pic:nvPicPr>
                  <pic:blipFill>
                    <a:blip r:embed="rId12"/>
                    <a:stretch>
                      <a:fillRect/>
                    </a:stretch>
                  </pic:blipFill>
                  <pic:spPr>
                    <a:xfrm>
                      <a:off x="0" y="0"/>
                      <a:ext cx="5265420" cy="4355465"/>
                    </a:xfrm>
                    <a:prstGeom prst="rect">
                      <a:avLst/>
                    </a:prstGeom>
                    <a:noFill/>
                    <a:ln w="9525">
                      <a:noFill/>
                    </a:ln>
                  </pic:spPr>
                </pic:pic>
              </a:graphicData>
            </a:graphic>
          </wp:inline>
        </w:drawing>
      </w:r>
    </w:p>
    <w:p w14:paraId="28B3F0CD">
      <w:pPr>
        <w:pStyle w:val="2"/>
        <w:keepNext w:val="0"/>
        <w:keepLines w:val="0"/>
        <w:widowControl/>
        <w:suppressLineNumbers w:val="0"/>
        <w:shd w:val="clear" w:fill="FFFFFF"/>
        <w:spacing w:after="240" w:afterAutospacing="0" w:line="420" w:lineRule="atLeast"/>
        <w:ind w:left="0" w:firstLine="0"/>
        <w:jc w:val="center"/>
        <w:rPr>
          <w:rFonts w:hint="default" w:ascii="Tahoma" w:hAnsi="Tahoma" w:eastAsia="Tahoma" w:cs="Tahoma"/>
          <w:color w:val="333333"/>
          <w:spacing w:val="0"/>
          <w:sz w:val="14"/>
          <w:szCs w:val="14"/>
        </w:rPr>
      </w:pPr>
      <w:r>
        <w:rPr>
          <w:rFonts w:hint="eastAsia" w:ascii="Microsoft YaHei UI" w:hAnsi="Microsoft YaHei UI" w:eastAsia="Microsoft YaHei UI" w:cs="Microsoft YaHei UI"/>
          <w:color w:val="333333"/>
          <w:spacing w:val="5"/>
          <w:sz w:val="14"/>
          <w:szCs w:val="14"/>
          <w:shd w:val="clear" w:fill="FFFFFF"/>
        </w:rPr>
        <w:t>（点击查看大图）</w:t>
      </w:r>
    </w:p>
    <w:p w14:paraId="173BBA04">
      <w:pPr>
        <w:pStyle w:val="2"/>
        <w:keepNext w:val="0"/>
        <w:keepLines w:val="0"/>
        <w:widowControl/>
        <w:suppressLineNumbers w:val="0"/>
        <w:shd w:val="clear" w:fill="FFFFFF"/>
        <w:spacing w:after="240" w:afterAutospacing="0" w:line="420" w:lineRule="atLeast"/>
        <w:ind w:left="0" w:firstLine="0"/>
        <w:rPr>
          <w:rFonts w:hint="default" w:ascii="Tahoma" w:hAnsi="Tahoma" w:eastAsia="Tahoma" w:cs="Tahoma"/>
          <w:color w:val="333333"/>
          <w:spacing w:val="0"/>
          <w:sz w:val="14"/>
          <w:szCs w:val="14"/>
        </w:rPr>
      </w:pPr>
      <w:r>
        <w:rPr>
          <w:rFonts w:hint="default" w:ascii="Tahoma" w:hAnsi="Tahoma" w:eastAsia="Tahoma" w:cs="Tahoma"/>
          <w:color w:val="333333"/>
          <w:spacing w:val="20"/>
          <w:sz w:val="16"/>
          <w:szCs w:val="16"/>
          <w:shd w:val="clear" w:fill="FFFFFF"/>
        </w:rPr>
        <w:t>（2）胆固醇吸收抑制剂：胆固醇吸收抑制剂包括依折麦布和海博麦布。二者均为口服用药，常规用法均为10 mg，1次/d。与他汀类药物联用时，依折麦布可使LDL-C水平进一步降低18%~20%</w:t>
      </w:r>
      <w:r>
        <w:rPr>
          <w:rFonts w:hint="default" w:ascii="Tahoma" w:hAnsi="Tahoma" w:eastAsia="Tahoma" w:cs="Tahoma"/>
          <w:color w:val="333333"/>
          <w:spacing w:val="20"/>
          <w:sz w:val="10"/>
          <w:szCs w:val="10"/>
          <w:shd w:val="clear" w:fill="FFFFFF"/>
          <w:vertAlign w:val="superscript"/>
        </w:rPr>
        <w:t>［21］</w:t>
      </w:r>
      <w:r>
        <w:rPr>
          <w:rFonts w:hint="default" w:ascii="Tahoma" w:hAnsi="Tahoma" w:eastAsia="Tahoma" w:cs="Tahoma"/>
          <w:color w:val="333333"/>
          <w:spacing w:val="20"/>
          <w:sz w:val="16"/>
          <w:szCs w:val="16"/>
          <w:shd w:val="clear" w:fill="FFFFFF"/>
        </w:rPr>
        <w:t>，海博麦布进一步降低16%左右</w:t>
      </w:r>
      <w:r>
        <w:rPr>
          <w:rFonts w:hint="default" w:ascii="Tahoma" w:hAnsi="Tahoma" w:eastAsia="Tahoma" w:cs="Tahoma"/>
          <w:color w:val="333333"/>
          <w:spacing w:val="20"/>
          <w:sz w:val="10"/>
          <w:szCs w:val="10"/>
          <w:shd w:val="clear" w:fill="FFFFFF"/>
          <w:vertAlign w:val="superscript"/>
        </w:rPr>
        <w:t>［22］</w:t>
      </w:r>
      <w:r>
        <w:rPr>
          <w:rFonts w:hint="default" w:ascii="Tahoma" w:hAnsi="Tahoma" w:eastAsia="Tahoma" w:cs="Tahoma"/>
          <w:color w:val="333333"/>
          <w:spacing w:val="20"/>
          <w:sz w:val="16"/>
          <w:szCs w:val="16"/>
          <w:shd w:val="clear" w:fill="FFFFFF"/>
        </w:rPr>
        <w:t>。胆固醇吸收抑制剂不良反应轻微，且多为一过性，主要表现为头痛和消化道症状。也应关注其与他汀类药物联用时可发生肝酶增高和肌痛等不良反应，禁用于妊娠期和哺乳期。</w:t>
      </w:r>
    </w:p>
    <w:p w14:paraId="637F208F">
      <w:pPr>
        <w:pStyle w:val="2"/>
        <w:keepNext w:val="0"/>
        <w:keepLines w:val="0"/>
        <w:widowControl/>
        <w:suppressLineNumbers w:val="0"/>
        <w:shd w:val="clear" w:fill="FFFFFF"/>
        <w:spacing w:after="240" w:afterAutospacing="0" w:line="420" w:lineRule="atLeast"/>
        <w:ind w:left="0" w:firstLine="0"/>
        <w:rPr>
          <w:rFonts w:hint="default" w:ascii="Tahoma" w:hAnsi="Tahoma" w:eastAsia="Tahoma" w:cs="Tahoma"/>
          <w:color w:val="333333"/>
          <w:spacing w:val="0"/>
          <w:sz w:val="14"/>
          <w:szCs w:val="14"/>
        </w:rPr>
      </w:pPr>
      <w:r>
        <w:rPr>
          <w:rFonts w:hint="default" w:ascii="Tahoma" w:hAnsi="Tahoma" w:eastAsia="Tahoma" w:cs="Tahoma"/>
          <w:color w:val="333333"/>
          <w:spacing w:val="20"/>
          <w:sz w:val="16"/>
          <w:szCs w:val="16"/>
          <w:shd w:val="clear" w:fill="FFFFFF"/>
        </w:rPr>
        <w:t>（3）PCSK9抑制剂：目前获批上市的有依洛尤单抗、阿利西尤单抗、托莱西单抗及小干扰RNA英克司兰。依洛尤单抗140 mg或阿利西尤单抗75 mg，每2周1次皮下注射，安全性和耐受性好，可使LDL-C水平明显降低达50%~70%，其严重不良事件、肌肉相关事件、新发糖尿病、出血性卒中和神经认知事件等不良反应发生率与安慰剂组相似</w:t>
      </w:r>
      <w:r>
        <w:rPr>
          <w:rFonts w:hint="default" w:ascii="Tahoma" w:hAnsi="Tahoma" w:eastAsia="Tahoma" w:cs="Tahoma"/>
          <w:color w:val="333333"/>
          <w:spacing w:val="20"/>
          <w:sz w:val="10"/>
          <w:szCs w:val="10"/>
          <w:shd w:val="clear" w:fill="FFFFFF"/>
          <w:vertAlign w:val="superscript"/>
        </w:rPr>
        <w:t>［23］</w:t>
      </w:r>
      <w:r>
        <w:rPr>
          <w:rFonts w:hint="default" w:ascii="Tahoma" w:hAnsi="Tahoma" w:eastAsia="Tahoma" w:cs="Tahoma"/>
          <w:color w:val="333333"/>
          <w:spacing w:val="20"/>
          <w:sz w:val="16"/>
          <w:szCs w:val="16"/>
          <w:shd w:val="clear" w:fill="FFFFFF"/>
        </w:rPr>
        <w:t>。托莱西单抗150 mg，每2周1次皮下注射，LDL-C降幅类似</w:t>
      </w:r>
      <w:r>
        <w:rPr>
          <w:rFonts w:hint="default" w:ascii="Tahoma" w:hAnsi="Tahoma" w:eastAsia="Tahoma" w:cs="Tahoma"/>
          <w:color w:val="333333"/>
          <w:spacing w:val="20"/>
          <w:sz w:val="10"/>
          <w:szCs w:val="10"/>
          <w:shd w:val="clear" w:fill="FFFFFF"/>
          <w:vertAlign w:val="superscript"/>
        </w:rPr>
        <w:t>［24］</w:t>
      </w:r>
      <w:r>
        <w:rPr>
          <w:rFonts w:hint="default" w:ascii="Tahoma" w:hAnsi="Tahoma" w:eastAsia="Tahoma" w:cs="Tahoma"/>
          <w:color w:val="333333"/>
          <w:spacing w:val="20"/>
          <w:sz w:val="16"/>
          <w:szCs w:val="16"/>
          <w:shd w:val="clear" w:fill="FFFFFF"/>
        </w:rPr>
        <w:t>。英克司兰降LDL-C的幅度与PCSK9单抗近似而作用更持久，注射一剂疗效可维持半年</w:t>
      </w:r>
      <w:r>
        <w:rPr>
          <w:rFonts w:hint="default" w:ascii="Tahoma" w:hAnsi="Tahoma" w:eastAsia="Tahoma" w:cs="Tahoma"/>
          <w:color w:val="333333"/>
          <w:spacing w:val="20"/>
          <w:sz w:val="10"/>
          <w:szCs w:val="10"/>
          <w:shd w:val="clear" w:fill="FFFFFF"/>
          <w:vertAlign w:val="superscript"/>
        </w:rPr>
        <w:t>［25］</w:t>
      </w:r>
      <w:r>
        <w:rPr>
          <w:rFonts w:hint="default" w:ascii="Tahoma" w:hAnsi="Tahoma" w:eastAsia="Tahoma" w:cs="Tahoma"/>
          <w:color w:val="333333"/>
          <w:spacing w:val="20"/>
          <w:sz w:val="16"/>
          <w:szCs w:val="16"/>
          <w:shd w:val="clear" w:fill="FFFFFF"/>
        </w:rPr>
        <w:t>。常见副作用包括注射部位疼痛或肿块、疲劳感、恶心以及肌肉疼痛等。</w:t>
      </w:r>
    </w:p>
    <w:p w14:paraId="412AAA23">
      <w:pPr>
        <w:pStyle w:val="2"/>
        <w:keepNext w:val="0"/>
        <w:keepLines w:val="0"/>
        <w:widowControl/>
        <w:suppressLineNumbers w:val="0"/>
        <w:shd w:val="clear" w:fill="FFFFFF"/>
        <w:spacing w:after="240" w:afterAutospacing="0" w:line="420" w:lineRule="atLeast"/>
        <w:ind w:left="0" w:firstLine="0"/>
        <w:rPr>
          <w:rFonts w:hint="default" w:ascii="Tahoma" w:hAnsi="Tahoma" w:eastAsia="Tahoma" w:cs="Tahoma"/>
          <w:color w:val="333333"/>
          <w:spacing w:val="0"/>
          <w:sz w:val="14"/>
          <w:szCs w:val="14"/>
        </w:rPr>
      </w:pPr>
      <w:r>
        <w:rPr>
          <w:rFonts w:hint="default" w:ascii="Tahoma" w:hAnsi="Tahoma" w:eastAsia="Tahoma" w:cs="Tahoma"/>
          <w:color w:val="333333"/>
          <w:spacing w:val="20"/>
          <w:sz w:val="16"/>
          <w:szCs w:val="16"/>
          <w:shd w:val="clear" w:fill="FFFFFF"/>
        </w:rPr>
        <w:t>（4）普罗布考：普罗布考有抗氧化和延缓动脉粥样硬化作用。目前主要联合其他降脂药物用于治疗家族性高胆固醇血症患者，以减轻皮肤黄色瘤的发生及严重程度。成年人常用剂量0.5 g，2次/d。</w:t>
      </w:r>
    </w:p>
    <w:p w14:paraId="500A3D99">
      <w:pPr>
        <w:pStyle w:val="2"/>
        <w:keepNext w:val="0"/>
        <w:keepLines w:val="0"/>
        <w:widowControl/>
        <w:suppressLineNumbers w:val="0"/>
        <w:shd w:val="clear" w:fill="FFFFFF"/>
        <w:spacing w:after="240" w:afterAutospacing="0" w:line="420" w:lineRule="atLeast"/>
        <w:ind w:left="0" w:firstLine="0"/>
        <w:rPr>
          <w:rFonts w:hint="default" w:ascii="Tahoma" w:hAnsi="Tahoma" w:eastAsia="Tahoma" w:cs="Tahoma"/>
          <w:color w:val="333333"/>
          <w:spacing w:val="0"/>
          <w:sz w:val="14"/>
          <w:szCs w:val="14"/>
        </w:rPr>
      </w:pPr>
      <w:r>
        <w:rPr>
          <w:rFonts w:hint="default" w:ascii="Tahoma" w:hAnsi="Tahoma" w:eastAsia="Tahoma" w:cs="Tahoma"/>
          <w:color w:val="333333"/>
          <w:spacing w:val="20"/>
          <w:sz w:val="16"/>
          <w:szCs w:val="16"/>
          <w:shd w:val="clear" w:fill="FFFFFF"/>
        </w:rPr>
        <w:t>（5）其他降脂药：脂必泰是一种红曲与中药（山楂、泽泻、白术）的复合制剂，具有降低胆固醇的作用。</w:t>
      </w:r>
    </w:p>
    <w:p w14:paraId="03CA56D9">
      <w:pPr>
        <w:pStyle w:val="2"/>
        <w:keepNext w:val="0"/>
        <w:keepLines w:val="0"/>
        <w:widowControl/>
        <w:suppressLineNumbers w:val="0"/>
        <w:shd w:val="clear" w:fill="FFFFFF"/>
        <w:spacing w:after="240" w:afterAutospacing="0" w:line="420" w:lineRule="atLeast"/>
        <w:ind w:left="0" w:firstLine="0"/>
        <w:rPr>
          <w:rFonts w:hint="default" w:ascii="Tahoma" w:hAnsi="Tahoma" w:eastAsia="Tahoma" w:cs="Tahoma"/>
          <w:color w:val="333333"/>
          <w:spacing w:val="0"/>
          <w:sz w:val="14"/>
          <w:szCs w:val="14"/>
        </w:rPr>
      </w:pPr>
      <w:r>
        <w:rPr>
          <w:rFonts w:hint="default" w:ascii="Tahoma" w:hAnsi="Tahoma" w:eastAsia="Tahoma" w:cs="Tahoma"/>
          <w:color w:val="333333"/>
          <w:spacing w:val="20"/>
          <w:sz w:val="16"/>
          <w:szCs w:val="16"/>
          <w:shd w:val="clear" w:fill="FFFFFF"/>
        </w:rPr>
        <w:t>2.主要降TG药物：主要降TG的药物包括贝特类药物、ω-3脂肪酸、烟酸及其同类物（表4）。</w:t>
      </w:r>
    </w:p>
    <w:p w14:paraId="4C66391D">
      <w:pPr>
        <w:pStyle w:val="2"/>
        <w:keepNext w:val="0"/>
        <w:keepLines w:val="0"/>
        <w:widowControl/>
        <w:suppressLineNumbers w:val="0"/>
        <w:jc w:val="center"/>
      </w:pPr>
      <w:r>
        <w:drawing>
          <wp:inline distT="0" distB="0" distL="114300" distR="114300">
            <wp:extent cx="5273675" cy="6453505"/>
            <wp:effectExtent l="0" t="0" r="9525" b="10795"/>
            <wp:docPr id="11"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IMG_265"/>
                    <pic:cNvPicPr>
                      <a:picLocks noChangeAspect="1"/>
                    </pic:cNvPicPr>
                  </pic:nvPicPr>
                  <pic:blipFill>
                    <a:blip r:embed="rId13"/>
                    <a:stretch>
                      <a:fillRect/>
                    </a:stretch>
                  </pic:blipFill>
                  <pic:spPr>
                    <a:xfrm>
                      <a:off x="0" y="0"/>
                      <a:ext cx="5273675" cy="6453505"/>
                    </a:xfrm>
                    <a:prstGeom prst="rect">
                      <a:avLst/>
                    </a:prstGeom>
                    <a:noFill/>
                    <a:ln w="9525">
                      <a:noFill/>
                    </a:ln>
                  </pic:spPr>
                </pic:pic>
              </a:graphicData>
            </a:graphic>
          </wp:inline>
        </w:drawing>
      </w:r>
    </w:p>
    <w:p w14:paraId="688ED573">
      <w:pPr>
        <w:pStyle w:val="2"/>
        <w:keepNext w:val="0"/>
        <w:keepLines w:val="0"/>
        <w:widowControl/>
        <w:suppressLineNumbers w:val="0"/>
        <w:jc w:val="center"/>
      </w:pPr>
      <w:r>
        <w:rPr>
          <w:rFonts w:hint="eastAsia" w:ascii="Microsoft YaHei UI" w:hAnsi="Microsoft YaHei UI" w:eastAsia="Microsoft YaHei UI" w:cs="Microsoft YaHei UI"/>
          <w:color w:val="333333"/>
          <w:spacing w:val="5"/>
          <w:sz w:val="14"/>
          <w:szCs w:val="14"/>
          <w:shd w:val="clear" w:fill="FFFFFF"/>
        </w:rPr>
        <w:t>（点击查看大图）</w:t>
      </w:r>
    </w:p>
    <w:p w14:paraId="7C2608F3">
      <w:pPr>
        <w:keepNext w:val="0"/>
        <w:keepLines w:val="0"/>
        <w:widowControl/>
        <w:suppressLineNumbers w:val="0"/>
        <w:jc w:val="left"/>
      </w:pPr>
      <w:r>
        <w:rPr>
          <w:rFonts w:hint="default" w:ascii="Tahoma" w:hAnsi="Tahoma" w:eastAsia="Tahoma" w:cs="Tahoma"/>
          <w:color w:val="333333"/>
          <w:spacing w:val="20"/>
          <w:kern w:val="0"/>
          <w:sz w:val="16"/>
          <w:szCs w:val="16"/>
          <w:shd w:val="clear" w:fill="FFFFFF"/>
          <w:lang w:val="en-US" w:eastAsia="zh-CN" w:bidi="ar"/>
        </w:rPr>
        <w:t>3.降脂药物的联合应用：降脂药物联合应用是当前血脂异常干预策略的趋势，主要目的是提高血脂达标率，进一步降低ASCVD风险，减少药物不良反应。目前可选择的降脂药物主要联合应用策略见</w:t>
      </w:r>
      <w:r>
        <w:rPr>
          <w:rFonts w:ascii="宋体" w:hAnsi="宋体" w:eastAsia="宋体" w:cs="宋体"/>
          <w:color w:val="333333"/>
          <w:spacing w:val="5"/>
          <w:kern w:val="0"/>
          <w:sz w:val="16"/>
          <w:szCs w:val="16"/>
          <w:lang w:val="en-US" w:eastAsia="zh-CN" w:bidi="ar"/>
        </w:rPr>
        <w:t>表5</w:t>
      </w:r>
      <w:r>
        <w:rPr>
          <w:rFonts w:hint="default" w:ascii="Tahoma" w:hAnsi="Tahoma" w:eastAsia="Tahoma" w:cs="Tahoma"/>
          <w:color w:val="333333"/>
          <w:spacing w:val="0"/>
          <w:kern w:val="0"/>
          <w:sz w:val="16"/>
          <w:szCs w:val="16"/>
          <w:shd w:val="clear" w:fill="FFFFFF"/>
          <w:lang w:val="en-US" w:eastAsia="zh-CN" w:bidi="ar"/>
        </w:rPr>
        <w:t>。也可使用他汀类药物和（或）胆固醇吸收抑制剂固定复方制剂进一步提高依从性。</w:t>
      </w:r>
    </w:p>
    <w:p w14:paraId="3D09662B">
      <w:pPr>
        <w:pStyle w:val="2"/>
        <w:keepNext w:val="0"/>
        <w:keepLines w:val="0"/>
        <w:widowControl/>
        <w:suppressLineNumbers w:val="0"/>
        <w:jc w:val="center"/>
      </w:pPr>
      <w:r>
        <w:drawing>
          <wp:inline distT="0" distB="0" distL="114300" distR="114300">
            <wp:extent cx="5266690" cy="1438910"/>
            <wp:effectExtent l="0" t="0" r="3810" b="8890"/>
            <wp:docPr id="2"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1" descr="IMG_266"/>
                    <pic:cNvPicPr>
                      <a:picLocks noChangeAspect="1"/>
                    </pic:cNvPicPr>
                  </pic:nvPicPr>
                  <pic:blipFill>
                    <a:blip r:embed="rId14"/>
                    <a:stretch>
                      <a:fillRect/>
                    </a:stretch>
                  </pic:blipFill>
                  <pic:spPr>
                    <a:xfrm>
                      <a:off x="0" y="0"/>
                      <a:ext cx="5266690" cy="1438910"/>
                    </a:xfrm>
                    <a:prstGeom prst="rect">
                      <a:avLst/>
                    </a:prstGeom>
                    <a:noFill/>
                    <a:ln w="9525">
                      <a:noFill/>
                    </a:ln>
                  </pic:spPr>
                </pic:pic>
              </a:graphicData>
            </a:graphic>
          </wp:inline>
        </w:drawing>
      </w:r>
    </w:p>
    <w:p w14:paraId="51F14584">
      <w:pPr>
        <w:pStyle w:val="2"/>
        <w:keepNext w:val="0"/>
        <w:keepLines w:val="0"/>
        <w:widowControl/>
        <w:suppressLineNumbers w:val="0"/>
        <w:jc w:val="center"/>
      </w:pPr>
      <w:r>
        <w:rPr>
          <w:rFonts w:hint="eastAsia" w:ascii="Microsoft YaHei UI" w:hAnsi="Microsoft YaHei UI" w:eastAsia="Microsoft YaHei UI" w:cs="Microsoft YaHei UI"/>
          <w:color w:val="333333"/>
          <w:spacing w:val="5"/>
          <w:sz w:val="14"/>
          <w:szCs w:val="14"/>
          <w:shd w:val="clear" w:fill="FFFFFF"/>
        </w:rPr>
        <w:t>（点击查看大图）</w:t>
      </w:r>
    </w:p>
    <w:p w14:paraId="624D1F1B">
      <w:pPr>
        <w:pStyle w:val="2"/>
        <w:keepNext w:val="0"/>
        <w:keepLines w:val="0"/>
        <w:widowControl/>
        <w:suppressLineNumbers w:val="0"/>
        <w:jc w:val="center"/>
      </w:pPr>
      <w:r>
        <w:rPr>
          <w:rFonts w:hint="default" w:ascii="Tahoma" w:hAnsi="Tahoma" w:eastAsia="Tahoma" w:cs="Tahoma"/>
          <w:b/>
          <w:bCs/>
          <w:color w:val="333333"/>
          <w:spacing w:val="0"/>
          <w:sz w:val="16"/>
          <w:szCs w:val="16"/>
          <w:shd w:val="clear" w:fill="FFFFFF"/>
        </w:rPr>
        <w:t>五、特定人群的血脂管理</w:t>
      </w:r>
    </w:p>
    <w:p w14:paraId="51BE5343">
      <w:pPr>
        <w:keepNext w:val="0"/>
        <w:keepLines w:val="0"/>
        <w:widowControl/>
        <w:suppressLineNumbers w:val="0"/>
        <w:jc w:val="left"/>
      </w:pPr>
      <w:r>
        <w:rPr>
          <w:rFonts w:ascii="宋体" w:hAnsi="宋体" w:eastAsia="宋体" w:cs="宋体"/>
          <w:spacing w:val="20"/>
          <w:kern w:val="0"/>
          <w:sz w:val="16"/>
          <w:szCs w:val="16"/>
          <w:lang w:val="en-US" w:eastAsia="zh-CN" w:bidi="ar"/>
        </w:rPr>
        <w:t>1.高血压患者：高血压患者能从强化降脂中明显获益。应根据危险分层确定高血压个体相应的LDL-C目标值。对于高血压合并危险因素归为ASCVD中危及以上患者，应予以积极降胆固醇治疗，LDL-C至少应&lt;2.6 mmol/L。2.糖尿病患者：对于糖尿病患者，推荐同时采用LDL-C和非HDL-C作为降脂靶点。</w:t>
      </w:r>
    </w:p>
    <w:p w14:paraId="03FD4C0F">
      <w:pPr>
        <w:pStyle w:val="2"/>
        <w:keepNext w:val="0"/>
        <w:keepLines w:val="0"/>
        <w:widowControl/>
        <w:suppressLineNumbers w:val="0"/>
        <w:jc w:val="center"/>
      </w:pPr>
      <w:r>
        <w:drawing>
          <wp:inline distT="0" distB="0" distL="114300" distR="114300">
            <wp:extent cx="5273040" cy="5352415"/>
            <wp:effectExtent l="0" t="0" r="10160" b="6985"/>
            <wp:docPr id="6"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2" descr="IMG_267"/>
                    <pic:cNvPicPr>
                      <a:picLocks noChangeAspect="1"/>
                    </pic:cNvPicPr>
                  </pic:nvPicPr>
                  <pic:blipFill>
                    <a:blip r:embed="rId15"/>
                    <a:stretch>
                      <a:fillRect/>
                    </a:stretch>
                  </pic:blipFill>
                  <pic:spPr>
                    <a:xfrm>
                      <a:off x="0" y="0"/>
                      <a:ext cx="5273040" cy="5352415"/>
                    </a:xfrm>
                    <a:prstGeom prst="rect">
                      <a:avLst/>
                    </a:prstGeom>
                    <a:noFill/>
                    <a:ln w="9525">
                      <a:noFill/>
                    </a:ln>
                  </pic:spPr>
                </pic:pic>
              </a:graphicData>
            </a:graphic>
          </wp:inline>
        </w:drawing>
      </w:r>
    </w:p>
    <w:p w14:paraId="3475C5FA">
      <w:pPr>
        <w:pStyle w:val="2"/>
        <w:keepNext w:val="0"/>
        <w:keepLines w:val="0"/>
        <w:widowControl/>
        <w:suppressLineNumbers w:val="0"/>
        <w:jc w:val="center"/>
      </w:pPr>
      <w:r>
        <w:rPr>
          <w:rFonts w:hint="eastAsia" w:ascii="Microsoft YaHei UI" w:hAnsi="Microsoft YaHei UI" w:eastAsia="Microsoft YaHei UI" w:cs="Microsoft YaHei UI"/>
          <w:color w:val="333333"/>
          <w:spacing w:val="5"/>
          <w:sz w:val="14"/>
          <w:szCs w:val="14"/>
          <w:shd w:val="clear" w:fill="FFFFFF"/>
        </w:rPr>
        <w:t>（点击查看大图）</w:t>
      </w:r>
    </w:p>
    <w:p w14:paraId="232BE83C">
      <w:pPr>
        <w:keepNext w:val="0"/>
        <w:keepLines w:val="0"/>
        <w:widowControl/>
        <w:suppressLineNumbers w:val="0"/>
        <w:jc w:val="left"/>
      </w:pPr>
      <w:r>
        <w:rPr>
          <w:rFonts w:ascii="宋体" w:hAnsi="宋体" w:eastAsia="宋体" w:cs="宋体"/>
          <w:spacing w:val="20"/>
          <w:kern w:val="0"/>
          <w:sz w:val="16"/>
          <w:szCs w:val="16"/>
          <w:lang w:val="en-US" w:eastAsia="zh-CN" w:bidi="ar"/>
        </w:rPr>
        <w:t>建议ASCVD风险为高危的糖尿病患者选择中等强度他汀类药物作为基础降脂治疗，如果LDL-C不达标，需联用胆固醇吸收抑制剂或PCSK9抑制剂</w:t>
      </w:r>
      <w:r>
        <w:rPr>
          <w:rFonts w:ascii="宋体" w:hAnsi="宋体" w:eastAsia="宋体" w:cs="宋体"/>
          <w:spacing w:val="20"/>
          <w:kern w:val="0"/>
          <w:sz w:val="10"/>
          <w:szCs w:val="10"/>
          <w:vertAlign w:val="superscript"/>
          <w:lang w:val="en-US" w:eastAsia="zh-CN" w:bidi="ar"/>
        </w:rPr>
        <w:t>［21，26］</w:t>
      </w:r>
      <w:r>
        <w:rPr>
          <w:rFonts w:ascii="宋体" w:hAnsi="宋体" w:eastAsia="宋体" w:cs="宋体"/>
          <w:spacing w:val="20"/>
          <w:kern w:val="0"/>
          <w:sz w:val="16"/>
          <w:szCs w:val="16"/>
          <w:lang w:val="en-US" w:eastAsia="zh-CN" w:bidi="ar"/>
        </w:rPr>
        <w:t>。如果LDL-C达标后仍有TG升高或非HDL-C不达标，考虑联用二十碳五烯酸乙酯（icosapent ethyl，IPE）或其他ω-3脂肪酸或贝特类药物</w:t>
      </w:r>
      <w:r>
        <w:rPr>
          <w:rFonts w:ascii="宋体" w:hAnsi="宋体" w:eastAsia="宋体" w:cs="宋体"/>
          <w:spacing w:val="20"/>
          <w:kern w:val="0"/>
          <w:sz w:val="10"/>
          <w:szCs w:val="10"/>
          <w:vertAlign w:val="superscript"/>
          <w:lang w:val="en-US" w:eastAsia="zh-CN" w:bidi="ar"/>
        </w:rPr>
        <w:t>［17，19, 20］</w:t>
      </w:r>
      <w:r>
        <w:rPr>
          <w:rFonts w:ascii="宋体" w:hAnsi="宋体" w:eastAsia="宋体" w:cs="宋体"/>
          <w:spacing w:val="20"/>
          <w:kern w:val="0"/>
          <w:sz w:val="16"/>
          <w:szCs w:val="16"/>
          <w:lang w:val="en-US" w:eastAsia="zh-CN" w:bidi="ar"/>
        </w:rPr>
        <w:t>。3.慢性肾脏病（chronic kidney disease，CKD）患者：对于轻中度肾功能不全患者，他汀类药物治疗能显著降低其ASCVD风险</w:t>
      </w:r>
      <w:r>
        <w:rPr>
          <w:rFonts w:ascii="宋体" w:hAnsi="宋体" w:eastAsia="宋体" w:cs="宋体"/>
          <w:spacing w:val="20"/>
          <w:kern w:val="0"/>
          <w:sz w:val="10"/>
          <w:szCs w:val="10"/>
          <w:vertAlign w:val="superscript"/>
          <w:lang w:val="en-US" w:eastAsia="zh-CN" w:bidi="ar"/>
        </w:rPr>
        <w:t>［28］</w:t>
      </w:r>
      <w:r>
        <w:rPr>
          <w:rFonts w:ascii="宋体" w:hAnsi="宋体" w:eastAsia="宋体" w:cs="宋体"/>
          <w:spacing w:val="20"/>
          <w:kern w:val="0"/>
          <w:sz w:val="16"/>
          <w:szCs w:val="16"/>
          <w:lang w:val="en-US" w:eastAsia="zh-CN" w:bidi="ar"/>
        </w:rPr>
        <w:t>；对于透析依赖的重度肾功能不全患者，他汀类药物干预研究未显示效果</w:t>
      </w:r>
      <w:r>
        <w:rPr>
          <w:rFonts w:ascii="宋体" w:hAnsi="宋体" w:eastAsia="宋体" w:cs="宋体"/>
          <w:spacing w:val="20"/>
          <w:kern w:val="0"/>
          <w:sz w:val="10"/>
          <w:szCs w:val="10"/>
          <w:vertAlign w:val="superscript"/>
          <w:lang w:val="en-US" w:eastAsia="zh-CN" w:bidi="ar"/>
        </w:rPr>
        <w:t>［29, 30］</w:t>
      </w:r>
      <w:r>
        <w:rPr>
          <w:rFonts w:ascii="宋体" w:hAnsi="宋体" w:eastAsia="宋体" w:cs="宋体"/>
          <w:spacing w:val="20"/>
          <w:kern w:val="0"/>
          <w:sz w:val="16"/>
          <w:szCs w:val="16"/>
          <w:lang w:val="en-US" w:eastAsia="zh-CN" w:bidi="ar"/>
        </w:rPr>
        <w:t>。CKD患者是他汀类药物引起肌病的高危人群，发病风险与他汀类药物剂量密切相关，故应避免大剂量应用。贝特类药物可升高肌酐水平，在中重度CKD患者中与他汀类药物联用时，可能增加肌病风险，联合用药时应依据肾小球滤过率调整剂量</w:t>
      </w:r>
      <w:r>
        <w:rPr>
          <w:rFonts w:ascii="宋体" w:hAnsi="宋体" w:eastAsia="宋体" w:cs="宋体"/>
          <w:spacing w:val="20"/>
          <w:kern w:val="0"/>
          <w:sz w:val="10"/>
          <w:szCs w:val="10"/>
          <w:vertAlign w:val="superscript"/>
          <w:lang w:val="en-US" w:eastAsia="zh-CN" w:bidi="ar"/>
        </w:rPr>
        <w:t>［31, 32］</w:t>
      </w:r>
      <w:r>
        <w:rPr>
          <w:rFonts w:ascii="宋体" w:hAnsi="宋体" w:eastAsia="宋体" w:cs="宋体"/>
          <w:spacing w:val="20"/>
          <w:kern w:val="0"/>
          <w:sz w:val="16"/>
          <w:szCs w:val="16"/>
          <w:lang w:val="en-US" w:eastAsia="zh-CN" w:bidi="ar"/>
        </w:rPr>
        <w:t>。4.卒中患者：缺血性卒中患者可从降脂治疗中获益。对于缺血性卒中患者，目前中等剂量他汀类药物增加出血性卒中风险的证据不充分，降低LDL-C的获益远大于有潜在出血性卒中的风险。存在出血性卒中高风险或有出血性卒中病史的患者应个体化评估降脂治疗的获益与风险，LDL-C目标值不宜过低。</w:t>
      </w:r>
    </w:p>
    <w:p w14:paraId="1C94DE61">
      <w:pPr>
        <w:pStyle w:val="2"/>
        <w:keepNext w:val="0"/>
        <w:keepLines w:val="0"/>
        <w:widowControl/>
        <w:suppressLineNumbers w:val="0"/>
        <w:jc w:val="center"/>
      </w:pPr>
      <w:r>
        <w:drawing>
          <wp:inline distT="0" distB="0" distL="114300" distR="114300">
            <wp:extent cx="5269865" cy="4725670"/>
            <wp:effectExtent l="0" t="0" r="635" b="11430"/>
            <wp:docPr id="5"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3" descr="IMG_268"/>
                    <pic:cNvPicPr>
                      <a:picLocks noChangeAspect="1"/>
                    </pic:cNvPicPr>
                  </pic:nvPicPr>
                  <pic:blipFill>
                    <a:blip r:embed="rId16"/>
                    <a:stretch>
                      <a:fillRect/>
                    </a:stretch>
                  </pic:blipFill>
                  <pic:spPr>
                    <a:xfrm>
                      <a:off x="0" y="0"/>
                      <a:ext cx="5269865" cy="4725670"/>
                    </a:xfrm>
                    <a:prstGeom prst="rect">
                      <a:avLst/>
                    </a:prstGeom>
                    <a:noFill/>
                    <a:ln w="9525">
                      <a:noFill/>
                    </a:ln>
                  </pic:spPr>
                </pic:pic>
              </a:graphicData>
            </a:graphic>
          </wp:inline>
        </w:drawing>
      </w:r>
      <w:r>
        <w:rPr>
          <w:color w:val="333333"/>
          <w:spacing w:val="5"/>
          <w:sz w:val="14"/>
          <w:szCs w:val="14"/>
        </w:rPr>
        <w:t>（点击查看大图）</w:t>
      </w:r>
    </w:p>
    <w:p w14:paraId="66A913D6">
      <w:pPr>
        <w:pStyle w:val="2"/>
        <w:keepNext w:val="0"/>
        <w:keepLines w:val="0"/>
        <w:widowControl/>
        <w:suppressLineNumbers w:val="0"/>
        <w:jc w:val="center"/>
      </w:pPr>
    </w:p>
    <w:p w14:paraId="080B23F0">
      <w:pPr>
        <w:keepNext w:val="0"/>
        <w:keepLines w:val="0"/>
        <w:widowControl/>
        <w:suppressLineNumbers w:val="0"/>
        <w:jc w:val="left"/>
      </w:pPr>
      <w:r>
        <w:rPr>
          <w:rStyle w:val="5"/>
          <w:rFonts w:ascii="宋体" w:hAnsi="宋体" w:eastAsia="宋体" w:cs="宋体"/>
          <w:spacing w:val="20"/>
          <w:kern w:val="0"/>
          <w:sz w:val="16"/>
          <w:szCs w:val="16"/>
          <w:lang w:val="en-US" w:eastAsia="zh-CN" w:bidi="ar"/>
        </w:rPr>
        <w:t>中国血脂管理指南（基层版 2024 年）修订联合专家委员会指南修订组织机构：</w:t>
      </w:r>
      <w:r>
        <w:rPr>
          <w:rFonts w:ascii="宋体" w:hAnsi="宋体" w:eastAsia="宋体" w:cs="宋体"/>
          <w:spacing w:val="20"/>
          <w:kern w:val="0"/>
          <w:sz w:val="16"/>
          <w:szCs w:val="16"/>
          <w:lang w:val="en-US" w:eastAsia="zh-CN" w:bidi="ar"/>
        </w:rPr>
        <w:t>国家心血管病专家委员会，中华医学会心血管病学分会，中华医学会内分泌学分会，中华医学会糖尿病学分会，中华医学会检验医学分会，中国卒中学会</w:t>
      </w:r>
      <w:r>
        <w:rPr>
          <w:rStyle w:val="5"/>
          <w:rFonts w:ascii="宋体" w:hAnsi="宋体" w:eastAsia="宋体" w:cs="宋体"/>
          <w:spacing w:val="20"/>
          <w:kern w:val="0"/>
          <w:sz w:val="16"/>
          <w:szCs w:val="16"/>
          <w:lang w:val="en-US" w:eastAsia="zh-CN" w:bidi="ar"/>
        </w:rPr>
        <w:t>指南修订指导委员会</w:t>
      </w:r>
      <w:r>
        <w:rPr>
          <w:rFonts w:ascii="宋体" w:hAnsi="宋体" w:eastAsia="宋体" w:cs="宋体"/>
          <w:spacing w:val="20"/>
          <w:kern w:val="0"/>
          <w:sz w:val="16"/>
          <w:szCs w:val="16"/>
          <w:lang w:val="en-US" w:eastAsia="zh-CN" w:bidi="ar"/>
        </w:rPr>
        <w:t>（按姓氏笔画排序）：王成彬（解放军总医院全军医学检验质量控制中心，中华医学会检验学分会主任委员），张运（山东大学齐鲁医院），赵家军（山东省立医院，中华医学会内分泌学分会主任委员），胡大一（北京大学人民医院），韩雅玲（北部战区总医院，中华医学会心血管病学分会主任委员）</w:t>
      </w:r>
      <w:r>
        <w:rPr>
          <w:rStyle w:val="5"/>
          <w:rFonts w:ascii="宋体" w:hAnsi="宋体" w:eastAsia="宋体" w:cs="宋体"/>
          <w:spacing w:val="20"/>
          <w:kern w:val="0"/>
          <w:sz w:val="16"/>
          <w:szCs w:val="16"/>
          <w:lang w:val="en-US" w:eastAsia="zh-CN" w:bidi="ar"/>
        </w:rPr>
        <w:t>指南修订专家组组长协调人：</w:t>
      </w:r>
      <w:r>
        <w:rPr>
          <w:rFonts w:ascii="宋体" w:hAnsi="宋体" w:eastAsia="宋体" w:cs="宋体"/>
          <w:spacing w:val="20"/>
          <w:kern w:val="0"/>
          <w:sz w:val="16"/>
          <w:szCs w:val="16"/>
          <w:lang w:val="en-US" w:eastAsia="zh-CN" w:bidi="ar"/>
        </w:rPr>
        <w:t>高润霖（中国医学科学院阜外医院）</w:t>
      </w:r>
      <w:r>
        <w:rPr>
          <w:rStyle w:val="5"/>
          <w:rFonts w:ascii="宋体" w:hAnsi="宋体" w:eastAsia="宋体" w:cs="宋体"/>
          <w:spacing w:val="20"/>
          <w:kern w:val="0"/>
          <w:sz w:val="16"/>
          <w:szCs w:val="16"/>
          <w:lang w:val="en-US" w:eastAsia="zh-CN" w:bidi="ar"/>
        </w:rPr>
        <w:t>成员</w:t>
      </w:r>
      <w:r>
        <w:rPr>
          <w:rFonts w:ascii="宋体" w:hAnsi="宋体" w:eastAsia="宋体" w:cs="宋体"/>
          <w:spacing w:val="20"/>
          <w:kern w:val="0"/>
          <w:sz w:val="16"/>
          <w:szCs w:val="16"/>
          <w:lang w:val="en-US" w:eastAsia="zh-CN" w:bidi="ar"/>
        </w:rPr>
        <w:t>（按姓氏笔画排序）：李建军（中国医学科学院阜外医院），陆国平（上海交通大学医学院附属瑞金医院），赵冬（首都医科大学附属北京安贞医院），赵水平（中南大学湘雅二医院）</w:t>
      </w:r>
      <w:r>
        <w:rPr>
          <w:rStyle w:val="5"/>
          <w:rFonts w:ascii="宋体" w:hAnsi="宋体" w:eastAsia="宋体" w:cs="宋体"/>
          <w:spacing w:val="20"/>
          <w:kern w:val="0"/>
          <w:sz w:val="16"/>
          <w:szCs w:val="16"/>
          <w:lang w:val="en-US" w:eastAsia="zh-CN" w:bidi="ar"/>
        </w:rPr>
        <w:t>指南修订专家组</w:t>
      </w:r>
      <w:r>
        <w:rPr>
          <w:rFonts w:ascii="宋体" w:hAnsi="宋体" w:eastAsia="宋体" w:cs="宋体"/>
          <w:spacing w:val="20"/>
          <w:kern w:val="0"/>
          <w:sz w:val="16"/>
          <w:szCs w:val="16"/>
          <w:lang w:val="en-US" w:eastAsia="zh-CN" w:bidi="ar"/>
        </w:rPr>
        <w:t>（按姓氏笔画排序）：于波（哈尔滨医科大学附属第二医院），马长生（首都医科大学附属北京安贞医院），马依彤（新疆医科大学第一附属医院），王文志（首都医科大学附属北京天坛医院），王俊玲（北京市朝阳区劲松社区卫生服务中心），王胜煌（宁波大学附属第一医院），王莉珉（石家庄市桥西区裕西社区卫生服务中心），王敏（绵阳市中心医院心内科），王增武（中国医学科学院阜外医院），叶平（解放军总医院），史旭波（首都医科大学附属北京同仁医院），刘星（马鞍山十七冶医院合肥红光社区中心），刘静（首都医科大学附属北京安贞医院），刘梅林（北京大学第一医院），安美美（北京市海淀区甘家口社区卫生服务中心），孙艺红（中日友好医院），严晓伟（北京协和医院），杜雪平（首都医科大学附属复兴医院月坛社区卫生服务中心），李静（中国医学科学院阜外医院），李小鹰（解放军总医院），李永锦（北京市朝阳区劲松社区卫生服务中心），吴浩（首都医科大学全科医学与继续教育学院），吴娜琼（中国医学科学院阜外医院），陈红（北京大学人民医院），陈桢玥（上海交通大学医学院附属瑞金医院），陈韵岱（解放军总医院），武阳丰（北京大学医学部公共卫生学院），罗彩东（四川省绵阳市中心医院），周洲（中国医学科学院阜外医院），赵文华（中国疾病预防控制中心营养与健康所），俞蔚（浙江大学医学院附属浙江医院），祝烨（四川大学华西医院），祝之明（陆军军医大学大坪医院），高传玉（阜外华中心血管病医院），高炜（北京大学第三医院），郭艺芳（河北省人民医院），郭远林（中国医学科学院阜外医院），唐熠达（北京大学第三医院），梁春（上海长征医院），彭道泉（中南大学湘雅二医院），董吁钢（中山大学附属第一医院），程翔（华中科技大学同济医学院附属协和医院），曾正陪（北京协和医院），鄢盛恺（遵义医科大学附属医院），詹思延（北京大学医学部公共卫生学院），窦克非（中国医学科学院阜外医院），廖玉华（华中科技大学同济医学院附属协和医院），霍勇（北京大学第一医院）</w:t>
      </w:r>
      <w:r>
        <w:rPr>
          <w:rStyle w:val="5"/>
          <w:rFonts w:ascii="宋体" w:hAnsi="宋体" w:eastAsia="宋体" w:cs="宋体"/>
          <w:spacing w:val="20"/>
          <w:kern w:val="0"/>
          <w:sz w:val="16"/>
          <w:szCs w:val="16"/>
          <w:lang w:val="en-US" w:eastAsia="zh-CN" w:bidi="ar"/>
        </w:rPr>
        <w:t>指南修订执笔专家：</w:t>
      </w:r>
      <w:r>
        <w:rPr>
          <w:rFonts w:ascii="宋体" w:hAnsi="宋体" w:eastAsia="宋体" w:cs="宋体"/>
          <w:spacing w:val="20"/>
          <w:kern w:val="0"/>
          <w:sz w:val="16"/>
          <w:szCs w:val="16"/>
          <w:lang w:val="en-US" w:eastAsia="zh-CN" w:bidi="ar"/>
        </w:rPr>
        <w:t>王增武（中国医学科学院阜外医院），郭远林（中国医学科学院阜外医院）</w:t>
      </w:r>
      <w:r>
        <w:rPr>
          <w:rStyle w:val="5"/>
          <w:rFonts w:ascii="宋体" w:hAnsi="宋体" w:eastAsia="宋体" w:cs="宋体"/>
          <w:spacing w:val="20"/>
          <w:kern w:val="0"/>
          <w:sz w:val="16"/>
          <w:szCs w:val="16"/>
          <w:lang w:val="en-US" w:eastAsia="zh-CN" w:bidi="ar"/>
        </w:rPr>
        <w:t>指南修订秘书组组长：</w:t>
      </w:r>
      <w:r>
        <w:rPr>
          <w:rFonts w:ascii="宋体" w:hAnsi="宋体" w:eastAsia="宋体" w:cs="宋体"/>
          <w:spacing w:val="20"/>
          <w:kern w:val="0"/>
          <w:sz w:val="16"/>
          <w:szCs w:val="16"/>
          <w:lang w:val="en-US" w:eastAsia="zh-CN" w:bidi="ar"/>
        </w:rPr>
        <w:t>王增武（中国医学科学院阜外医院）</w:t>
      </w:r>
    </w:p>
    <w:p w14:paraId="6F3C6CF1">
      <w:pPr>
        <w:pStyle w:val="2"/>
        <w:keepNext w:val="0"/>
        <w:keepLines w:val="0"/>
        <w:widowControl/>
        <w:suppressLineNumbers w:val="0"/>
        <w:shd w:val="clear" w:fill="FFFFFF"/>
        <w:spacing w:after="0" w:afterAutospacing="0" w:line="368" w:lineRule="atLeast"/>
        <w:ind w:left="0" w:firstLine="0"/>
        <w:rPr>
          <w:rFonts w:hint="default" w:ascii="Tahoma" w:hAnsi="Tahoma" w:eastAsia="Tahoma" w:cs="Tahoma"/>
          <w:color w:val="333333"/>
          <w:spacing w:val="0"/>
          <w:sz w:val="14"/>
          <w:szCs w:val="14"/>
        </w:rPr>
      </w:pPr>
      <w:r>
        <w:rPr>
          <w:rStyle w:val="5"/>
          <w:rFonts w:hint="default" w:ascii="Tahoma" w:hAnsi="Tahoma" w:eastAsia="Tahoma" w:cs="Tahoma"/>
          <w:color w:val="333333"/>
          <w:spacing w:val="0"/>
          <w:sz w:val="16"/>
          <w:szCs w:val="16"/>
          <w:shd w:val="clear" w:fill="FFFFFF"/>
        </w:rPr>
        <w:t>成员：</w:t>
      </w:r>
      <w:r>
        <w:rPr>
          <w:rFonts w:hint="default" w:ascii="Tahoma" w:hAnsi="Tahoma" w:eastAsia="Tahoma" w:cs="Tahoma"/>
          <w:color w:val="333333"/>
          <w:spacing w:val="0"/>
          <w:sz w:val="16"/>
          <w:szCs w:val="16"/>
          <w:shd w:val="clear" w:fill="FFFFFF"/>
        </w:rPr>
        <w:t>马丽媛（中国医学科学院阜外医院），高莹（中国医学科学院阜外医院</w:t>
      </w:r>
      <w:r>
        <w:rPr>
          <w:rFonts w:hint="default" w:ascii="Tahoma" w:hAnsi="Tahoma" w:eastAsia="Tahoma" w:cs="Tahoma"/>
          <w:color w:val="333333"/>
          <w:spacing w:val="0"/>
          <w:sz w:val="14"/>
          <w:szCs w:val="14"/>
          <w:shd w:val="clear" w:fill="FFFFFF"/>
        </w:rPr>
        <w:t>）</w:t>
      </w:r>
    </w:p>
    <w:p w14:paraId="48CEA41A"/>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U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EAAB287"/>
    <w:multiLevelType w:val="singleLevel"/>
    <w:tmpl w:val="BEAAB287"/>
    <w:lvl w:ilvl="0" w:tentative="0">
      <w:start w:val="2"/>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45E90364"/>
    <w:rsid w:val="4FCA2F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0</Words>
  <Characters>0</Characters>
  <Lines>0</Lines>
  <Paragraphs>0</Paragraphs>
  <TotalTime>0</TotalTime>
  <ScaleCrop>false</ScaleCrop>
  <LinksUpToDate>false</LinksUpToDate>
  <CharactersWithSpaces>0</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2025-08-25T08:54:51Z</dcterms:created>
  <dc:creator>ange7</dc:creator>
  <cp:lastModifiedBy>WPS_1677573065</cp:lastModifiedBy>
  <dcterms:modified xsi:type="dcterms:W3CDTF">2025-08-25T08:56:25Z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KSOTemplateDocerSaveRecord">
    <vt:lpwstr>eyJoZGlkIjoiN2Q4NmQ4YjczZmQzMmEwZjQ4ODVkMGZlNjE1NDQxMjIiLCJ1c2VySWQiOiIxNDc3MDkyNjM1In0=</vt:lpwstr>
  </property>
  <property fmtid="{D5CDD505-2E9C-101B-9397-08002B2CF9AE}" pid="4" name="ICV">
    <vt:lpwstr>16031AF0F8454469ABD4F1CF61869AB4_12</vt:lpwstr>
  </property>
</Properties>
</file>