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9DCAEA" w14:textId="77777777" w:rsidR="00A16D83" w:rsidRPr="002A2802" w:rsidRDefault="0034031E">
      <w:pPr>
        <w:spacing w:before="560"/>
        <w:jc w:val="center"/>
        <w:rPr>
          <w:rFonts w:asciiTheme="majorHAnsi" w:hAnsiTheme="majorHAnsi"/>
          <w:color w:val="000000" w:themeColor="text1"/>
        </w:rPr>
      </w:pPr>
      <w:r w:rsidRPr="002A2802">
        <w:rPr>
          <w:rFonts w:asciiTheme="majorHAnsi" w:hAnsiTheme="majorHAnsi"/>
          <w:color w:val="000000" w:themeColor="text1"/>
          <w:sz w:val="58"/>
        </w:rPr>
        <w:t>RAGTune</w:t>
      </w:r>
    </w:p>
    <w:p w14:paraId="2E7E4EDF" w14:textId="77777777" w:rsidR="00A16D83" w:rsidRPr="002A2802" w:rsidRDefault="0034031E">
      <w:pPr>
        <w:spacing w:after="240"/>
        <w:jc w:val="center"/>
        <w:rPr>
          <w:rFonts w:asciiTheme="majorHAnsi" w:hAnsiTheme="majorHAnsi"/>
          <w:color w:val="000000" w:themeColor="text1"/>
        </w:rPr>
      </w:pPr>
      <w:r w:rsidRPr="002A2802">
        <w:rPr>
          <w:rFonts w:asciiTheme="majorHAnsi" w:hAnsiTheme="majorHAnsi"/>
          <w:color w:val="000000" w:themeColor="text1"/>
          <w:sz w:val="33"/>
        </w:rPr>
        <w:t>Evidence-Preserving Governance for RAG Policy Promotion</w:t>
      </w:r>
      <w:r w:rsidRPr="002A2802">
        <w:rPr>
          <w:rFonts w:asciiTheme="majorHAnsi" w:hAnsiTheme="majorHAnsi"/>
          <w:color w:val="000000" w:themeColor="text1"/>
          <w:sz w:val="33"/>
        </w:rPr>
        <w:br/>
        <w:t>Under Quality, Cost, Latency, and Risk Constraints</w:t>
      </w:r>
    </w:p>
    <w:p w14:paraId="3EA48F03" w14:textId="5E5825A4" w:rsidR="00A16D83" w:rsidRPr="002A2802" w:rsidRDefault="0062187F">
      <w:pPr>
        <w:spacing w:after="40"/>
        <w:jc w:val="center"/>
        <w:rPr>
          <w:rFonts w:asciiTheme="majorHAnsi" w:hAnsiTheme="majorHAnsi"/>
          <w:color w:val="000000" w:themeColor="text1"/>
        </w:rPr>
      </w:pPr>
      <w:r>
        <w:rPr>
          <w:rFonts w:asciiTheme="majorHAnsi" w:hAnsiTheme="majorHAnsi"/>
          <w:color w:val="000000" w:themeColor="text1"/>
          <w:sz w:val="23"/>
        </w:rPr>
        <w:t>Ri</w:t>
      </w:r>
      <w:r w:rsidR="00852858">
        <w:rPr>
          <w:rFonts w:asciiTheme="majorHAnsi" w:hAnsiTheme="majorHAnsi"/>
          <w:color w:val="000000" w:themeColor="text1"/>
          <w:sz w:val="23"/>
        </w:rPr>
        <w:t>chard Krueger</w:t>
      </w:r>
      <w:r w:rsidR="000D71FC">
        <w:rPr>
          <w:rFonts w:asciiTheme="majorHAnsi" w:hAnsiTheme="majorHAnsi"/>
          <w:color w:val="000000" w:themeColor="text1"/>
          <w:sz w:val="23"/>
        </w:rPr>
        <w:t>, Lucas K</w:t>
      </w:r>
      <w:r w:rsidR="00F33854">
        <w:rPr>
          <w:rFonts w:asciiTheme="majorHAnsi" w:hAnsiTheme="majorHAnsi"/>
          <w:color w:val="000000" w:themeColor="text1"/>
          <w:sz w:val="23"/>
        </w:rPr>
        <w:t>rause</w:t>
      </w:r>
    </w:p>
    <w:p w14:paraId="4A0F434D" w14:textId="77777777" w:rsidR="00A16D83" w:rsidRPr="002A2802" w:rsidRDefault="0034031E">
      <w:pPr>
        <w:spacing w:after="280"/>
        <w:jc w:val="center"/>
        <w:rPr>
          <w:rFonts w:asciiTheme="majorHAnsi" w:hAnsiTheme="majorHAnsi"/>
          <w:color w:val="000000" w:themeColor="text1"/>
        </w:rPr>
      </w:pPr>
      <w:r w:rsidRPr="002A2802">
        <w:rPr>
          <w:rFonts w:asciiTheme="majorHAnsi" w:hAnsiTheme="majorHAnsi"/>
          <w:color w:val="000000" w:themeColor="text1"/>
          <w:sz w:val="18"/>
        </w:rPr>
        <w:t>Independent open-source research project  |  August 2026  |  Preprint version 0.1.0-rc1</w:t>
      </w:r>
    </w:p>
    <w:p w14:paraId="4695B950" w14:textId="77777777" w:rsidR="00A16D83" w:rsidRPr="002A2802" w:rsidRDefault="0034031E">
      <w:pPr>
        <w:spacing w:before="40" w:after="60"/>
        <w:rPr>
          <w:rFonts w:asciiTheme="majorHAnsi" w:hAnsiTheme="majorHAnsi"/>
          <w:color w:val="000000" w:themeColor="text1"/>
        </w:rPr>
      </w:pPr>
      <w:r w:rsidRPr="002A2802">
        <w:rPr>
          <w:rFonts w:asciiTheme="majorHAnsi" w:hAnsiTheme="majorHAnsi"/>
          <w:color w:val="000000" w:themeColor="text1"/>
          <w:sz w:val="24"/>
        </w:rPr>
        <w:t>Abstract</w:t>
      </w:r>
    </w:p>
    <w:p w14:paraId="78F311D1" w14:textId="3BBA9B3F" w:rsidR="00A16D83" w:rsidRPr="002A2802" w:rsidRDefault="0034031E">
      <w:pPr>
        <w:spacing w:after="140" w:line="245" w:lineRule="auto"/>
        <w:jc w:val="both"/>
        <w:rPr>
          <w:rFonts w:asciiTheme="majorHAnsi" w:hAnsiTheme="majorHAnsi"/>
          <w:color w:val="000000" w:themeColor="text1"/>
        </w:rPr>
      </w:pPr>
      <w:r w:rsidRPr="002A2802">
        <w:rPr>
          <w:rFonts w:asciiTheme="majorHAnsi" w:hAnsiTheme="majorHAnsi"/>
          <w:color w:val="000000" w:themeColor="text1"/>
          <w:sz w:val="19"/>
        </w:rPr>
        <w:t xml:space="preserve">Retrieval-augmented generation systems are </w:t>
      </w:r>
      <w:r w:rsidR="00B531DF">
        <w:rPr>
          <w:rFonts w:asciiTheme="majorHAnsi" w:hAnsiTheme="majorHAnsi"/>
          <w:color w:val="000000" w:themeColor="text1"/>
          <w:sz w:val="19"/>
        </w:rPr>
        <w:t>extens</w:t>
      </w:r>
      <w:r w:rsidR="00EC589E">
        <w:rPr>
          <w:rFonts w:asciiTheme="majorHAnsi" w:hAnsiTheme="majorHAnsi"/>
          <w:color w:val="000000" w:themeColor="text1"/>
          <w:sz w:val="19"/>
        </w:rPr>
        <w:t>ively instru</w:t>
      </w:r>
      <w:r w:rsidR="00063ADE">
        <w:rPr>
          <w:rFonts w:asciiTheme="majorHAnsi" w:hAnsiTheme="majorHAnsi"/>
          <w:color w:val="000000" w:themeColor="text1"/>
          <w:sz w:val="19"/>
        </w:rPr>
        <w:t>mented</w:t>
      </w:r>
      <w:r w:rsidR="003476E3">
        <w:rPr>
          <w:rFonts w:asciiTheme="majorHAnsi" w:hAnsiTheme="majorHAnsi"/>
          <w:color w:val="000000" w:themeColor="text1"/>
          <w:sz w:val="19"/>
        </w:rPr>
        <w:t xml:space="preserve"> with</w:t>
      </w:r>
      <w:r w:rsidRPr="002A2802">
        <w:rPr>
          <w:rFonts w:asciiTheme="majorHAnsi" w:hAnsiTheme="majorHAnsi"/>
          <w:color w:val="000000" w:themeColor="text1"/>
          <w:sz w:val="19"/>
        </w:rPr>
        <w:t xml:space="preserve"> metrics, benchmarks, traces, and automated judges, but these tools do not decide whether a proposed policy change is safe to release. We present RAGTune, an open-source promotion-control framework that treats deployment as a constrained evidence decision rather than a leaderboard choice. RAGTune normalizes evaluator outputs and operational telemetry, applies predeclared quality and hard-risk gates, assigns evidence-class claim ceilings, preserves negative outcomes, and emits auditable PROMOTE, BLOCK, REJECT, or INCONCLUSIVE decisions. We evaluate the framework across T2-RAGBench, MultiHop-RAG, CRAG, HotpotQA, synthetic reproduction, and bounded local generative experiments. On HotpotQA, operational savings were blocked because answer quality fell beyond the declared margin. A bounded CRAG study selected a lower-cost quality-tied policy, but related generative gains were unstable and a held-out guardrail failed closed. We claim an auditable promotion-control abstraction, not optimizer superiority, human validation, or production readiness. The tagged artifact reproduces from a fresh clone, runs as a hardened Docker job, accepts external evaluator exports, and verifies artifact integrity.</w:t>
      </w:r>
    </w:p>
    <w:p w14:paraId="1FFF8460" w14:textId="77777777" w:rsidR="00A16D83" w:rsidRPr="002A2802" w:rsidRDefault="0034031E">
      <w:pPr>
        <w:spacing w:after="80"/>
        <w:rPr>
          <w:rFonts w:asciiTheme="majorHAnsi" w:hAnsiTheme="majorHAnsi"/>
          <w:color w:val="000000" w:themeColor="text1"/>
        </w:rPr>
      </w:pPr>
      <w:r w:rsidRPr="002A2802">
        <w:rPr>
          <w:rFonts w:asciiTheme="majorHAnsi" w:hAnsiTheme="majorHAnsi"/>
          <w:color w:val="000000" w:themeColor="text1"/>
          <w:sz w:val="17"/>
        </w:rPr>
        <w:t>Keywords: retrieval-augmented generation; RAG evaluation; AI governance; promotion control; noninferiority; LLMOps; reproducibility</w:t>
      </w:r>
    </w:p>
    <w:p w14:paraId="28861DAF" w14:textId="77777777" w:rsidR="00A16D83" w:rsidRPr="002A2802" w:rsidRDefault="0034031E">
      <w:pPr>
        <w:spacing w:after="20"/>
        <w:rPr>
          <w:rFonts w:asciiTheme="majorHAnsi" w:hAnsiTheme="majorHAnsi"/>
          <w:color w:val="000000" w:themeColor="text1"/>
        </w:rPr>
      </w:pPr>
      <w:r w:rsidRPr="002A2802">
        <w:rPr>
          <w:rFonts w:asciiTheme="majorHAnsi" w:hAnsiTheme="majorHAnsi"/>
          <w:color w:val="000000" w:themeColor="text1"/>
          <w:sz w:val="17"/>
        </w:rPr>
        <w:t xml:space="preserve">Code and artifacts: </w:t>
      </w:r>
      <w:hyperlink r:id="rId8">
        <w:r w:rsidRPr="002A2802">
          <w:rPr>
            <w:rFonts w:asciiTheme="majorHAnsi" w:hAnsiTheme="majorHAnsi"/>
            <w:color w:val="000000" w:themeColor="text1"/>
            <w:u w:val="single"/>
          </w:rPr>
          <w:t>github.com/AIM-RAGTune/rag-tuning-governance-public</w:t>
        </w:r>
      </w:hyperlink>
    </w:p>
    <w:p w14:paraId="3C2D8F00"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sz w:val="17"/>
        </w:rPr>
        <w:t>Release candidate: v0.1.0-rc1  |  Commit: ff529005bf7d00a0c3f79ba991563f3923d63205</w:t>
      </w:r>
    </w:p>
    <w:p w14:paraId="3AD3D754"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rPr>
        <w:br w:type="page"/>
      </w:r>
    </w:p>
    <w:p w14:paraId="6BF893AB"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1. Introduction</w:t>
      </w:r>
    </w:p>
    <w:p w14:paraId="3A460560"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Retrieval-augmented generation (RAG) has become a standard architecture for connecting language models to current, domain-specific, and attributable evidence [1, 2]. Yet a RAG system is not a single model. Its behavior depends on document preparation, retrieval depth, query routing, reranking, context assembly, generation, abstention, and tool-use policies. Every proposed change is therefore multi-objective: a policy may be faster but less complete, cheaper but less faithful, stronger on average but fragile on a protected slice, or attractive on validation data yet worse for a held-out population.</w:t>
      </w:r>
    </w:p>
    <w:p w14:paraId="2B49104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evaluation ecosystem has advanced rapidly. RAGAS, ARES, RAGChecker, RAGBench, CRAG, HotpotQA, and related benchmarks provide reference-free or labeled metrics, fine-grained diagnostics, and structured evidence [3-8, 10]. Observability platforms capture traces, cost, latency, and feedback [18, 19], while optimization systems such as DSPy search prompts, programs, or pipeline configurations against a chosen metric [9]. These capabilities answer important measurement and search questions, but they do not settle the release question: given several plausible policies and incomplete, heterogeneous evidence, which policy may replace the baseline, which should be rejected, and when should the system refuse to decide?</w:t>
      </w:r>
    </w:p>
    <w:p w14:paraId="2D01B2C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RAGTune addresses that decision layer. Its central abstraction is not a new answer-quality metric or a universal optimizer. It is an evidence-preserving promotion controller. RAGTune ingests native metrics or normalized evaluator exports, binds them to provenance and evidence class, applies non-compensatory gates and predeclared decision rules, emits a machine-readable decision, and preserves supporting and contradicting evidence as an auditable bundle. A lower-cost or lower-latency policy is promotable only when its quality evidence, split integrity, security posture, provenance, and claim scope also pass.</w:t>
      </w:r>
    </w:p>
    <w:p w14:paraId="35337CD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research question is whether a lightweight, open-source governance layer can convert heterogeneous RAG metrics and telemetry into reproducible promotion decisions while reducing false promotion of policies that save cost or latency at unacceptable quality risk.</w:t>
      </w:r>
    </w:p>
    <w:p w14:paraId="13491F1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distinction matters because deployment authority is often implicit. In a research notebook, the highest validation score may become the de facto recommendation; in an enterprise workflow, a cost dashboard or latency trace may play the same role. RAGTune makes that authority explicit and inspectable. The framework does not prevent teams from choosing aggressive operating points, but it requires the quality floor, hard disqualifiers, evidence scope, and decision reason to be recorded before the result is presented as promotable.</w:t>
      </w:r>
    </w:p>
    <w:p w14:paraId="7739BCA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This paper makes four contributions. First, it defines a promotion-control formalism that separates metric generation from release decisions and uses noninferiority-style quality gates to evaluate operational gains. Second, it introduces an evidence ladder and claim ceiling so fixture, development, confirmatory, generative, and deployment evidence cannot be silently relabeled. Third, it operationalizes fail-closed governance through machine-readable decisions, an append-only evidence ledger, artifact-integrity checks, and a validator that binds public claims to result classes. Fourth, it releases and evaluates a reproducible implementation with public-mini execution, external-evaluator adapters, selector ablations, bounded public and generative studies, fresh-clone reproduction, and a hardened Docker job.</w:t>
      </w:r>
    </w:p>
    <w:p w14:paraId="7D06EE3D"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33B4E174" wp14:editId="3D39F0E3">
            <wp:extent cx="5989320" cy="2581129"/>
            <wp:effectExtent l="0" t="0" r="0" b="0"/>
            <wp:docPr id="1" name="Picture 1" descr="Flow diagram showing candidate RAG policies moving through evaluation metrics, evidence and provenance gates, a promotion controller, and one of four decisions: promote, block, reject, or inconclusive." title="Flow diagram showing candidate RAG policies moving through evaluation metrics, evidence and provenance gates, a promo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989320" cy="2581129"/>
                    </a:xfrm>
                    <a:prstGeom prst="rect">
                      <a:avLst/>
                    </a:prstGeom>
                  </pic:spPr>
                </pic:pic>
              </a:graphicData>
            </a:graphic>
          </wp:inline>
        </w:drawing>
      </w:r>
    </w:p>
    <w:p w14:paraId="0DEE945F"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1. RAGTune converts candidate-policy evidence into an auditable promotion decision; artifacts, telemetry, and negative results feed the next evaluation cycle.</w:t>
      </w:r>
    </w:p>
    <w:p w14:paraId="14BEBDE2"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2. Background and Related Work</w:t>
      </w:r>
    </w:p>
    <w:p w14:paraId="7487318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original RAG formulation combined parametric generation with non-parametric retrieval for knowledge-intensive tasks [1]; later work broadened the design space to modular retrieval, routing, reranking, verification, and tool use [2]. This modularity creates a policy-selection problem as well as an answer-generation problem.</w:t>
      </w:r>
    </w:p>
    <w:p w14:paraId="0183411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RAGAS, ARES, RAGChecker, and RAGBench provide complementary evaluation methods, from reference-free metrics to prediction-powered judges, component diagnostics, and labeled benchmark data [3-6]. CRAG stresses factuality, dynamism, long-tail entities, and mock web or knowledge-graph APIs, while HotpotQA provides multi-hop questions and sentence-level supporting facts [7, 8]. Benchmarking studies likewise compare model and retrieval choices in RAG settings [10]. RAGTune consumes these measurements as bounded evidence; it does not replace their metric semantics.</w:t>
      </w:r>
    </w:p>
    <w:p w14:paraId="2364C26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DSPy and related optimizers search candidate programs or policies [9], while LangSmith and Phoenix organize experiments, traces, evaluator scores, latency, and feedback [18, 19]. The distinction is concise: observability explains, evaluation estimates, optimization searches, and governance decides. The broader ML-systems literature similarly emphasizes hidden dependencies, testing, monitoring, and technical debt beyond model code [14, 15].</w:t>
      </w:r>
    </w:p>
    <w:p w14:paraId="6B81F7D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NIST's AI Risk Management Framework and Generative AI Profile organize lifecycle governance around Govern, Map, Measure, and Manage, and ISO/IEC 42001 specifies an AI management system [11-13]. RAGTune is narrower and executable: it sits between measurement and deployment and produces a traceable RAG-policy release decision.</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944"/>
        <w:gridCol w:w="2376"/>
        <w:gridCol w:w="2520"/>
        <w:gridCol w:w="3240"/>
      </w:tblGrid>
      <w:tr w:rsidR="00A16D83" w:rsidRPr="002A2802" w14:paraId="3735030D" w14:textId="77777777">
        <w:trPr>
          <w:tblHeader/>
          <w:jc w:val="center"/>
        </w:trPr>
        <w:tc>
          <w:tcPr>
            <w:tcW w:w="1944" w:type="dxa"/>
            <w:shd w:val="clear" w:color="auto" w:fill="DCE8EF"/>
            <w:tcMar>
              <w:top w:w="70" w:type="dxa"/>
              <w:left w:w="90" w:type="dxa"/>
              <w:bottom w:w="70" w:type="dxa"/>
              <w:right w:w="90" w:type="dxa"/>
            </w:tcMar>
            <w:vAlign w:val="center"/>
          </w:tcPr>
          <w:p w14:paraId="740D5744"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System family</w:t>
            </w:r>
          </w:p>
        </w:tc>
        <w:tc>
          <w:tcPr>
            <w:tcW w:w="2376" w:type="dxa"/>
            <w:shd w:val="clear" w:color="auto" w:fill="DCE8EF"/>
            <w:tcMar>
              <w:top w:w="70" w:type="dxa"/>
              <w:left w:w="90" w:type="dxa"/>
              <w:bottom w:w="70" w:type="dxa"/>
              <w:right w:w="90" w:type="dxa"/>
            </w:tcMar>
            <w:vAlign w:val="center"/>
          </w:tcPr>
          <w:p w14:paraId="3ED9CCA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Primary emphasis</w:t>
            </w:r>
          </w:p>
        </w:tc>
        <w:tc>
          <w:tcPr>
            <w:tcW w:w="2520" w:type="dxa"/>
            <w:shd w:val="clear" w:color="auto" w:fill="DCE8EF"/>
            <w:tcMar>
              <w:top w:w="70" w:type="dxa"/>
              <w:left w:w="90" w:type="dxa"/>
              <w:bottom w:w="70" w:type="dxa"/>
              <w:right w:w="90" w:type="dxa"/>
            </w:tcMar>
            <w:vAlign w:val="center"/>
          </w:tcPr>
          <w:p w14:paraId="448D13BC"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Typical output</w:t>
            </w:r>
          </w:p>
        </w:tc>
        <w:tc>
          <w:tcPr>
            <w:tcW w:w="3240" w:type="dxa"/>
            <w:shd w:val="clear" w:color="auto" w:fill="DCE8EF"/>
            <w:tcMar>
              <w:top w:w="70" w:type="dxa"/>
              <w:left w:w="90" w:type="dxa"/>
              <w:bottom w:w="70" w:type="dxa"/>
              <w:right w:w="90" w:type="dxa"/>
            </w:tcMar>
            <w:vAlign w:val="center"/>
          </w:tcPr>
          <w:p w14:paraId="733AF0CE"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RAGTune relationship</w:t>
            </w:r>
          </w:p>
        </w:tc>
      </w:tr>
      <w:tr w:rsidR="00A16D83" w:rsidRPr="002A2802" w14:paraId="7A093F99" w14:textId="77777777">
        <w:trPr>
          <w:jc w:val="center"/>
        </w:trPr>
        <w:tc>
          <w:tcPr>
            <w:tcW w:w="1944" w:type="dxa"/>
            <w:tcMar>
              <w:top w:w="70" w:type="dxa"/>
              <w:left w:w="90" w:type="dxa"/>
              <w:bottom w:w="70" w:type="dxa"/>
              <w:right w:w="90" w:type="dxa"/>
            </w:tcMar>
            <w:vAlign w:val="center"/>
          </w:tcPr>
          <w:p w14:paraId="07C2D91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RAGAS / ARES / RAGChecker</w:t>
            </w:r>
          </w:p>
        </w:tc>
        <w:tc>
          <w:tcPr>
            <w:tcW w:w="2376" w:type="dxa"/>
            <w:tcMar>
              <w:top w:w="70" w:type="dxa"/>
              <w:left w:w="90" w:type="dxa"/>
              <w:bottom w:w="70" w:type="dxa"/>
              <w:right w:w="90" w:type="dxa"/>
            </w:tcMar>
            <w:vAlign w:val="center"/>
          </w:tcPr>
          <w:p w14:paraId="590E6F1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 and diagnostic evaluation</w:t>
            </w:r>
          </w:p>
        </w:tc>
        <w:tc>
          <w:tcPr>
            <w:tcW w:w="2520" w:type="dxa"/>
            <w:tcMar>
              <w:top w:w="70" w:type="dxa"/>
              <w:left w:w="90" w:type="dxa"/>
              <w:bottom w:w="70" w:type="dxa"/>
              <w:right w:w="90" w:type="dxa"/>
            </w:tcMar>
            <w:vAlign w:val="center"/>
          </w:tcPr>
          <w:p w14:paraId="19C8A03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Metric scores and component diagnoses</w:t>
            </w:r>
          </w:p>
        </w:tc>
        <w:tc>
          <w:tcPr>
            <w:tcW w:w="3240" w:type="dxa"/>
            <w:tcMar>
              <w:top w:w="70" w:type="dxa"/>
              <w:left w:w="90" w:type="dxa"/>
              <w:bottom w:w="70" w:type="dxa"/>
              <w:right w:w="90" w:type="dxa"/>
            </w:tcMar>
            <w:vAlign w:val="center"/>
          </w:tcPr>
          <w:p w14:paraId="40B8510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Consumes declared metrics as governance evidence</w:t>
            </w:r>
          </w:p>
        </w:tc>
      </w:tr>
      <w:tr w:rsidR="00A16D83" w:rsidRPr="002A2802" w14:paraId="16611F82" w14:textId="77777777">
        <w:trPr>
          <w:jc w:val="center"/>
        </w:trPr>
        <w:tc>
          <w:tcPr>
            <w:tcW w:w="1944" w:type="dxa"/>
            <w:tcMar>
              <w:top w:w="70" w:type="dxa"/>
              <w:left w:w="90" w:type="dxa"/>
              <w:bottom w:w="70" w:type="dxa"/>
              <w:right w:w="90" w:type="dxa"/>
            </w:tcMar>
            <w:vAlign w:val="center"/>
          </w:tcPr>
          <w:p w14:paraId="4FD9CA6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RAGBench / CRAG / HotpotQA</w:t>
            </w:r>
          </w:p>
        </w:tc>
        <w:tc>
          <w:tcPr>
            <w:tcW w:w="2376" w:type="dxa"/>
            <w:tcMar>
              <w:top w:w="70" w:type="dxa"/>
              <w:left w:w="90" w:type="dxa"/>
              <w:bottom w:w="70" w:type="dxa"/>
              <w:right w:w="90" w:type="dxa"/>
            </w:tcMar>
            <w:vAlign w:val="center"/>
          </w:tcPr>
          <w:p w14:paraId="71372BA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Benchmark data and labels</w:t>
            </w:r>
          </w:p>
        </w:tc>
        <w:tc>
          <w:tcPr>
            <w:tcW w:w="2520" w:type="dxa"/>
            <w:tcMar>
              <w:top w:w="70" w:type="dxa"/>
              <w:left w:w="90" w:type="dxa"/>
              <w:bottom w:w="70" w:type="dxa"/>
              <w:right w:w="90" w:type="dxa"/>
            </w:tcMar>
            <w:vAlign w:val="center"/>
          </w:tcPr>
          <w:p w14:paraId="6C93B6F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Examples, references, supporting facts, scores</w:t>
            </w:r>
          </w:p>
        </w:tc>
        <w:tc>
          <w:tcPr>
            <w:tcW w:w="3240" w:type="dxa"/>
            <w:tcMar>
              <w:top w:w="70" w:type="dxa"/>
              <w:left w:w="90" w:type="dxa"/>
              <w:bottom w:w="70" w:type="dxa"/>
              <w:right w:w="90" w:type="dxa"/>
            </w:tcMar>
            <w:vAlign w:val="center"/>
          </w:tcPr>
          <w:p w14:paraId="79DFB64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Uses bounded evidence sources with dataset-specific claim ceilings</w:t>
            </w:r>
          </w:p>
        </w:tc>
      </w:tr>
      <w:tr w:rsidR="00A16D83" w:rsidRPr="002A2802" w14:paraId="36DFD4B0" w14:textId="77777777">
        <w:trPr>
          <w:jc w:val="center"/>
        </w:trPr>
        <w:tc>
          <w:tcPr>
            <w:tcW w:w="1944" w:type="dxa"/>
            <w:tcMar>
              <w:top w:w="70" w:type="dxa"/>
              <w:left w:w="90" w:type="dxa"/>
              <w:bottom w:w="70" w:type="dxa"/>
              <w:right w:w="90" w:type="dxa"/>
            </w:tcMar>
            <w:vAlign w:val="center"/>
          </w:tcPr>
          <w:p w14:paraId="270283F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DSPy and optimizers</w:t>
            </w:r>
          </w:p>
        </w:tc>
        <w:tc>
          <w:tcPr>
            <w:tcW w:w="2376" w:type="dxa"/>
            <w:tcMar>
              <w:top w:w="70" w:type="dxa"/>
              <w:left w:w="90" w:type="dxa"/>
              <w:bottom w:w="70" w:type="dxa"/>
              <w:right w:w="90" w:type="dxa"/>
            </w:tcMar>
            <w:vAlign w:val="center"/>
          </w:tcPr>
          <w:p w14:paraId="268E388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Search over programs or policies</w:t>
            </w:r>
          </w:p>
        </w:tc>
        <w:tc>
          <w:tcPr>
            <w:tcW w:w="2520" w:type="dxa"/>
            <w:tcMar>
              <w:top w:w="70" w:type="dxa"/>
              <w:left w:w="90" w:type="dxa"/>
              <w:bottom w:w="70" w:type="dxa"/>
              <w:right w:w="90" w:type="dxa"/>
            </w:tcMar>
            <w:vAlign w:val="center"/>
          </w:tcPr>
          <w:p w14:paraId="391AA48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maximizing an objective</w:t>
            </w:r>
          </w:p>
        </w:tc>
        <w:tc>
          <w:tcPr>
            <w:tcW w:w="3240" w:type="dxa"/>
            <w:tcMar>
              <w:top w:w="70" w:type="dxa"/>
              <w:left w:w="90" w:type="dxa"/>
              <w:bottom w:w="70" w:type="dxa"/>
              <w:right w:w="90" w:type="dxa"/>
            </w:tcMar>
            <w:vAlign w:val="center"/>
          </w:tcPr>
          <w:p w14:paraId="4E26859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Treats optimizer output as a candidate, not automatic promotion</w:t>
            </w:r>
          </w:p>
        </w:tc>
      </w:tr>
      <w:tr w:rsidR="00A16D83" w:rsidRPr="002A2802" w14:paraId="190D9D92" w14:textId="77777777">
        <w:trPr>
          <w:jc w:val="center"/>
        </w:trPr>
        <w:tc>
          <w:tcPr>
            <w:tcW w:w="1944" w:type="dxa"/>
            <w:tcMar>
              <w:top w:w="70" w:type="dxa"/>
              <w:left w:w="90" w:type="dxa"/>
              <w:bottom w:w="70" w:type="dxa"/>
              <w:right w:w="90" w:type="dxa"/>
            </w:tcMar>
            <w:vAlign w:val="center"/>
          </w:tcPr>
          <w:p w14:paraId="43EF2DD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LangSmith / Phoenix</w:t>
            </w:r>
          </w:p>
        </w:tc>
        <w:tc>
          <w:tcPr>
            <w:tcW w:w="2376" w:type="dxa"/>
            <w:tcMar>
              <w:top w:w="70" w:type="dxa"/>
              <w:left w:w="90" w:type="dxa"/>
              <w:bottom w:w="70" w:type="dxa"/>
              <w:right w:w="90" w:type="dxa"/>
            </w:tcMar>
            <w:vAlign w:val="center"/>
          </w:tcPr>
          <w:p w14:paraId="49BD888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Experiments, traces, observability</w:t>
            </w:r>
          </w:p>
        </w:tc>
        <w:tc>
          <w:tcPr>
            <w:tcW w:w="2520" w:type="dxa"/>
            <w:tcMar>
              <w:top w:w="70" w:type="dxa"/>
              <w:left w:w="90" w:type="dxa"/>
              <w:bottom w:w="70" w:type="dxa"/>
              <w:right w:w="90" w:type="dxa"/>
            </w:tcMar>
            <w:vAlign w:val="center"/>
          </w:tcPr>
          <w:p w14:paraId="072ADE6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Runs, evaluator scores, operational telemetry</w:t>
            </w:r>
          </w:p>
        </w:tc>
        <w:tc>
          <w:tcPr>
            <w:tcW w:w="3240" w:type="dxa"/>
            <w:tcMar>
              <w:top w:w="70" w:type="dxa"/>
              <w:left w:w="90" w:type="dxa"/>
              <w:bottom w:w="70" w:type="dxa"/>
              <w:right w:w="90" w:type="dxa"/>
            </w:tcMar>
            <w:vAlign w:val="center"/>
          </w:tcPr>
          <w:p w14:paraId="12A32D4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Normalizes exports and applies release gates</w:t>
            </w:r>
          </w:p>
        </w:tc>
      </w:tr>
      <w:tr w:rsidR="00A16D83" w:rsidRPr="002A2802" w14:paraId="5C8C6573" w14:textId="77777777">
        <w:trPr>
          <w:jc w:val="center"/>
        </w:trPr>
        <w:tc>
          <w:tcPr>
            <w:tcW w:w="1944" w:type="dxa"/>
            <w:tcMar>
              <w:top w:w="70" w:type="dxa"/>
              <w:left w:w="90" w:type="dxa"/>
              <w:bottom w:w="70" w:type="dxa"/>
              <w:right w:w="90" w:type="dxa"/>
            </w:tcMar>
            <w:vAlign w:val="center"/>
          </w:tcPr>
          <w:p w14:paraId="3A629F2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NIST AI RMF / ISO 42001</w:t>
            </w:r>
          </w:p>
        </w:tc>
        <w:tc>
          <w:tcPr>
            <w:tcW w:w="2376" w:type="dxa"/>
            <w:tcMar>
              <w:top w:w="70" w:type="dxa"/>
              <w:left w:w="90" w:type="dxa"/>
              <w:bottom w:w="70" w:type="dxa"/>
              <w:right w:w="90" w:type="dxa"/>
            </w:tcMar>
            <w:vAlign w:val="center"/>
          </w:tcPr>
          <w:p w14:paraId="7480DFC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Lifecycle and management governance</w:t>
            </w:r>
          </w:p>
        </w:tc>
        <w:tc>
          <w:tcPr>
            <w:tcW w:w="2520" w:type="dxa"/>
            <w:tcMar>
              <w:top w:w="70" w:type="dxa"/>
              <w:left w:w="90" w:type="dxa"/>
              <w:bottom w:w="70" w:type="dxa"/>
              <w:right w:w="90" w:type="dxa"/>
            </w:tcMar>
            <w:vAlign w:val="center"/>
          </w:tcPr>
          <w:p w14:paraId="0F15C71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Practices, outcomes, management requirements</w:t>
            </w:r>
          </w:p>
        </w:tc>
        <w:tc>
          <w:tcPr>
            <w:tcW w:w="3240" w:type="dxa"/>
            <w:tcMar>
              <w:top w:w="70" w:type="dxa"/>
              <w:left w:w="90" w:type="dxa"/>
              <w:bottom w:w="70" w:type="dxa"/>
              <w:right w:w="90" w:type="dxa"/>
            </w:tcMar>
            <w:vAlign w:val="center"/>
          </w:tcPr>
          <w:p w14:paraId="518453B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Implements a narrow technical promotion control</w:t>
            </w:r>
          </w:p>
        </w:tc>
      </w:tr>
      <w:tr w:rsidR="00A16D83" w:rsidRPr="002A2802" w14:paraId="196FF0BF" w14:textId="77777777">
        <w:trPr>
          <w:jc w:val="center"/>
        </w:trPr>
        <w:tc>
          <w:tcPr>
            <w:tcW w:w="1944" w:type="dxa"/>
            <w:tcMar>
              <w:top w:w="70" w:type="dxa"/>
              <w:left w:w="90" w:type="dxa"/>
              <w:bottom w:w="70" w:type="dxa"/>
              <w:right w:w="90" w:type="dxa"/>
            </w:tcMar>
            <w:vAlign w:val="center"/>
          </w:tcPr>
          <w:p w14:paraId="111CE20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RAGTune</w:t>
            </w:r>
          </w:p>
        </w:tc>
        <w:tc>
          <w:tcPr>
            <w:tcW w:w="2376" w:type="dxa"/>
            <w:tcMar>
              <w:top w:w="70" w:type="dxa"/>
              <w:left w:w="90" w:type="dxa"/>
              <w:bottom w:w="70" w:type="dxa"/>
              <w:right w:w="90" w:type="dxa"/>
            </w:tcMar>
            <w:vAlign w:val="center"/>
          </w:tcPr>
          <w:p w14:paraId="1C187DB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Evidence-preserving promotion control</w:t>
            </w:r>
          </w:p>
        </w:tc>
        <w:tc>
          <w:tcPr>
            <w:tcW w:w="2520" w:type="dxa"/>
            <w:tcMar>
              <w:top w:w="70" w:type="dxa"/>
              <w:left w:w="90" w:type="dxa"/>
              <w:bottom w:w="70" w:type="dxa"/>
              <w:right w:w="90" w:type="dxa"/>
            </w:tcMar>
            <w:vAlign w:val="center"/>
          </w:tcPr>
          <w:p w14:paraId="729C88E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PROMOTE, BLOCK, REJECT, or INCONCLUSIVE plus audit bundle</w:t>
            </w:r>
          </w:p>
        </w:tc>
        <w:tc>
          <w:tcPr>
            <w:tcW w:w="3240" w:type="dxa"/>
            <w:tcMar>
              <w:top w:w="70" w:type="dxa"/>
              <w:left w:w="90" w:type="dxa"/>
              <w:bottom w:w="70" w:type="dxa"/>
              <w:right w:w="90" w:type="dxa"/>
            </w:tcMar>
            <w:vAlign w:val="center"/>
          </w:tcPr>
          <w:p w14:paraId="7A3D36E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Coordinates evidence, gates, claim ceilings, and integrity</w:t>
            </w:r>
          </w:p>
        </w:tc>
      </w:tr>
    </w:tbl>
    <w:p w14:paraId="7673851B"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1. RAGTune complements metric, benchmark, optimization, observability, and management-framework layers.</w:t>
      </w:r>
    </w:p>
    <w:p w14:paraId="48C66614"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3. Design Goals and Threat Model</w:t>
      </w:r>
    </w:p>
    <w:p w14:paraId="7E46DE1C"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RAGTune is designed around false promotion: releasing a candidate because it appears cheaper, faster, or better on an aggregate score when its quality evidence is insufficient, a protected slice regresses, provenance is invalid, or the result exceeds its evidence class. False refusal also matters, but the current design deliberately prefers conservative refusal when the cost of unnoticed quality loss is high.</w:t>
      </w:r>
    </w:p>
    <w:p w14:paraId="7FC3D7FF"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threat model assumes heterogeneous and imperfect evaluators. Each suite therefore declares metric direction, weight, split structure, evidence class, and hard gates rather than treating any single score as ground truth.</w:t>
      </w:r>
    </w:p>
    <w:p w14:paraId="17424D32"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Metric risk: evaluator scores may be noisy, constant, weakly calibrated, or insensitive to meaningful policy differences.</w:t>
      </w:r>
    </w:p>
    <w:p w14:paraId="65983EDE"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Selection risk: validation winners may reverse on held-out data, and optimizers may overfit small development sets.</w:t>
      </w:r>
    </w:p>
    <w:p w14:paraId="1CB0C456"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Operational risk: cost-only or latency-only selection can improve efficiency while degrading answer quality or evidence support.</w:t>
      </w:r>
    </w:p>
    <w:p w14:paraId="4468CA1E"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Evidence risk: fixtures, development runs, frozen observations, and confirmatory runs support different claim ceilings.</w:t>
      </w:r>
    </w:p>
    <w:p w14:paraId="031EC78E"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Reproducibility risk: results may depend on mutable code, local state, unpinned data, or unverifiable artifacts.</w:t>
      </w:r>
    </w:p>
    <w:p w14:paraId="4EDA4037"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Publication and security risk: licensed text, prompts, answers, credentials, private paths, or unsupported claims may leak into public artifacts.</w:t>
      </w:r>
    </w:p>
    <w:p w14:paraId="25DE6F9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corresponding design objectives are to freeze decision criteria before confirmatory evaluation; separate eligibility from ranking; make protected regressions and security failures non-tradable; preserve blocked and negative outcomes; trace every public claim to a result artifact; remain agnostic to the evaluator that produced a metric; and make the complete decision runnable as a finite, containerized job. These objectives optimize for auditability and correction, not maximum promotion throughput.</w:t>
      </w:r>
    </w:p>
    <w:p w14:paraId="616B32F7"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4. RAGTune System</w:t>
      </w:r>
    </w:p>
    <w:p w14:paraId="688F2264"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4.1 Policy candidates and normalized evidence</w:t>
      </w:r>
    </w:p>
    <w:p w14:paraId="56274F6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RAG policy is a named, versioned configuration that may change retrieval depth, endpoints, routing, reranking, context limits, fallback behavior, generator choice, abstention, or selector logic. Policies may be hand-authored, proposed by an optimizer, or imported from another experiment. RAGTune records behavioral parameters alongside normalized evidence such as answer correctness, faithfulness, evidence support, context recall, abstention correctness, API calls, cost, latency, failure rate, and protected-regression indicators.</w:t>
      </w:r>
    </w:p>
    <w:p w14:paraId="3D1E5D5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External-evaluator adapters map Ragas-like, DeepEval-like, LangSmith-like, Phoenix-like, generic CSV, and generic JSONL exports into a canonical schema while retaining evaluator provenance. The release-candidate demonstration uses sanitized synthetic-shaped exports; it establishes schema interoperability, not official integration. This separation allows upstream metrics to evolve without changing the downstream release contract.</w:t>
      </w:r>
    </w:p>
    <w:p w14:paraId="50F09A0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Normalization is intentionally explicit. Each imported metric retains its evaluator name, group, direction, scale, split, policy ID, and source-artifact hash. Scores are not treated as interchangeable merely because they share a 0-to-1 range. A suite may combine them into a declared composite, use them as separate hard gates, or retain them only for diagnosis. Operational telemetry follows the same principle: modeled cost, measured latency, API-call count, and context volume remain distinct fields so that a favorable weighted utility can be decomposed during review.</w:t>
      </w:r>
    </w:p>
    <w:p w14:paraId="395268FF"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governance suite is configured as a declarative contract. It identifies candidate and baseline policies, development and held-out split roles, metric direction and composition, the noninferiority margin, operational objectives, hard disqualifiers, protected slices, evidence class, and expected artifacts. Candidate generation may be exploratory, but selection logic is frozen before a confirmatory split is evaluated. Confirmatory data estimate the consequences of the frozen decision; they are not used to redesign the selector after the fact.</w:t>
      </w:r>
    </w:p>
    <w:p w14:paraId="2992BFAD"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4.2 Canonical promotion formalism</w:t>
      </w:r>
    </w:p>
    <w:p w14:paraId="7DD01CCC"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Let p be a candidate and b the current baseline. Define quality and operational deltas as Delta_q = q(p) - q(b), Delta_c = c(p) - c(b), and Delta_l = l(p) - l(b), with positive quality better and negative cost or latency better. A suite declares a quality-loss margin delta before confirmatory evaluation. In the canonical rule, a candidate is quality-noninferior when the lower confidence bound on Delta_q is no worse than -delta; an operational claim additionally requires the relevant upper confidence bound on Delta_c or Delta_l to be below zero. Promotion is permitted only if all hard gates pass.</w:t>
      </w:r>
    </w:p>
    <w:p w14:paraId="33EDACDB" w14:textId="77777777" w:rsidR="00A16D83" w:rsidRPr="002A2802" w:rsidRDefault="0034031E">
      <w:pPr>
        <w:keepLines/>
        <w:spacing w:before="40" w:after="100"/>
        <w:jc w:val="center"/>
        <w:rPr>
          <w:rFonts w:asciiTheme="majorHAnsi" w:hAnsiTheme="majorHAnsi"/>
          <w:color w:val="000000" w:themeColor="text1"/>
        </w:rPr>
      </w:pPr>
      <w:r w:rsidRPr="002A2802">
        <w:rPr>
          <w:rFonts w:asciiTheme="majorHAnsi" w:hAnsiTheme="majorHAnsi"/>
          <w:color w:val="000000" w:themeColor="text1"/>
          <w:sz w:val="21"/>
        </w:rPr>
        <w:t>Delta_q = q(p) - q(b)      Delta_c = c(p) - c(b)      Delta_l = l(p) - l(b)</w:t>
      </w:r>
    </w:p>
    <w:p w14:paraId="400D12DE" w14:textId="77777777" w:rsidR="00A16D83" w:rsidRPr="002A2802" w:rsidRDefault="0034031E">
      <w:pPr>
        <w:keepLines/>
        <w:spacing w:before="40" w:after="100"/>
        <w:jc w:val="center"/>
        <w:rPr>
          <w:rFonts w:asciiTheme="majorHAnsi" w:hAnsiTheme="majorHAnsi"/>
          <w:color w:val="000000" w:themeColor="text1"/>
        </w:rPr>
      </w:pPr>
      <w:r w:rsidRPr="002A2802">
        <w:rPr>
          <w:rFonts w:asciiTheme="majorHAnsi" w:hAnsiTheme="majorHAnsi"/>
          <w:color w:val="000000" w:themeColor="text1"/>
          <w:sz w:val="21"/>
        </w:rPr>
        <w:lastRenderedPageBreak/>
        <w:t>PROMOTE(p) iff hard_gates(p) and LCB(Delta_q) &gt;= -delta and [UCB(Delta_c) &lt; 0 or UCB(Delta_l) &lt; 0]</w:t>
      </w:r>
    </w:p>
    <w:p w14:paraId="5099A92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This use of noninferiority is procedural rather than clinical: it does not make RAG evaluation equivalent to a randomized trial [16, 17]. Its value is that acceptable loss is declared in advance, evidence direction is explicit, and efficiency is not equated with release eligibility. If uncertainty crosses a gate, the decision is INCONCLUSIVE rather than a win.</w:t>
      </w:r>
    </w:p>
    <w:p w14:paraId="31FB73EB"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72DB14D2" wp14:editId="59BAACC1">
            <wp:extent cx="3657600" cy="3014654"/>
            <wp:effectExtent l="0" t="0" r="0" b="0"/>
            <wp:docPr id="2" name="Picture 2" descr="Four-quadrant promotion diagram showing that operational improvement is promotable only above a predeclared quality-loss margin; quality loss leads to block or reject." title="Four-quadrant promotion diagram showing that operational improvement is promotable only above a predeclared quality-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3657600" cy="3014654"/>
                    </a:xfrm>
                    <a:prstGeom prst="rect">
                      <a:avLst/>
                    </a:prstGeom>
                  </pic:spPr>
                </pic:pic>
              </a:graphicData>
            </a:graphic>
          </wp:inline>
        </w:drawing>
      </w:r>
    </w:p>
    <w:p w14:paraId="169AD90A"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2. Canonical decision geometry. Operational improvement is promotable only when the quality-preservation condition and all hard gates pass.</w:t>
      </w:r>
    </w:p>
    <w:p w14:paraId="4D84FFDE"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4.3 Hard gates and decision taxonomy</w:t>
      </w:r>
    </w:p>
    <w:p w14:paraId="0258BA1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Hard gates are non-compensatory. Leakage, missing provenance, security disqualification, publication-hygiene failure, or an absent quality signal cannot be offset by lower cost. Weighted utilities can rank eligible candidates, but eligibility is established first. The deployable job exposes four scientific decisions: PROMOTE when evidence supports replacement within scope; BLOCK when the decision cannot be evaluated safely; REJECT when evidence favors retaining the baseline; and INCONCLUSIVE when available evidence does not resolve the gate. Runtime errors are recorded separately in the machine-readable schema; the full taxonomy appears in Appendix A.</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152"/>
        <w:gridCol w:w="2664"/>
        <w:gridCol w:w="3528"/>
        <w:gridCol w:w="2736"/>
      </w:tblGrid>
      <w:tr w:rsidR="00A16D83" w:rsidRPr="002A2802" w14:paraId="3679FE6D" w14:textId="77777777">
        <w:trPr>
          <w:tblHeader/>
          <w:jc w:val="center"/>
        </w:trPr>
        <w:tc>
          <w:tcPr>
            <w:tcW w:w="1152" w:type="dxa"/>
            <w:shd w:val="clear" w:color="auto" w:fill="DCE8EF"/>
            <w:tcMar>
              <w:top w:w="70" w:type="dxa"/>
              <w:left w:w="90" w:type="dxa"/>
              <w:bottom w:w="70" w:type="dxa"/>
              <w:right w:w="90" w:type="dxa"/>
            </w:tcMar>
            <w:vAlign w:val="center"/>
          </w:tcPr>
          <w:p w14:paraId="20E716E3"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Decision</w:t>
            </w:r>
          </w:p>
        </w:tc>
        <w:tc>
          <w:tcPr>
            <w:tcW w:w="2664" w:type="dxa"/>
            <w:shd w:val="clear" w:color="auto" w:fill="DCE8EF"/>
            <w:tcMar>
              <w:top w:w="70" w:type="dxa"/>
              <w:left w:w="90" w:type="dxa"/>
              <w:bottom w:w="70" w:type="dxa"/>
              <w:right w:w="90" w:type="dxa"/>
            </w:tcMar>
            <w:vAlign w:val="center"/>
          </w:tcPr>
          <w:p w14:paraId="5C65CDD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Meaning</w:t>
            </w:r>
          </w:p>
        </w:tc>
        <w:tc>
          <w:tcPr>
            <w:tcW w:w="3528" w:type="dxa"/>
            <w:shd w:val="clear" w:color="auto" w:fill="DCE8EF"/>
            <w:tcMar>
              <w:top w:w="70" w:type="dxa"/>
              <w:left w:w="90" w:type="dxa"/>
              <w:bottom w:w="70" w:type="dxa"/>
              <w:right w:w="90" w:type="dxa"/>
            </w:tcMar>
            <w:vAlign w:val="center"/>
          </w:tcPr>
          <w:p w14:paraId="4896BDF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Typical trigger</w:t>
            </w:r>
          </w:p>
        </w:tc>
        <w:tc>
          <w:tcPr>
            <w:tcW w:w="2736" w:type="dxa"/>
            <w:shd w:val="clear" w:color="auto" w:fill="DCE8EF"/>
            <w:tcMar>
              <w:top w:w="70" w:type="dxa"/>
              <w:left w:w="90" w:type="dxa"/>
              <w:bottom w:w="70" w:type="dxa"/>
              <w:right w:w="90" w:type="dxa"/>
            </w:tcMar>
            <w:vAlign w:val="center"/>
          </w:tcPr>
          <w:p w14:paraId="5A02BF84"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Consequence</w:t>
            </w:r>
          </w:p>
        </w:tc>
      </w:tr>
      <w:tr w:rsidR="00A16D83" w:rsidRPr="002A2802" w14:paraId="2C967E0A" w14:textId="77777777">
        <w:trPr>
          <w:jc w:val="center"/>
        </w:trPr>
        <w:tc>
          <w:tcPr>
            <w:tcW w:w="1152" w:type="dxa"/>
            <w:tcMar>
              <w:top w:w="70" w:type="dxa"/>
              <w:left w:w="90" w:type="dxa"/>
              <w:bottom w:w="70" w:type="dxa"/>
              <w:right w:w="90" w:type="dxa"/>
            </w:tcMar>
            <w:vAlign w:val="center"/>
          </w:tcPr>
          <w:p w14:paraId="01225C6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PROMOTE</w:t>
            </w:r>
          </w:p>
        </w:tc>
        <w:tc>
          <w:tcPr>
            <w:tcW w:w="2664" w:type="dxa"/>
            <w:tcMar>
              <w:top w:w="70" w:type="dxa"/>
              <w:left w:w="90" w:type="dxa"/>
              <w:bottom w:w="70" w:type="dxa"/>
              <w:right w:w="90" w:type="dxa"/>
            </w:tcMar>
            <w:vAlign w:val="center"/>
          </w:tcPr>
          <w:p w14:paraId="1E40068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 supports replacing the baseline within declared scope.</w:t>
            </w:r>
          </w:p>
        </w:tc>
        <w:tc>
          <w:tcPr>
            <w:tcW w:w="3528" w:type="dxa"/>
            <w:tcMar>
              <w:top w:w="70" w:type="dxa"/>
              <w:left w:w="90" w:type="dxa"/>
              <w:bottom w:w="70" w:type="dxa"/>
              <w:right w:w="90" w:type="dxa"/>
            </w:tcMar>
            <w:vAlign w:val="center"/>
          </w:tcPr>
          <w:p w14:paraId="19484A5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 and operational/risk objectives pass; no hard disqualifier.</w:t>
            </w:r>
          </w:p>
        </w:tc>
        <w:tc>
          <w:tcPr>
            <w:tcW w:w="2736" w:type="dxa"/>
            <w:tcMar>
              <w:top w:w="70" w:type="dxa"/>
              <w:left w:w="90" w:type="dxa"/>
              <w:bottom w:w="70" w:type="dxa"/>
              <w:right w:w="90" w:type="dxa"/>
            </w:tcMar>
            <w:vAlign w:val="center"/>
          </w:tcPr>
          <w:p w14:paraId="05586E9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may advance with recorded boundaries.</w:t>
            </w:r>
          </w:p>
        </w:tc>
      </w:tr>
      <w:tr w:rsidR="00A16D83" w:rsidRPr="002A2802" w14:paraId="45A89D53" w14:textId="77777777">
        <w:trPr>
          <w:jc w:val="center"/>
        </w:trPr>
        <w:tc>
          <w:tcPr>
            <w:tcW w:w="1152" w:type="dxa"/>
            <w:tcMar>
              <w:top w:w="70" w:type="dxa"/>
              <w:left w:w="90" w:type="dxa"/>
              <w:bottom w:w="70" w:type="dxa"/>
              <w:right w:w="90" w:type="dxa"/>
            </w:tcMar>
            <w:vAlign w:val="center"/>
          </w:tcPr>
          <w:p w14:paraId="246E212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BLOCK</w:t>
            </w:r>
          </w:p>
        </w:tc>
        <w:tc>
          <w:tcPr>
            <w:tcW w:w="2664" w:type="dxa"/>
            <w:tcMar>
              <w:top w:w="70" w:type="dxa"/>
              <w:left w:w="90" w:type="dxa"/>
              <w:bottom w:w="70" w:type="dxa"/>
              <w:right w:w="90" w:type="dxa"/>
            </w:tcMar>
            <w:vAlign w:val="center"/>
          </w:tcPr>
          <w:p w14:paraId="2FFAE3B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Promotion cannot be evaluated safely.</w:t>
            </w:r>
          </w:p>
        </w:tc>
        <w:tc>
          <w:tcPr>
            <w:tcW w:w="3528" w:type="dxa"/>
            <w:tcMar>
              <w:top w:w="70" w:type="dxa"/>
              <w:left w:w="90" w:type="dxa"/>
              <w:bottom w:w="70" w:type="dxa"/>
              <w:right w:w="90" w:type="dxa"/>
            </w:tcMar>
            <w:vAlign w:val="center"/>
          </w:tcPr>
          <w:p w14:paraId="46FEE66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usable signal, leakage, missing provenance, security or hygiene failure.</w:t>
            </w:r>
          </w:p>
        </w:tc>
        <w:tc>
          <w:tcPr>
            <w:tcW w:w="2736" w:type="dxa"/>
            <w:tcMar>
              <w:top w:w="70" w:type="dxa"/>
              <w:left w:w="90" w:type="dxa"/>
              <w:bottom w:w="70" w:type="dxa"/>
              <w:right w:w="90" w:type="dxa"/>
            </w:tcMar>
            <w:vAlign w:val="center"/>
          </w:tcPr>
          <w:p w14:paraId="3BDA6D8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release claim; blocker and remediation are recorded.</w:t>
            </w:r>
          </w:p>
        </w:tc>
      </w:tr>
      <w:tr w:rsidR="00A16D83" w:rsidRPr="002A2802" w14:paraId="4B8B3BE7" w14:textId="77777777">
        <w:trPr>
          <w:jc w:val="center"/>
        </w:trPr>
        <w:tc>
          <w:tcPr>
            <w:tcW w:w="1152" w:type="dxa"/>
            <w:tcMar>
              <w:top w:w="70" w:type="dxa"/>
              <w:left w:w="90" w:type="dxa"/>
              <w:bottom w:w="70" w:type="dxa"/>
              <w:right w:w="90" w:type="dxa"/>
            </w:tcMar>
            <w:vAlign w:val="center"/>
          </w:tcPr>
          <w:p w14:paraId="70A8455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REJECT</w:t>
            </w:r>
          </w:p>
        </w:tc>
        <w:tc>
          <w:tcPr>
            <w:tcW w:w="2664" w:type="dxa"/>
            <w:tcMar>
              <w:top w:w="70" w:type="dxa"/>
              <w:left w:w="90" w:type="dxa"/>
              <w:bottom w:w="70" w:type="dxa"/>
              <w:right w:w="90" w:type="dxa"/>
            </w:tcMar>
            <w:vAlign w:val="center"/>
          </w:tcPr>
          <w:p w14:paraId="0279837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 favors retaining the baseline.</w:t>
            </w:r>
          </w:p>
        </w:tc>
        <w:tc>
          <w:tcPr>
            <w:tcW w:w="3528" w:type="dxa"/>
            <w:tcMar>
              <w:top w:w="70" w:type="dxa"/>
              <w:left w:w="90" w:type="dxa"/>
              <w:bottom w:w="70" w:type="dxa"/>
              <w:right w:w="90" w:type="dxa"/>
            </w:tcMar>
            <w:vAlign w:val="center"/>
          </w:tcPr>
          <w:p w14:paraId="0AB5F43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Confirmed quality loss, negative held-out result, or protected regression.</w:t>
            </w:r>
          </w:p>
        </w:tc>
        <w:tc>
          <w:tcPr>
            <w:tcW w:w="2736" w:type="dxa"/>
            <w:tcMar>
              <w:top w:w="70" w:type="dxa"/>
              <w:left w:w="90" w:type="dxa"/>
              <w:bottom w:w="70" w:type="dxa"/>
              <w:right w:w="90" w:type="dxa"/>
            </w:tcMar>
            <w:vAlign w:val="center"/>
          </w:tcPr>
          <w:p w14:paraId="016645A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is not promoted; negative evidence remains append-only.</w:t>
            </w:r>
          </w:p>
        </w:tc>
      </w:tr>
      <w:tr w:rsidR="00A16D83" w:rsidRPr="002A2802" w14:paraId="73573922" w14:textId="77777777">
        <w:trPr>
          <w:jc w:val="center"/>
        </w:trPr>
        <w:tc>
          <w:tcPr>
            <w:tcW w:w="1152" w:type="dxa"/>
            <w:tcMar>
              <w:top w:w="70" w:type="dxa"/>
              <w:left w:w="90" w:type="dxa"/>
              <w:bottom w:w="70" w:type="dxa"/>
              <w:right w:w="90" w:type="dxa"/>
            </w:tcMar>
            <w:vAlign w:val="center"/>
          </w:tcPr>
          <w:p w14:paraId="3785DD7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INCONCLUSIVE</w:t>
            </w:r>
          </w:p>
        </w:tc>
        <w:tc>
          <w:tcPr>
            <w:tcW w:w="2664" w:type="dxa"/>
            <w:tcMar>
              <w:top w:w="70" w:type="dxa"/>
              <w:left w:w="90" w:type="dxa"/>
              <w:bottom w:w="70" w:type="dxa"/>
              <w:right w:w="90" w:type="dxa"/>
            </w:tcMar>
            <w:vAlign w:val="center"/>
          </w:tcPr>
          <w:p w14:paraId="258F219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Available evidence does not resolve the decision.</w:t>
            </w:r>
          </w:p>
        </w:tc>
        <w:tc>
          <w:tcPr>
            <w:tcW w:w="3528" w:type="dxa"/>
            <w:tcMar>
              <w:top w:w="70" w:type="dxa"/>
              <w:left w:w="90" w:type="dxa"/>
              <w:bottom w:w="70" w:type="dxa"/>
              <w:right w:w="90" w:type="dxa"/>
            </w:tcMar>
            <w:vAlign w:val="center"/>
          </w:tcPr>
          <w:p w14:paraId="7F093AA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Interval crosses threshold, evidence is mixed, or sample is underpowered.</w:t>
            </w:r>
          </w:p>
        </w:tc>
        <w:tc>
          <w:tcPr>
            <w:tcW w:w="2736" w:type="dxa"/>
            <w:tcMar>
              <w:top w:w="70" w:type="dxa"/>
              <w:left w:w="90" w:type="dxa"/>
              <w:bottom w:w="70" w:type="dxa"/>
              <w:right w:w="90" w:type="dxa"/>
            </w:tcMar>
            <w:vAlign w:val="center"/>
          </w:tcPr>
          <w:p w14:paraId="201C28D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promotion; additional evidence may be collected.</w:t>
            </w:r>
          </w:p>
        </w:tc>
      </w:tr>
    </w:tbl>
    <w:p w14:paraId="7437D1AC"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2. Scientific decision classes used by the deployable governance job; runtime errors are represented separately in the schema.</w:t>
      </w:r>
    </w:p>
    <w:p w14:paraId="1C73AB26"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4.4 Evidence classes and claim ceilings</w:t>
      </w:r>
    </w:p>
    <w:p w14:paraId="1C79876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Every run is assigned an evidence class. Fixtures establish execution and schema behavior, not policy superiority. Development runs guide design but cannot be relabeled confirmatory. Frozen observations support ablation but are weaker than independent collection. Generative evidence requires a pinned generator and usable answer-quality signal; human or platform claims require the corresponding annotations or platform-native records. The evidence ladder therefore sets a claim ceiling: evidence may support a narrower statement than its maximum, but never a broader one.</w:t>
      </w:r>
    </w:p>
    <w:p w14:paraId="7D4D4A65"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69825AAD" wp14:editId="48DD94A2">
            <wp:extent cx="4069080" cy="2914189"/>
            <wp:effectExtent l="0" t="0" r="0" b="0"/>
            <wp:docPr id="3" name="Picture 3" descr="Stepped evidence ladder from synthetic validation through engineering, development, confirmatory, multi-corpus, corroborated, and production evidence, with the current bounded position marked." title="Stepped evidence ladder from synthetic validation through engineering, development, confirmatory, multi-corpus, corro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4069080" cy="2914189"/>
                    </a:xfrm>
                    <a:prstGeom prst="rect">
                      <a:avLst/>
                    </a:prstGeom>
                  </pic:spPr>
                </pic:pic>
              </a:graphicData>
            </a:graphic>
          </wp:inline>
        </w:drawing>
      </w:r>
    </w:p>
    <w:p w14:paraId="192BF0D1"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3. Evidence classes define a claim ceiling. The release reaches bounded public and generative evidence in selected settings, not the highest evidence levels.</w:t>
      </w:r>
    </w:p>
    <w:p w14:paraId="45C23999"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4.5 Claim validation, integrity, and deployment contract</w:t>
      </w:r>
    </w:p>
    <w:p w14:paraId="47287AD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publication validator checks that public language and artifacts match those ceilings. It scans for raw licensed text, prompts, answers, API responses, credentials, private paths, large tracked files, and unsupported claim patterns. A historical ledger preserves positive, negative, blocked, refused, and superseded outcomes, while verify-run checks required artifacts, schemas, and hashes. Together, these mechanisms prevent later summaries from reviving a claim that a stronger audit or held-out test had already narrowed.</w:t>
      </w:r>
    </w:p>
    <w:p w14:paraId="76FDAF9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Claim validation occurs after scientific decision generation but before publication or promotion artifacts are accepted. The validator compares result classes with allowed language, confirms required evidence files, and checks that high-risk fields appear only as hashes, counts, or sanitized labels. This creates two independent failure channels: a candidate can fail the scientific gate, or an otherwise valid run can fail artifact hygiene. Neither failure is converted into evidence for the candidate.</w:t>
      </w:r>
    </w:p>
    <w:p w14:paraId="7D4749F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finite job contract accepts policy configurations, sanitized datasets or evaluator exports, and operational telemetry; it emits a promotion decision, run manifest, policy summaries, selector comparison, claim update, validation report, and optional audit bundle. The same OCI image is packaged for local Docker, Docker Compose, Kubernetes Jobs, and cloud job templates. Only local hardened Docker execution is demonstrated here; the architecture is portable, but the evidence claim remains local deployment validation.</w:t>
      </w:r>
    </w:p>
    <w:p w14:paraId="32ED7574"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779BF95E" wp14:editId="35BA8848">
            <wp:extent cx="5715000" cy="3218181"/>
            <wp:effectExtent l="0" t="0" r="0" b="0"/>
            <wp:docPr id="4" name="Picture 4" descr="Cloud-agnostic deployment diagram showing policy configurations, datasets, and telemetry entering a hardened RAGTune containerized governance job and producing a promotion decision, audit bundle, and claim-boundary report." title="Cloud-agnostic deployment diagram showing policy configurations, datasets, and telemetry entering a hardened RAGTune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715000" cy="3218181"/>
                    </a:xfrm>
                    <a:prstGeom prst="rect">
                      <a:avLst/>
                    </a:prstGeom>
                  </pic:spPr>
                </pic:pic>
              </a:graphicData>
            </a:graphic>
          </wp:inline>
        </w:drawing>
      </w:r>
    </w:p>
    <w:p w14:paraId="5ABFAC32"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4. Cloud-agnostic job contract. A finite container consumes policies and evidence, then emits a promotion decision, audit bundle, and validation report.</w:t>
      </w:r>
    </w:p>
    <w:p w14:paraId="063DD7D4"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5. Experimental Program</w:t>
      </w:r>
    </w:p>
    <w:p w14:paraId="0D8D9571"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empirical program progressed from fixture-level orchestration to public development and confirmatory corpora, statistical audits, corpus-backed retrieval, mock APIs, generated-answer evaluation, behaviorally distinct policies, held-out offsets, selector ablations, and deployment validation. It is a longitudinal research-and-engineering program rather than one preregistered trial. Claims are therefore reported by evidence class, and Table 3 identifies each corpus's role and principal limitation.</w:t>
      </w:r>
    </w:p>
    <w:p w14:paraId="0BAAD716"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Dataset use was constrained by licensing and by whether policies could actually change retrieval. T2-RAGBench supplied a larger development path; MultiHop-RAG provided a fresh sealed confirmatory corpus; CRAG enabled both corpus-backed retrieval and a mock-API routing environment; and HotpotQA added answer labels and supporting-fact annotations. The public repository carries manifests, hashes, and processed metrics rather than raw licensed text. Split construction used deterministic grouping and duplicate checks where supported, and confirmatory unlocks were refused when provenance, leakage, or evidence prerequisites failed.</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656"/>
        <w:gridCol w:w="2088"/>
        <w:gridCol w:w="3096"/>
        <w:gridCol w:w="3240"/>
      </w:tblGrid>
      <w:tr w:rsidR="00A16D83" w:rsidRPr="002A2802" w14:paraId="0F0E5392" w14:textId="77777777">
        <w:trPr>
          <w:tblHeader/>
          <w:jc w:val="center"/>
        </w:trPr>
        <w:tc>
          <w:tcPr>
            <w:tcW w:w="1656" w:type="dxa"/>
            <w:shd w:val="clear" w:color="auto" w:fill="DCE8EF"/>
            <w:tcMar>
              <w:top w:w="70" w:type="dxa"/>
              <w:left w:w="90" w:type="dxa"/>
              <w:bottom w:w="70" w:type="dxa"/>
              <w:right w:w="90" w:type="dxa"/>
            </w:tcMar>
            <w:vAlign w:val="center"/>
          </w:tcPr>
          <w:p w14:paraId="340A21F6"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Dataset / path</w:t>
            </w:r>
          </w:p>
        </w:tc>
        <w:tc>
          <w:tcPr>
            <w:tcW w:w="2088" w:type="dxa"/>
            <w:shd w:val="clear" w:color="auto" w:fill="DCE8EF"/>
            <w:tcMar>
              <w:top w:w="70" w:type="dxa"/>
              <w:left w:w="90" w:type="dxa"/>
              <w:bottom w:w="70" w:type="dxa"/>
              <w:right w:w="90" w:type="dxa"/>
            </w:tcMar>
            <w:vAlign w:val="center"/>
          </w:tcPr>
          <w:p w14:paraId="03C5B256"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Role</w:t>
            </w:r>
          </w:p>
        </w:tc>
        <w:tc>
          <w:tcPr>
            <w:tcW w:w="3096" w:type="dxa"/>
            <w:shd w:val="clear" w:color="auto" w:fill="DCE8EF"/>
            <w:tcMar>
              <w:top w:w="70" w:type="dxa"/>
              <w:left w:w="90" w:type="dxa"/>
              <w:bottom w:w="70" w:type="dxa"/>
              <w:right w:w="90" w:type="dxa"/>
            </w:tcMar>
            <w:vAlign w:val="center"/>
          </w:tcPr>
          <w:p w14:paraId="52574A2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Evidence characteristics</w:t>
            </w:r>
          </w:p>
        </w:tc>
        <w:tc>
          <w:tcPr>
            <w:tcW w:w="3240" w:type="dxa"/>
            <w:shd w:val="clear" w:color="auto" w:fill="DCE8EF"/>
            <w:tcMar>
              <w:top w:w="70" w:type="dxa"/>
              <w:left w:w="90" w:type="dxa"/>
              <w:bottom w:w="70" w:type="dxa"/>
              <w:right w:w="90" w:type="dxa"/>
            </w:tcMar>
            <w:vAlign w:val="center"/>
          </w:tcPr>
          <w:p w14:paraId="79C4D43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Primary limitation</w:t>
            </w:r>
          </w:p>
        </w:tc>
      </w:tr>
      <w:tr w:rsidR="00A16D83" w:rsidRPr="002A2802" w14:paraId="546C1820" w14:textId="77777777">
        <w:trPr>
          <w:jc w:val="center"/>
        </w:trPr>
        <w:tc>
          <w:tcPr>
            <w:tcW w:w="1656" w:type="dxa"/>
            <w:tcMar>
              <w:top w:w="70" w:type="dxa"/>
              <w:left w:w="90" w:type="dxa"/>
              <w:bottom w:w="70" w:type="dxa"/>
              <w:right w:w="90" w:type="dxa"/>
            </w:tcMar>
            <w:vAlign w:val="center"/>
          </w:tcPr>
          <w:p w14:paraId="33A8B8D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T2-RAGBench</w:t>
            </w:r>
          </w:p>
        </w:tc>
        <w:tc>
          <w:tcPr>
            <w:tcW w:w="2088" w:type="dxa"/>
            <w:tcMar>
              <w:top w:w="70" w:type="dxa"/>
              <w:left w:w="90" w:type="dxa"/>
              <w:bottom w:w="70" w:type="dxa"/>
              <w:right w:w="90" w:type="dxa"/>
            </w:tcMar>
            <w:vAlign w:val="center"/>
          </w:tcPr>
          <w:p w14:paraId="6AC70D4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end-to-end development</w:t>
            </w:r>
          </w:p>
        </w:tc>
        <w:tc>
          <w:tcPr>
            <w:tcW w:w="3096" w:type="dxa"/>
            <w:tcMar>
              <w:top w:w="70" w:type="dxa"/>
              <w:left w:w="90" w:type="dxa"/>
              <w:bottom w:w="70" w:type="dxa"/>
              <w:right w:w="90" w:type="dxa"/>
            </w:tcMar>
            <w:vAlign w:val="center"/>
          </w:tcPr>
          <w:p w14:paraId="7155577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1,142-query development corpus; behaviorally variable policies</w:t>
            </w:r>
          </w:p>
        </w:tc>
        <w:tc>
          <w:tcPr>
            <w:tcW w:w="3240" w:type="dxa"/>
            <w:tcMar>
              <w:top w:w="70" w:type="dxa"/>
              <w:left w:w="90" w:type="dxa"/>
              <w:bottom w:w="70" w:type="dxa"/>
              <w:right w:w="90" w:type="dxa"/>
            </w:tcMar>
            <w:vAlign w:val="center"/>
          </w:tcPr>
          <w:p w14:paraId="7208BDF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Development evidence; deterministic extractive generation in key runs</w:t>
            </w:r>
          </w:p>
        </w:tc>
      </w:tr>
      <w:tr w:rsidR="00A16D83" w:rsidRPr="002A2802" w14:paraId="6BB75D71" w14:textId="77777777">
        <w:trPr>
          <w:jc w:val="center"/>
        </w:trPr>
        <w:tc>
          <w:tcPr>
            <w:tcW w:w="1656" w:type="dxa"/>
            <w:tcMar>
              <w:top w:w="70" w:type="dxa"/>
              <w:left w:w="90" w:type="dxa"/>
              <w:bottom w:w="70" w:type="dxa"/>
              <w:right w:w="90" w:type="dxa"/>
            </w:tcMar>
            <w:vAlign w:val="center"/>
          </w:tcPr>
          <w:p w14:paraId="51E65F6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MultiHop-RAG</w:t>
            </w:r>
          </w:p>
        </w:tc>
        <w:tc>
          <w:tcPr>
            <w:tcW w:w="2088" w:type="dxa"/>
            <w:tcMar>
              <w:top w:w="70" w:type="dxa"/>
              <w:left w:w="90" w:type="dxa"/>
              <w:bottom w:w="70" w:type="dxa"/>
              <w:right w:w="90" w:type="dxa"/>
            </w:tcMar>
            <w:vAlign w:val="center"/>
          </w:tcPr>
          <w:p w14:paraId="0DE72C8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confirmatory corpus</w:t>
            </w:r>
          </w:p>
        </w:tc>
        <w:tc>
          <w:tcPr>
            <w:tcW w:w="3096" w:type="dxa"/>
            <w:tcMar>
              <w:top w:w="70" w:type="dxa"/>
              <w:left w:w="90" w:type="dxa"/>
              <w:bottom w:w="70" w:type="dxa"/>
              <w:right w:w="90" w:type="dxa"/>
            </w:tcMar>
            <w:vAlign w:val="center"/>
          </w:tcPr>
          <w:p w14:paraId="78A48B7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331-query sealed confirmatory test; full corpus-backed path</w:t>
            </w:r>
          </w:p>
        </w:tc>
        <w:tc>
          <w:tcPr>
            <w:tcW w:w="3240" w:type="dxa"/>
            <w:tcMar>
              <w:top w:w="70" w:type="dxa"/>
              <w:left w:w="90" w:type="dxa"/>
              <w:bottom w:w="70" w:type="dxa"/>
              <w:right w:w="90" w:type="dxa"/>
            </w:tcMar>
            <w:vAlign w:val="center"/>
          </w:tcPr>
          <w:p w14:paraId="5B872C3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Governance matched quality-only</w:t>
            </w:r>
          </w:p>
        </w:tc>
      </w:tr>
      <w:tr w:rsidR="00A16D83" w:rsidRPr="002A2802" w14:paraId="220ECE09" w14:textId="77777777">
        <w:trPr>
          <w:jc w:val="center"/>
        </w:trPr>
        <w:tc>
          <w:tcPr>
            <w:tcW w:w="1656" w:type="dxa"/>
            <w:tcMar>
              <w:top w:w="70" w:type="dxa"/>
              <w:left w:w="90" w:type="dxa"/>
              <w:bottom w:w="70" w:type="dxa"/>
              <w:right w:w="90" w:type="dxa"/>
            </w:tcMar>
            <w:vAlign w:val="center"/>
          </w:tcPr>
          <w:p w14:paraId="7488ABB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RAGBench HotpotQA</w:t>
            </w:r>
          </w:p>
        </w:tc>
        <w:tc>
          <w:tcPr>
            <w:tcW w:w="2088" w:type="dxa"/>
            <w:tcMar>
              <w:top w:w="70" w:type="dxa"/>
              <w:left w:w="90" w:type="dxa"/>
              <w:bottom w:w="70" w:type="dxa"/>
              <w:right w:w="90" w:type="dxa"/>
            </w:tcMar>
            <w:vAlign w:val="center"/>
          </w:tcPr>
          <w:p w14:paraId="3A315CE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Context-retrieval enablement</w:t>
            </w:r>
          </w:p>
        </w:tc>
        <w:tc>
          <w:tcPr>
            <w:tcW w:w="3096" w:type="dxa"/>
            <w:tcMar>
              <w:top w:w="70" w:type="dxa"/>
              <w:left w:w="90" w:type="dxa"/>
              <w:bottom w:w="70" w:type="dxa"/>
              <w:right w:w="90" w:type="dxa"/>
            </w:tcMar>
            <w:vAlign w:val="center"/>
          </w:tcPr>
          <w:p w14:paraId="12C5213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Policy-dependent context assembly</w:t>
            </w:r>
          </w:p>
        </w:tc>
        <w:tc>
          <w:tcPr>
            <w:tcW w:w="3240" w:type="dxa"/>
            <w:tcMar>
              <w:top w:w="70" w:type="dxa"/>
              <w:left w:w="90" w:type="dxa"/>
              <w:bottom w:w="70" w:type="dxa"/>
              <w:right w:w="90" w:type="dxa"/>
            </w:tcMar>
            <w:vAlign w:val="center"/>
          </w:tcPr>
          <w:p w14:paraId="2F992AE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Not full source-corpus retrieval in packaged evidence</w:t>
            </w:r>
          </w:p>
        </w:tc>
      </w:tr>
      <w:tr w:rsidR="00A16D83" w:rsidRPr="002A2802" w14:paraId="3D7F2E05" w14:textId="77777777">
        <w:trPr>
          <w:jc w:val="center"/>
        </w:trPr>
        <w:tc>
          <w:tcPr>
            <w:tcW w:w="1656" w:type="dxa"/>
            <w:tcMar>
              <w:top w:w="70" w:type="dxa"/>
              <w:left w:w="90" w:type="dxa"/>
              <w:bottom w:w="70" w:type="dxa"/>
              <w:right w:w="90" w:type="dxa"/>
            </w:tcMar>
            <w:vAlign w:val="center"/>
          </w:tcPr>
          <w:p w14:paraId="2D02F00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web documents</w:t>
            </w:r>
          </w:p>
        </w:tc>
        <w:tc>
          <w:tcPr>
            <w:tcW w:w="2088" w:type="dxa"/>
            <w:tcMar>
              <w:top w:w="70" w:type="dxa"/>
              <w:left w:w="90" w:type="dxa"/>
              <w:bottom w:w="70" w:type="dxa"/>
              <w:right w:w="90" w:type="dxa"/>
            </w:tcMar>
            <w:vAlign w:val="center"/>
          </w:tcPr>
          <w:p w14:paraId="64BE542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Full corpus-backed retrieval</w:t>
            </w:r>
          </w:p>
        </w:tc>
        <w:tc>
          <w:tcPr>
            <w:tcW w:w="3096" w:type="dxa"/>
            <w:tcMar>
              <w:top w:w="70" w:type="dxa"/>
              <w:left w:w="90" w:type="dxa"/>
              <w:bottom w:w="70" w:type="dxa"/>
              <w:right w:w="90" w:type="dxa"/>
            </w:tcMar>
            <w:vAlign w:val="center"/>
          </w:tcPr>
          <w:p w14:paraId="74AFCE7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2,706 rows; 9,848 web documents; 571 confirmatory rows</w:t>
            </w:r>
          </w:p>
        </w:tc>
        <w:tc>
          <w:tcPr>
            <w:tcW w:w="3240" w:type="dxa"/>
            <w:tcMar>
              <w:top w:w="70" w:type="dxa"/>
              <w:left w:w="90" w:type="dxa"/>
              <w:bottom w:w="70" w:type="dxa"/>
              <w:right w:w="90" w:type="dxa"/>
            </w:tcMar>
            <w:vAlign w:val="center"/>
          </w:tcPr>
          <w:p w14:paraId="1791553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Noncommercial restriction; governance matched quality-only</w:t>
            </w:r>
          </w:p>
        </w:tc>
      </w:tr>
      <w:tr w:rsidR="00A16D83" w:rsidRPr="002A2802" w14:paraId="46FC16FE" w14:textId="77777777">
        <w:trPr>
          <w:jc w:val="center"/>
        </w:trPr>
        <w:tc>
          <w:tcPr>
            <w:tcW w:w="1656" w:type="dxa"/>
            <w:tcMar>
              <w:top w:w="70" w:type="dxa"/>
              <w:left w:w="90" w:type="dxa"/>
              <w:bottom w:w="70" w:type="dxa"/>
              <w:right w:w="90" w:type="dxa"/>
            </w:tcMar>
            <w:vAlign w:val="center"/>
          </w:tcPr>
          <w:p w14:paraId="5315462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mock API</w:t>
            </w:r>
          </w:p>
        </w:tc>
        <w:tc>
          <w:tcPr>
            <w:tcW w:w="2088" w:type="dxa"/>
            <w:tcMar>
              <w:top w:w="70" w:type="dxa"/>
              <w:left w:w="90" w:type="dxa"/>
              <w:bottom w:w="70" w:type="dxa"/>
              <w:right w:w="90" w:type="dxa"/>
            </w:tcMar>
            <w:vAlign w:val="center"/>
          </w:tcPr>
          <w:p w14:paraId="7230A22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Tool routing and generative validation</w:t>
            </w:r>
          </w:p>
        </w:tc>
        <w:tc>
          <w:tcPr>
            <w:tcW w:w="3096" w:type="dxa"/>
            <w:tcMar>
              <w:top w:w="70" w:type="dxa"/>
              <w:left w:w="90" w:type="dxa"/>
              <w:bottom w:w="70" w:type="dxa"/>
              <w:right w:w="90" w:type="dxa"/>
            </w:tcMar>
            <w:vAlign w:val="center"/>
          </w:tcPr>
          <w:p w14:paraId="4EC897A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Live and frozen paths; calls, cost, latency, evaluator mapping</w:t>
            </w:r>
          </w:p>
        </w:tc>
        <w:tc>
          <w:tcPr>
            <w:tcW w:w="3240" w:type="dxa"/>
            <w:tcMar>
              <w:top w:w="70" w:type="dxa"/>
              <w:left w:w="90" w:type="dxa"/>
              <w:bottom w:w="70" w:type="dxa"/>
              <w:right w:w="90" w:type="dxa"/>
            </w:tcMar>
            <w:vAlign w:val="center"/>
          </w:tcPr>
          <w:p w14:paraId="006F402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Strongest positive result bounded; generative results unstable</w:t>
            </w:r>
          </w:p>
        </w:tc>
      </w:tr>
      <w:tr w:rsidR="00A16D83" w:rsidRPr="002A2802" w14:paraId="279B785B" w14:textId="77777777">
        <w:trPr>
          <w:jc w:val="center"/>
        </w:trPr>
        <w:tc>
          <w:tcPr>
            <w:tcW w:w="1656" w:type="dxa"/>
            <w:tcMar>
              <w:top w:w="70" w:type="dxa"/>
              <w:left w:w="90" w:type="dxa"/>
              <w:bottom w:w="70" w:type="dxa"/>
              <w:right w:w="90" w:type="dxa"/>
            </w:tcMar>
            <w:vAlign w:val="center"/>
          </w:tcPr>
          <w:p w14:paraId="500AE26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HotpotQA</w:t>
            </w:r>
          </w:p>
        </w:tc>
        <w:tc>
          <w:tcPr>
            <w:tcW w:w="2088" w:type="dxa"/>
            <w:tcMar>
              <w:top w:w="70" w:type="dxa"/>
              <w:left w:w="90" w:type="dxa"/>
              <w:bottom w:w="70" w:type="dxa"/>
              <w:right w:w="90" w:type="dxa"/>
            </w:tcMar>
            <w:vAlign w:val="center"/>
          </w:tcPr>
          <w:p w14:paraId="4C9D078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Alternate corpus with answer labels</w:t>
            </w:r>
          </w:p>
        </w:tc>
        <w:tc>
          <w:tcPr>
            <w:tcW w:w="3096" w:type="dxa"/>
            <w:tcMar>
              <w:top w:w="70" w:type="dxa"/>
              <w:left w:w="90" w:type="dxa"/>
              <w:bottom w:w="70" w:type="dxa"/>
              <w:right w:w="90" w:type="dxa"/>
            </w:tcMar>
            <w:vAlign w:val="center"/>
          </w:tcPr>
          <w:p w14:paraId="3F35912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1,000 local examples; 249 confirmatory behavioral rows</w:t>
            </w:r>
          </w:p>
        </w:tc>
        <w:tc>
          <w:tcPr>
            <w:tcW w:w="3240" w:type="dxa"/>
            <w:tcMar>
              <w:top w:w="70" w:type="dxa"/>
              <w:left w:w="90" w:type="dxa"/>
              <w:bottom w:w="70" w:type="dxa"/>
              <w:right w:w="90" w:type="dxa"/>
            </w:tcMar>
            <w:vAlign w:val="center"/>
          </w:tcPr>
          <w:p w14:paraId="050EE60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Operational gain accompanied by quality loss</w:t>
            </w:r>
          </w:p>
        </w:tc>
      </w:tr>
      <w:tr w:rsidR="00A16D83" w:rsidRPr="002A2802" w14:paraId="2B8685C6" w14:textId="77777777">
        <w:trPr>
          <w:jc w:val="center"/>
        </w:trPr>
        <w:tc>
          <w:tcPr>
            <w:tcW w:w="1656" w:type="dxa"/>
            <w:tcMar>
              <w:top w:w="70" w:type="dxa"/>
              <w:left w:w="90" w:type="dxa"/>
              <w:bottom w:w="70" w:type="dxa"/>
              <w:right w:w="90" w:type="dxa"/>
            </w:tcMar>
            <w:vAlign w:val="center"/>
          </w:tcPr>
          <w:p w14:paraId="1264FE6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mini</w:t>
            </w:r>
          </w:p>
        </w:tc>
        <w:tc>
          <w:tcPr>
            <w:tcW w:w="2088" w:type="dxa"/>
            <w:tcMar>
              <w:top w:w="70" w:type="dxa"/>
              <w:left w:w="90" w:type="dxa"/>
              <w:bottom w:w="70" w:type="dxa"/>
              <w:right w:w="90" w:type="dxa"/>
            </w:tcMar>
            <w:vAlign w:val="center"/>
          </w:tcPr>
          <w:p w14:paraId="4781340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Open-source reproduction</w:t>
            </w:r>
          </w:p>
        </w:tc>
        <w:tc>
          <w:tcPr>
            <w:tcW w:w="3096" w:type="dxa"/>
            <w:tcMar>
              <w:top w:w="70" w:type="dxa"/>
              <w:left w:w="90" w:type="dxa"/>
              <w:bottom w:w="70" w:type="dxa"/>
              <w:right w:w="90" w:type="dxa"/>
            </w:tcMar>
            <w:vAlign w:val="center"/>
          </w:tcPr>
          <w:p w14:paraId="42B5AC4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Synthetic, deterministic, no private data or model</w:t>
            </w:r>
          </w:p>
        </w:tc>
        <w:tc>
          <w:tcPr>
            <w:tcW w:w="3240" w:type="dxa"/>
            <w:tcMar>
              <w:top w:w="70" w:type="dxa"/>
              <w:left w:w="90" w:type="dxa"/>
              <w:bottom w:w="70" w:type="dxa"/>
              <w:right w:w="90" w:type="dxa"/>
            </w:tcMar>
            <w:vAlign w:val="center"/>
          </w:tcPr>
          <w:p w14:paraId="4E9E574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Onboarding proof, not external science</w:t>
            </w:r>
          </w:p>
        </w:tc>
      </w:tr>
    </w:tbl>
    <w:p w14:paraId="62C6CE00"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3. Principal datasets and evidence roles. Raw licensed datasets are not redistributed by the public repository.</w:t>
      </w:r>
    </w:p>
    <w:p w14:paraId="7FD9C45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Candidate policies included static defaults, low and expanded retrieval, adaptive routing, cost- and latency-aware policies, greedy and Optuna/TPE search, constrained optimization, Pareto selection, RAG Compass, and governed or risk-guarded selectors. The policy under evaluation is always a candidate, never an automatic beneficiary of the framework.</w:t>
      </w:r>
    </w:p>
    <w:p w14:paraId="604F395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lastRenderedPageBreak/>
        <w:t>Generative studies used pinned local models through Ollama and stored prompts and answers outside the public tree. Public rows retained hashes, lengths, policy identifiers, evaluator scores, and operational telemetry. The program tested qwen3:8b, gpt-oss:20b, and llama3.2:3b in bounded slices, not to rank the models, but to determine whether a governance conclusion persisted when answer emission and model behavior changed. Fixed offsets and cross-offset guardrails were introduced after the first favorable slice to test stability rather than enlarge the same result.</w:t>
      </w:r>
    </w:p>
    <w:p w14:paraId="5A57ADB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Where paired example-level evidence existed, analyses used paired bootstrap intervals and win/tie/loss summaries. Grouped intervals were reported only when separately implemented. Noninferiority margins, often 0.01 for a composite quality score, were declared in configuration. Statistical output remained subordinate to evidence validity: a narrow interval cannot rescue duplicated rows, a constant quality signal, invalid provenance, or confirmatory leakage.</w:t>
      </w:r>
    </w:p>
    <w:p w14:paraId="70B07A5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primary decision unit was a policy comparison under a declared baseline and scope. Quality-only selection used validation quality without operational penalties; constrained and governed selectors applied feasibility requirements; Pareto analysis exposed nondominated policies without forcing a scalar utility; and oracle variants were retained only as ceilings. When a quality signal was constant, missing, or demonstrably duplicated, the run was blocked even if cost and latency differed.</w:t>
      </w:r>
    </w:p>
    <w:p w14:paraId="3D52E155"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6. Results</w:t>
      </w:r>
    </w:p>
    <w:p w14:paraId="2F9B3F7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Table 4 is the numerical center of the paper; the prose below interprets rather than duplicates it. An earlier zero-width bootstrap episode also shaped the program: row-level reconstruction showed that a seemingly precise result repeated one aggregate paired delta rather than calibrated query-level uncertainty. The result was retained but downgraded, and later suites added explicit nonconstant-signal and grouped-analysis checks. Appendix D records that audit history.</w:t>
      </w:r>
    </w:p>
    <w:p w14:paraId="71DF6E6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results should therefore be read as tests of a release mechanism, not as a tournament among retrievers. A tie can establish that the mechanism executes without adding value on a corpus; a negative result can establish that the gate refuses an efficiency gain; and a failed replication can narrow the claim supported by an earlier slice. The evidence ledger makes those outcomes cumulative rather than disposable.</w:t>
      </w:r>
    </w:p>
    <w:p w14:paraId="239C71DE"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500AF2AB" wp14:editId="4F0C7305">
            <wp:extent cx="6080760" cy="3379752"/>
            <wp:effectExtent l="0" t="0" r="0" b="0"/>
            <wp:docPr id="5" name="Picture 5" descr="Evidence map listing positive, bounded, mixed, negative, and fail-closed outcomes across MultiHop-RAG, CRAG, HotpotQA, generative evaluation, and selector stress testing." title="Evidence map listing positive, bounded, mixed, negative, and fail-closed outcomes across MultiHop-RAG, CRAG, HotpotQA,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6080760" cy="3379752"/>
                    </a:xfrm>
                    <a:prstGeom prst="rect">
                      <a:avLst/>
                    </a:prstGeom>
                  </pic:spPr>
                </pic:pic>
              </a:graphicData>
            </a:graphic>
          </wp:inline>
        </w:drawing>
      </w:r>
    </w:p>
    <w:p w14:paraId="43C90786"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5. The evidence ledger preserves positive, bounded, mixed, negative, and fail-closed outcomes instead of collapsing them into one leaderboard.</w:t>
      </w:r>
    </w:p>
    <w:p w14:paraId="12326A29"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6.1 Confirmatory outcomes: noninferiority without general superiority</w:t>
      </w:r>
    </w:p>
    <w:p w14:paraId="331F6F80"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Public confirmatory studies most often showed that governance was feasible without establishing an advantage over quality-only selection. On MultiHop-RAG, governed and quality-only aliases selected the same policy, and an audit showed that a held-out Optuna/TPE win was a validation-to-test reversal rather than a selector bug. On CRAG web-document </w:t>
      </w:r>
      <w:r w:rsidRPr="002A2802">
        <w:rPr>
          <w:rFonts w:asciiTheme="majorHAnsi" w:hAnsiTheme="majorHAnsi"/>
          <w:color w:val="000000" w:themeColor="text1"/>
        </w:rPr>
        <w:lastRenderedPageBreak/>
        <w:t>retrieval, both selectors again chose the same high-retrieval policy. A larger T2-RAGBench development run was directly unfavorable to RAG Compass, reinforcing the optimizer-agnostic design.</w:t>
      </w:r>
    </w:p>
    <w:p w14:paraId="58055BB6"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strongest bounded source/retrieval signal came from the CRAG mock-API path. Governance selected a lower-budget policy while quality-only selection favored a regression-aware search policy. The reported utility difference was approximately +0.001 and stable across most cost-latency weight settings, but ablation attributed nearly all of it to declared cost and a small latency difference, not raw-quality improvement. It is therefore evidence that a promotion controller can choose a cheaper quality-tied candidate, not that it discovered a universally better retriever.</w:t>
      </w:r>
    </w:p>
    <w:p w14:paraId="609C49A1"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behaviorally distinct follow-up gave the result a more operational form: a single-endpoint policy used materially fewer calls and lower cost than Optuna/TPE while remaining within the declared proxy-plus-evidence quality margin. That comparison is stronger than a cosmetic utility tie-break, yet it remains derived from frozen observations rather than an independent live or human-calibrated evaluation.</w:t>
      </w:r>
    </w:p>
    <w:p w14:paraId="66C190A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These studies also expose an important distinction between selection correctness and hindsight regret. A policy selected from validation evidence can lose to another policy on a sealed test set without implying a logic defect. RAGTune records that reversal, but it does not retroactively choose the test winner. This preserves the separation between model selection and final estimation that the governance contract is intended to enforce.</w:t>
      </w:r>
    </w:p>
    <w:p w14:paraId="2AD68D51"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6.2 Fail-closed outcomes</w:t>
      </w:r>
    </w:p>
    <w:p w14:paraId="03F8169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HotpotQA provides the clearest negative test. The governed policy reduced retrieval cost, context volume, and calls, but answer quality declined beyond the declared noninferiority margin. A conventional efficiency report could describe the run as a cost win; RAGTune classified it as operational gain with quality loss and withheld promotion.</w:t>
      </w:r>
    </w:p>
    <w:p w14:paraId="5F86B714"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separate pooled quality-risk guardrail trained only on deployable metadata and passed its validation gates across four folds. Held-out evaluation then exposed quality-loss risk on three offsets. Although API calls and cost fell, the strict gate blocked the selector. These two cases are the empirical core of the governance claim: the framework's value is visible not only when it identifies an eligible candidate, but when it prevents attractive operational deltas from becoming unsupported release decisions.</w:t>
      </w:r>
    </w:p>
    <w:p w14:paraId="4E2A6483" w14:textId="151F48E4"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Fail-closed behavior is costly: a conservative controller can retain an expensive baseline or delay a useful change. The packaged artifacts therefore record blocked rate</w:t>
      </w:r>
      <w:r w:rsidR="00E03420">
        <w:rPr>
          <w:rFonts w:asciiTheme="majorHAnsi" w:hAnsiTheme="majorHAnsi"/>
          <w:color w:val="000000" w:themeColor="text1"/>
        </w:rPr>
        <w:t xml:space="preserve"> and </w:t>
      </w:r>
      <w:r w:rsidRPr="002A2802">
        <w:rPr>
          <w:rFonts w:asciiTheme="majorHAnsi" w:hAnsiTheme="majorHAnsi"/>
          <w:color w:val="000000" w:themeColor="text1"/>
        </w:rPr>
        <w:t>promotion rate a</w:t>
      </w:r>
      <w:r w:rsidR="00B3501D">
        <w:rPr>
          <w:rFonts w:asciiTheme="majorHAnsi" w:hAnsiTheme="majorHAnsi"/>
          <w:color w:val="000000" w:themeColor="text1"/>
        </w:rPr>
        <w:t>l</w:t>
      </w:r>
      <w:r w:rsidR="00FD58AA">
        <w:rPr>
          <w:rFonts w:asciiTheme="majorHAnsi" w:hAnsiTheme="majorHAnsi"/>
          <w:color w:val="000000" w:themeColor="text1"/>
        </w:rPr>
        <w:t>ong</w:t>
      </w:r>
      <w:r w:rsidR="00961EB7">
        <w:rPr>
          <w:rFonts w:asciiTheme="majorHAnsi" w:hAnsiTheme="majorHAnsi"/>
          <w:color w:val="000000" w:themeColor="text1"/>
        </w:rPr>
        <w:t>side qual</w:t>
      </w:r>
      <w:r w:rsidR="007F657B">
        <w:rPr>
          <w:rFonts w:asciiTheme="majorHAnsi" w:hAnsiTheme="majorHAnsi"/>
          <w:color w:val="000000" w:themeColor="text1"/>
        </w:rPr>
        <w:t>ity outcom</w:t>
      </w:r>
      <w:r w:rsidR="006C515E">
        <w:rPr>
          <w:rFonts w:asciiTheme="majorHAnsi" w:hAnsiTheme="majorHAnsi"/>
          <w:color w:val="000000" w:themeColor="text1"/>
        </w:rPr>
        <w:t>es</w:t>
      </w:r>
      <w:r w:rsidRPr="002A2802">
        <w:rPr>
          <w:rFonts w:asciiTheme="majorHAnsi" w:hAnsiTheme="majorHAnsi"/>
          <w:color w:val="000000" w:themeColor="text1"/>
        </w:rPr>
        <w:t>. The current program does not prove that the chosen trade-off is optimal; it demonstrates that the trade-off is explicit, reproducible, and reviewable.</w:t>
      </w:r>
    </w:p>
    <w:p w14:paraId="4B5EE528"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6.3 Generative feasibility without stability</w:t>
      </w:r>
    </w:p>
    <w:p w14:paraId="128A1B2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Local generative evaluation became technically feasible after answer-emission and evaluator-mapping repairs. A bounded CRAG slice using a pinned qwen3:8b model produced non-empty, variable answers and supported a cost-at-equivalent-generated-quality decision on its primary offset. The point estimate was favorable and the policy reduced calls and latency substantially.</w:t>
      </w:r>
    </w:p>
    <w:p w14:paraId="573F9488"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effect was not stable. Three deterministic repeats did not reproduce the cost result; a second model produced usable signals without positive cost slices; and a smaller instruct model repaired blank-answer behavior without creating a repeatable efficiency win. HotpotQA likewise confirmed nonconstant generated quality, answer diversity, and evidence variance, but the audit covered only a small sample and did not establish governance improvement. The generative contribution is therefore machinery and bounded evidence, not a stable optimization claim.</w:t>
      </w:r>
    </w:p>
    <w:p w14:paraId="3D32138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model comparisons also revealed engineering failure modes that a leaderboard would obscure. Thinking-mode output suppressed usable answers in one path; another model produced high blank-answer rates; and a smaller instruct model repaired emission without improving the selection result. Treating generator availability, parse success, and quality-signal variance as gates prevented these failures from being mistaken for policy evidence.</w:t>
      </w:r>
    </w:p>
    <w:p w14:paraId="4524E283"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6.4 Selector ablation and systems results</w:t>
      </w:r>
    </w:p>
    <w:p w14:paraId="331290B6"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packaged selector stress test compared quality-only, cost-only, latency-only, random, static, RAG Compass, governed noninferiority, risk-guarded, and oracle-style selectors across sanitized evidence families. Cost-only, latency-only, and random selection admitted quality-loss cases; governed selectors traded promotion rate for zero recorded quality-loss labels in the packaged cases. These rates are not population estimates, but they show that non-compensatory gates create observable behavior distinct from operational ranking.</w:t>
      </w:r>
    </w:p>
    <w:p w14:paraId="36F836F3" w14:textId="77777777" w:rsidR="00FA0C75" w:rsidRPr="003328CB" w:rsidRDefault="00FA0C75" w:rsidP="009F0E0F">
      <w:pPr>
        <w:pStyle w:val="p1"/>
        <w:ind w:firstLine="317"/>
        <w:rPr>
          <w:rFonts w:asciiTheme="majorHAnsi" w:hAnsiTheme="majorHAnsi"/>
          <w:i/>
          <w:iCs/>
          <w:sz w:val="20"/>
          <w:szCs w:val="20"/>
        </w:rPr>
      </w:pPr>
      <w:r w:rsidRPr="003328CB">
        <w:rPr>
          <w:rStyle w:val="s1"/>
          <w:rFonts w:asciiTheme="majorHAnsi" w:hAnsiTheme="majorHAnsi"/>
          <w:i w:val="0"/>
          <w:iCs w:val="0"/>
          <w:sz w:val="20"/>
          <w:szCs w:val="20"/>
        </w:rPr>
        <w:lastRenderedPageBreak/>
        <w:t>A fresh Git clone installed and reproduced the public-mini workflow without private data or model credentials; the hardened Docker job completed under the constrained runtime profile; and verify-run confirmed artifact hashes, schemas, and hygiene conditions. These results establish that an independent reviewer can execute the contract that produced a decision — the public mini is deliberately synthetic and fail-closed, proving installation, schemas, exit behavior, and claim checks without implying external efficacy.</w:t>
      </w:r>
    </w:p>
    <w:p w14:paraId="277C0722" w14:textId="63AE762B" w:rsidR="00A16D83" w:rsidRPr="002A2802" w:rsidRDefault="00A16D83">
      <w:pPr>
        <w:pStyle w:val="BodyText"/>
        <w:spacing w:after="84" w:line="254" w:lineRule="auto"/>
        <w:ind w:firstLine="317"/>
        <w:jc w:val="both"/>
        <w:rPr>
          <w:rFonts w:asciiTheme="majorHAnsi" w:hAnsiTheme="majorHAnsi"/>
          <w:color w:val="000000" w:themeColor="text1"/>
        </w:rPr>
      </w:pPr>
    </w:p>
    <w:p w14:paraId="5C2A59F9"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2BA56C0C" wp14:editId="042ECB0D">
            <wp:extent cx="6035040" cy="2745623"/>
            <wp:effectExtent l="0" t="0" r="0" b="0"/>
            <wp:docPr id="6" name="Picture 6" descr="Bar chart comparing selector blocked rates and quality-loss rates; governed and risk-guarded selectors block more packaged cases while operational selectors show quality-loss labels." title="Bar chart comparing selector blocked rates and quality-loss rates; governed and risk-guarded selectors block more pack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6035040" cy="2745623"/>
                    </a:xfrm>
                    <a:prstGeom prst="rect">
                      <a:avLst/>
                    </a:prstGeom>
                  </pic:spPr>
                </pic:pic>
              </a:graphicData>
            </a:graphic>
          </wp:inline>
        </w:drawing>
      </w:r>
    </w:p>
    <w:p w14:paraId="5FCA8F41"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6. In the packaged selector stress test, governed selectors blocked more cases and recorded no quality-loss labels; operational selectors did not block and admitted quality loss.</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800"/>
        <w:gridCol w:w="1872"/>
        <w:gridCol w:w="3096"/>
        <w:gridCol w:w="3312"/>
      </w:tblGrid>
      <w:tr w:rsidR="00A16D83" w:rsidRPr="002A2802" w14:paraId="500D496F" w14:textId="77777777">
        <w:trPr>
          <w:tblHeader/>
          <w:jc w:val="center"/>
        </w:trPr>
        <w:tc>
          <w:tcPr>
            <w:tcW w:w="1800" w:type="dxa"/>
            <w:shd w:val="clear" w:color="auto" w:fill="DCE8EF"/>
            <w:tcMar>
              <w:top w:w="70" w:type="dxa"/>
              <w:left w:w="90" w:type="dxa"/>
              <w:bottom w:w="70" w:type="dxa"/>
              <w:right w:w="90" w:type="dxa"/>
            </w:tcMar>
            <w:vAlign w:val="center"/>
          </w:tcPr>
          <w:p w14:paraId="78E69CBB"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Evaluation</w:t>
            </w:r>
          </w:p>
        </w:tc>
        <w:tc>
          <w:tcPr>
            <w:tcW w:w="1872" w:type="dxa"/>
            <w:shd w:val="clear" w:color="auto" w:fill="DCE8EF"/>
            <w:tcMar>
              <w:top w:w="70" w:type="dxa"/>
              <w:left w:w="90" w:type="dxa"/>
              <w:bottom w:w="70" w:type="dxa"/>
              <w:right w:w="90" w:type="dxa"/>
            </w:tcMar>
            <w:vAlign w:val="center"/>
          </w:tcPr>
          <w:p w14:paraId="4217B642"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Scope / N</w:t>
            </w:r>
          </w:p>
        </w:tc>
        <w:tc>
          <w:tcPr>
            <w:tcW w:w="3096" w:type="dxa"/>
            <w:shd w:val="clear" w:color="auto" w:fill="DCE8EF"/>
            <w:tcMar>
              <w:top w:w="70" w:type="dxa"/>
              <w:left w:w="90" w:type="dxa"/>
              <w:bottom w:w="70" w:type="dxa"/>
              <w:right w:w="90" w:type="dxa"/>
            </w:tcMar>
            <w:vAlign w:val="center"/>
          </w:tcPr>
          <w:p w14:paraId="22B7D347"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Primary outcome</w:t>
            </w:r>
          </w:p>
        </w:tc>
        <w:tc>
          <w:tcPr>
            <w:tcW w:w="3312" w:type="dxa"/>
            <w:shd w:val="clear" w:color="auto" w:fill="DCE8EF"/>
            <w:tcMar>
              <w:top w:w="70" w:type="dxa"/>
              <w:left w:w="90" w:type="dxa"/>
              <w:bottom w:w="70" w:type="dxa"/>
              <w:right w:w="90" w:type="dxa"/>
            </w:tcMar>
            <w:vAlign w:val="center"/>
          </w:tcPr>
          <w:p w14:paraId="0131015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Interpretation</w:t>
            </w:r>
          </w:p>
        </w:tc>
      </w:tr>
      <w:tr w:rsidR="00A16D83" w:rsidRPr="002A2802" w14:paraId="5CFE8236" w14:textId="77777777">
        <w:trPr>
          <w:jc w:val="center"/>
        </w:trPr>
        <w:tc>
          <w:tcPr>
            <w:tcW w:w="1800" w:type="dxa"/>
            <w:tcMar>
              <w:top w:w="70" w:type="dxa"/>
              <w:left w:w="90" w:type="dxa"/>
              <w:bottom w:w="70" w:type="dxa"/>
              <w:right w:w="90" w:type="dxa"/>
            </w:tcMar>
            <w:vAlign w:val="center"/>
          </w:tcPr>
          <w:p w14:paraId="28C7179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MultiHop-RAG confirmatory</w:t>
            </w:r>
          </w:p>
        </w:tc>
        <w:tc>
          <w:tcPr>
            <w:tcW w:w="1872" w:type="dxa"/>
            <w:tcMar>
              <w:top w:w="70" w:type="dxa"/>
              <w:left w:w="90" w:type="dxa"/>
              <w:bottom w:w="70" w:type="dxa"/>
              <w:right w:w="90" w:type="dxa"/>
            </w:tcMar>
            <w:vAlign w:val="center"/>
          </w:tcPr>
          <w:p w14:paraId="78DFFEB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331 queries</w:t>
            </w:r>
          </w:p>
        </w:tc>
        <w:tc>
          <w:tcPr>
            <w:tcW w:w="3096" w:type="dxa"/>
            <w:tcMar>
              <w:top w:w="70" w:type="dxa"/>
              <w:left w:w="90" w:type="dxa"/>
              <w:bottom w:w="70" w:type="dxa"/>
              <w:right w:w="90" w:type="dxa"/>
            </w:tcMar>
            <w:vAlign w:val="center"/>
          </w:tcPr>
          <w:p w14:paraId="443BF25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Governance delta 0; noninferior, not superior</w:t>
            </w:r>
          </w:p>
        </w:tc>
        <w:tc>
          <w:tcPr>
            <w:tcW w:w="3312" w:type="dxa"/>
            <w:tcMar>
              <w:top w:w="70" w:type="dxa"/>
              <w:left w:w="90" w:type="dxa"/>
              <w:bottom w:w="70" w:type="dxa"/>
              <w:right w:w="90" w:type="dxa"/>
            </w:tcMar>
            <w:vAlign w:val="center"/>
          </w:tcPr>
          <w:p w14:paraId="4ACE076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Valid confirmatory execution; no governance advantage</w:t>
            </w:r>
          </w:p>
        </w:tc>
      </w:tr>
      <w:tr w:rsidR="00A16D83" w:rsidRPr="002A2802" w14:paraId="729D9F6C" w14:textId="77777777">
        <w:trPr>
          <w:jc w:val="center"/>
        </w:trPr>
        <w:tc>
          <w:tcPr>
            <w:tcW w:w="1800" w:type="dxa"/>
            <w:tcMar>
              <w:top w:w="70" w:type="dxa"/>
              <w:left w:w="90" w:type="dxa"/>
              <w:bottom w:w="70" w:type="dxa"/>
              <w:right w:w="90" w:type="dxa"/>
            </w:tcMar>
            <w:vAlign w:val="center"/>
          </w:tcPr>
          <w:p w14:paraId="2AD6274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web documents</w:t>
            </w:r>
          </w:p>
        </w:tc>
        <w:tc>
          <w:tcPr>
            <w:tcW w:w="1872" w:type="dxa"/>
            <w:tcMar>
              <w:top w:w="70" w:type="dxa"/>
              <w:left w:w="90" w:type="dxa"/>
              <w:bottom w:w="70" w:type="dxa"/>
              <w:right w:w="90" w:type="dxa"/>
            </w:tcMar>
            <w:vAlign w:val="center"/>
          </w:tcPr>
          <w:p w14:paraId="74AD006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rows</w:t>
            </w:r>
          </w:p>
        </w:tc>
        <w:tc>
          <w:tcPr>
            <w:tcW w:w="3096" w:type="dxa"/>
            <w:tcMar>
              <w:top w:w="70" w:type="dxa"/>
              <w:left w:w="90" w:type="dxa"/>
              <w:bottom w:w="70" w:type="dxa"/>
              <w:right w:w="90" w:type="dxa"/>
            </w:tcMar>
            <w:vAlign w:val="center"/>
          </w:tcPr>
          <w:p w14:paraId="2BF5E2D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Governed = quality-only = top_k_high</w:t>
            </w:r>
          </w:p>
        </w:tc>
        <w:tc>
          <w:tcPr>
            <w:tcW w:w="3312" w:type="dxa"/>
            <w:tcMar>
              <w:top w:w="70" w:type="dxa"/>
              <w:left w:w="90" w:type="dxa"/>
              <w:bottom w:w="70" w:type="dxa"/>
              <w:right w:w="90" w:type="dxa"/>
            </w:tcMar>
            <w:vAlign w:val="center"/>
          </w:tcPr>
          <w:p w14:paraId="130CF19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Corpus-backed execution; no superiority</w:t>
            </w:r>
          </w:p>
        </w:tc>
      </w:tr>
      <w:tr w:rsidR="00A16D83" w:rsidRPr="002A2802" w14:paraId="6B925A89" w14:textId="77777777">
        <w:trPr>
          <w:jc w:val="center"/>
        </w:trPr>
        <w:tc>
          <w:tcPr>
            <w:tcW w:w="1800" w:type="dxa"/>
            <w:tcMar>
              <w:top w:w="70" w:type="dxa"/>
              <w:left w:w="90" w:type="dxa"/>
              <w:bottom w:w="70" w:type="dxa"/>
              <w:right w:w="90" w:type="dxa"/>
            </w:tcMar>
            <w:vAlign w:val="center"/>
          </w:tcPr>
          <w:p w14:paraId="23F9E37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mock API</w:t>
            </w:r>
          </w:p>
        </w:tc>
        <w:tc>
          <w:tcPr>
            <w:tcW w:w="1872" w:type="dxa"/>
            <w:tcMar>
              <w:top w:w="70" w:type="dxa"/>
              <w:left w:w="90" w:type="dxa"/>
              <w:bottom w:w="70" w:type="dxa"/>
              <w:right w:w="90" w:type="dxa"/>
            </w:tcMar>
            <w:vAlign w:val="center"/>
          </w:tcPr>
          <w:p w14:paraId="44979E4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rows</w:t>
            </w:r>
          </w:p>
        </w:tc>
        <w:tc>
          <w:tcPr>
            <w:tcW w:w="3096" w:type="dxa"/>
            <w:tcMar>
              <w:top w:w="70" w:type="dxa"/>
              <w:left w:w="90" w:type="dxa"/>
              <w:bottom w:w="70" w:type="dxa"/>
              <w:right w:w="90" w:type="dxa"/>
            </w:tcMar>
            <w:vAlign w:val="center"/>
          </w:tcPr>
          <w:p w14:paraId="07A0BC8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Utility +0.00100254; 571/0/0 wins/ties/losses</w:t>
            </w:r>
          </w:p>
        </w:tc>
        <w:tc>
          <w:tcPr>
            <w:tcW w:w="3312" w:type="dxa"/>
            <w:tcMar>
              <w:top w:w="70" w:type="dxa"/>
              <w:left w:w="90" w:type="dxa"/>
              <w:bottom w:w="70" w:type="dxa"/>
              <w:right w:w="90" w:type="dxa"/>
            </w:tcMar>
            <w:vAlign w:val="center"/>
          </w:tcPr>
          <w:p w14:paraId="3C6E392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Strongest bounded source/retrieval signal; largely cost/latency driven</w:t>
            </w:r>
          </w:p>
        </w:tc>
      </w:tr>
      <w:tr w:rsidR="00A16D83" w:rsidRPr="002A2802" w14:paraId="6DDDAC5B" w14:textId="77777777">
        <w:trPr>
          <w:jc w:val="center"/>
        </w:trPr>
        <w:tc>
          <w:tcPr>
            <w:tcW w:w="1800" w:type="dxa"/>
            <w:tcMar>
              <w:top w:w="70" w:type="dxa"/>
              <w:left w:w="90" w:type="dxa"/>
              <w:bottom w:w="70" w:type="dxa"/>
              <w:right w:w="90" w:type="dxa"/>
            </w:tcMar>
            <w:vAlign w:val="center"/>
          </w:tcPr>
          <w:p w14:paraId="68A838C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Frozen behaviorally distinct CRAG</w:t>
            </w:r>
          </w:p>
        </w:tc>
        <w:tc>
          <w:tcPr>
            <w:tcW w:w="1872" w:type="dxa"/>
            <w:tcMar>
              <w:top w:w="70" w:type="dxa"/>
              <w:left w:w="90" w:type="dxa"/>
              <w:bottom w:w="70" w:type="dxa"/>
              <w:right w:w="90" w:type="dxa"/>
            </w:tcMar>
            <w:vAlign w:val="center"/>
          </w:tcPr>
          <w:p w14:paraId="1896D94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paired observations</w:t>
            </w:r>
          </w:p>
        </w:tc>
        <w:tc>
          <w:tcPr>
            <w:tcW w:w="3096" w:type="dxa"/>
            <w:tcMar>
              <w:top w:w="70" w:type="dxa"/>
              <w:left w:w="90" w:type="dxa"/>
              <w:bottom w:w="70" w:type="dxa"/>
              <w:right w:w="90" w:type="dxa"/>
            </w:tcMar>
            <w:vAlign w:val="center"/>
          </w:tcPr>
          <w:p w14:paraId="6E1A27F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-0.00515371; cost -2.36839; calls -1.79860</w:t>
            </w:r>
          </w:p>
        </w:tc>
        <w:tc>
          <w:tcPr>
            <w:tcW w:w="3312" w:type="dxa"/>
            <w:tcMar>
              <w:top w:w="70" w:type="dxa"/>
              <w:left w:w="90" w:type="dxa"/>
              <w:bottom w:w="70" w:type="dxa"/>
              <w:right w:w="90" w:type="dxa"/>
            </w:tcMar>
            <w:vAlign w:val="center"/>
          </w:tcPr>
          <w:p w14:paraId="7C7D4C1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Lower operating burden within declared proxy-quality margin; derived evidence</w:t>
            </w:r>
          </w:p>
        </w:tc>
      </w:tr>
      <w:tr w:rsidR="00A16D83" w:rsidRPr="002A2802" w14:paraId="2F5B6DD2" w14:textId="77777777">
        <w:trPr>
          <w:jc w:val="center"/>
        </w:trPr>
        <w:tc>
          <w:tcPr>
            <w:tcW w:w="1800" w:type="dxa"/>
            <w:tcMar>
              <w:top w:w="70" w:type="dxa"/>
              <w:left w:w="90" w:type="dxa"/>
              <w:bottom w:w="70" w:type="dxa"/>
              <w:right w:w="90" w:type="dxa"/>
            </w:tcMar>
            <w:vAlign w:val="center"/>
          </w:tcPr>
          <w:p w14:paraId="6C2A055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HotpotQA behavioral</w:t>
            </w:r>
          </w:p>
        </w:tc>
        <w:tc>
          <w:tcPr>
            <w:tcW w:w="1872" w:type="dxa"/>
            <w:tcMar>
              <w:top w:w="70" w:type="dxa"/>
              <w:left w:w="90" w:type="dxa"/>
              <w:bottom w:w="70" w:type="dxa"/>
              <w:right w:w="90" w:type="dxa"/>
            </w:tcMar>
            <w:vAlign w:val="center"/>
          </w:tcPr>
          <w:p w14:paraId="231B8BD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249 confirmatory rows</w:t>
            </w:r>
          </w:p>
        </w:tc>
        <w:tc>
          <w:tcPr>
            <w:tcW w:w="3096" w:type="dxa"/>
            <w:tcMar>
              <w:top w:w="70" w:type="dxa"/>
              <w:left w:w="90" w:type="dxa"/>
              <w:bottom w:w="70" w:type="dxa"/>
              <w:right w:w="90" w:type="dxa"/>
            </w:tcMar>
            <w:vAlign w:val="center"/>
          </w:tcPr>
          <w:p w14:paraId="72D0514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-0.0408367; F1 -0.0843373; cost -2.33014; calls -1.98394</w:t>
            </w:r>
          </w:p>
        </w:tc>
        <w:tc>
          <w:tcPr>
            <w:tcW w:w="3312" w:type="dxa"/>
            <w:tcMar>
              <w:top w:w="70" w:type="dxa"/>
              <w:left w:w="90" w:type="dxa"/>
              <w:bottom w:w="70" w:type="dxa"/>
              <w:right w:w="90" w:type="dxa"/>
            </w:tcMar>
            <w:vAlign w:val="center"/>
          </w:tcPr>
          <w:p w14:paraId="3CCA138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Operational gain with quality loss; blocked</w:t>
            </w:r>
          </w:p>
        </w:tc>
      </w:tr>
      <w:tr w:rsidR="00A16D83" w:rsidRPr="002A2802" w14:paraId="22BA969F" w14:textId="77777777">
        <w:trPr>
          <w:jc w:val="center"/>
        </w:trPr>
        <w:tc>
          <w:tcPr>
            <w:tcW w:w="1800" w:type="dxa"/>
            <w:tcMar>
              <w:top w:w="70" w:type="dxa"/>
              <w:left w:w="90" w:type="dxa"/>
              <w:bottom w:w="70" w:type="dxa"/>
              <w:right w:w="90" w:type="dxa"/>
            </w:tcMar>
            <w:vAlign w:val="center"/>
          </w:tcPr>
          <w:p w14:paraId="6190D3F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generative primary</w:t>
            </w:r>
          </w:p>
        </w:tc>
        <w:tc>
          <w:tcPr>
            <w:tcW w:w="1872" w:type="dxa"/>
            <w:tcMar>
              <w:top w:w="70" w:type="dxa"/>
              <w:left w:w="90" w:type="dxa"/>
              <w:bottom w:w="70" w:type="dxa"/>
              <w:right w:w="90" w:type="dxa"/>
            </w:tcMar>
            <w:vAlign w:val="center"/>
          </w:tcPr>
          <w:p w14:paraId="0C20EAA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12 examples; 132 generations</w:t>
            </w:r>
          </w:p>
        </w:tc>
        <w:tc>
          <w:tcPr>
            <w:tcW w:w="3096" w:type="dxa"/>
            <w:tcMar>
              <w:top w:w="70" w:type="dxa"/>
              <w:left w:w="90" w:type="dxa"/>
              <w:bottom w:w="70" w:type="dxa"/>
              <w:right w:w="90" w:type="dxa"/>
            </w:tcMar>
            <w:vAlign w:val="center"/>
          </w:tcPr>
          <w:p w14:paraId="65D5B69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+0.0166534; cost -3.77900; latency -5,971.85 ms</w:t>
            </w:r>
          </w:p>
        </w:tc>
        <w:tc>
          <w:tcPr>
            <w:tcW w:w="3312" w:type="dxa"/>
            <w:tcMar>
              <w:top w:w="70" w:type="dxa"/>
              <w:left w:w="90" w:type="dxa"/>
              <w:bottom w:w="70" w:type="dxa"/>
              <w:right w:w="90" w:type="dxa"/>
            </w:tcMar>
            <w:vAlign w:val="center"/>
          </w:tcPr>
          <w:p w14:paraId="52C9CC9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Positive bounded slice; repeats/models did not reproduce</w:t>
            </w:r>
          </w:p>
        </w:tc>
      </w:tr>
      <w:tr w:rsidR="00A16D83" w:rsidRPr="002A2802" w14:paraId="6159ECE3" w14:textId="77777777">
        <w:trPr>
          <w:jc w:val="center"/>
        </w:trPr>
        <w:tc>
          <w:tcPr>
            <w:tcW w:w="1800" w:type="dxa"/>
            <w:tcMar>
              <w:top w:w="70" w:type="dxa"/>
              <w:left w:w="90" w:type="dxa"/>
              <w:bottom w:w="70" w:type="dxa"/>
              <w:right w:w="90" w:type="dxa"/>
            </w:tcMar>
            <w:vAlign w:val="center"/>
          </w:tcPr>
          <w:p w14:paraId="6B311C7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Guardrail v2</w:t>
            </w:r>
          </w:p>
        </w:tc>
        <w:tc>
          <w:tcPr>
            <w:tcW w:w="1872" w:type="dxa"/>
            <w:tcMar>
              <w:top w:w="70" w:type="dxa"/>
              <w:left w:w="90" w:type="dxa"/>
              <w:bottom w:w="70" w:type="dxa"/>
              <w:right w:w="90" w:type="dxa"/>
            </w:tcMar>
            <w:vAlign w:val="center"/>
          </w:tcPr>
          <w:p w14:paraId="561DDEB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4 held-out offsets</w:t>
            </w:r>
          </w:p>
        </w:tc>
        <w:tc>
          <w:tcPr>
            <w:tcW w:w="3096" w:type="dxa"/>
            <w:tcMar>
              <w:top w:w="70" w:type="dxa"/>
              <w:left w:w="90" w:type="dxa"/>
              <w:bottom w:w="70" w:type="dxa"/>
              <w:right w:w="90" w:type="dxa"/>
            </w:tcMar>
            <w:vAlign w:val="center"/>
          </w:tcPr>
          <w:p w14:paraId="52F6ECE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 quality-loss blocks; 0 positive latency results</w:t>
            </w:r>
          </w:p>
        </w:tc>
        <w:tc>
          <w:tcPr>
            <w:tcW w:w="3312" w:type="dxa"/>
            <w:tcMar>
              <w:top w:w="70" w:type="dxa"/>
              <w:left w:w="90" w:type="dxa"/>
              <w:bottom w:w="70" w:type="dxa"/>
              <w:right w:w="90" w:type="dxa"/>
            </w:tcMar>
            <w:vAlign w:val="center"/>
          </w:tcPr>
          <w:p w14:paraId="65EA1CA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Validation success failed held-out generalization</w:t>
            </w:r>
          </w:p>
        </w:tc>
      </w:tr>
      <w:tr w:rsidR="00A16D83" w:rsidRPr="002A2802" w14:paraId="48B2B6D7" w14:textId="77777777">
        <w:trPr>
          <w:jc w:val="center"/>
        </w:trPr>
        <w:tc>
          <w:tcPr>
            <w:tcW w:w="1800" w:type="dxa"/>
            <w:tcMar>
              <w:top w:w="70" w:type="dxa"/>
              <w:left w:w="90" w:type="dxa"/>
              <w:bottom w:w="70" w:type="dxa"/>
              <w:right w:w="90" w:type="dxa"/>
            </w:tcMar>
            <w:vAlign w:val="center"/>
          </w:tcPr>
          <w:p w14:paraId="51E19F7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Selector stress</w:t>
            </w:r>
          </w:p>
        </w:tc>
        <w:tc>
          <w:tcPr>
            <w:tcW w:w="1872" w:type="dxa"/>
            <w:tcMar>
              <w:top w:w="70" w:type="dxa"/>
              <w:left w:w="90" w:type="dxa"/>
              <w:bottom w:w="70" w:type="dxa"/>
              <w:right w:w="90" w:type="dxa"/>
            </w:tcMar>
            <w:vAlign w:val="center"/>
          </w:tcPr>
          <w:p w14:paraId="57AFCB1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Packaged evidence families</w:t>
            </w:r>
          </w:p>
        </w:tc>
        <w:tc>
          <w:tcPr>
            <w:tcW w:w="3096" w:type="dxa"/>
            <w:tcMar>
              <w:top w:w="70" w:type="dxa"/>
              <w:left w:w="90" w:type="dxa"/>
              <w:bottom w:w="70" w:type="dxa"/>
              <w:right w:w="90" w:type="dxa"/>
            </w:tcMar>
            <w:vAlign w:val="center"/>
          </w:tcPr>
          <w:p w14:paraId="0E0ED49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Governed blocked 0.66 with 0 quality loss; cost/latency/random quality loss 0.25</w:t>
            </w:r>
          </w:p>
        </w:tc>
        <w:tc>
          <w:tcPr>
            <w:tcW w:w="3312" w:type="dxa"/>
            <w:tcMar>
              <w:top w:w="70" w:type="dxa"/>
              <w:left w:w="90" w:type="dxa"/>
              <w:bottom w:w="70" w:type="dxa"/>
              <w:right w:w="90" w:type="dxa"/>
            </w:tcMar>
            <w:vAlign w:val="center"/>
          </w:tcPr>
          <w:p w14:paraId="69FDCD1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Gates traded promotion rate for no observed quality-loss labels</w:t>
            </w:r>
          </w:p>
        </w:tc>
      </w:tr>
      <w:tr w:rsidR="00A16D83" w:rsidRPr="002A2802" w14:paraId="00FFF971" w14:textId="77777777">
        <w:trPr>
          <w:jc w:val="center"/>
        </w:trPr>
        <w:tc>
          <w:tcPr>
            <w:tcW w:w="1800" w:type="dxa"/>
            <w:tcMar>
              <w:top w:w="70" w:type="dxa"/>
              <w:left w:w="90" w:type="dxa"/>
              <w:bottom w:w="70" w:type="dxa"/>
              <w:right w:w="90" w:type="dxa"/>
            </w:tcMar>
            <w:vAlign w:val="center"/>
          </w:tcPr>
          <w:p w14:paraId="0B1D1FC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mini + Docker</w:t>
            </w:r>
          </w:p>
        </w:tc>
        <w:tc>
          <w:tcPr>
            <w:tcW w:w="1872" w:type="dxa"/>
            <w:tcMar>
              <w:top w:w="70" w:type="dxa"/>
              <w:left w:w="90" w:type="dxa"/>
              <w:bottom w:w="70" w:type="dxa"/>
              <w:right w:w="90" w:type="dxa"/>
            </w:tcMar>
            <w:vAlign w:val="center"/>
          </w:tcPr>
          <w:p w14:paraId="7758448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Synthetic deterministic job</w:t>
            </w:r>
          </w:p>
        </w:tc>
        <w:tc>
          <w:tcPr>
            <w:tcW w:w="3096" w:type="dxa"/>
            <w:tcMar>
              <w:top w:w="70" w:type="dxa"/>
              <w:left w:w="90" w:type="dxa"/>
              <w:bottom w:w="70" w:type="dxa"/>
              <w:right w:w="90" w:type="dxa"/>
            </w:tcMar>
            <w:vAlign w:val="center"/>
          </w:tcPr>
          <w:p w14:paraId="1049838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Fresh clone, hardened Docker, decision artifact, verify-run pass</w:t>
            </w:r>
          </w:p>
        </w:tc>
        <w:tc>
          <w:tcPr>
            <w:tcW w:w="3312" w:type="dxa"/>
            <w:tcMar>
              <w:top w:w="70" w:type="dxa"/>
              <w:left w:w="90" w:type="dxa"/>
              <w:bottom w:w="70" w:type="dxa"/>
              <w:right w:w="90" w:type="dxa"/>
            </w:tcMar>
            <w:vAlign w:val="center"/>
          </w:tcPr>
          <w:p w14:paraId="6F468F9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 systems reproducibility; not external empirical evidence</w:t>
            </w:r>
          </w:p>
        </w:tc>
      </w:tr>
    </w:tbl>
    <w:p w14:paraId="77110624"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4. Principal empirical and systems results. Full precision is retained here; negative and mixed outcomes are part of the reported evidence.</w:t>
      </w:r>
    </w:p>
    <w:p w14:paraId="632585B8"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7. Discussion</w:t>
      </w:r>
    </w:p>
    <w:p w14:paraId="3187C5C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RAGTune's novelty is architectural and procedural rather than metric-level. It separates evidence production from release authority; applies quality preservation and hard gates before utility ranking; ties each result to an evidence class and claim ceiling; and packages the decision, contradictory evidence, and integrity checks as a portable artifact. Noninferiority, risk management, observability, and ML testing are established ideas [11-17]. The contribution is their RAG-specific operationalization in a lightweight, vendor-neutral promotion-control layer with an empirical record that includes failed replications and refused promotions.</w:t>
      </w:r>
    </w:p>
    <w:p w14:paraId="40BB264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lastRenderedPageBreak/>
        <w:t>This position is complementary to existing tools. A team may obtain answer correctness from one evaluator, faithfulness from another, cost and latency from traces, and a security disqualifier from a separate suite. RAGTune's role is to combine those declared inputs under one release contract. The output is not another score but a decision with reasons, limits, and traceable artifacts. This is particularly useful when a quality-only winner, a constrained optimizer, and a risk gate disagree.</w:t>
      </w:r>
    </w:p>
    <w:p w14:paraId="66B85A7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negative outcomes are consequently informative. HotpotQA and the held-out guardrail show that lower cost or latency can coexist with unacceptable answer degradation, while the unstable generative slices show how quickly a positive local result can evaporate under offsets or models. The current evidence does not estimate an optimal false-promotion versus false-refusal trade-off; it establishes that the framework can encode a conservative policy and preserve the cost of that conservatism for later study.</w:t>
      </w:r>
    </w:p>
    <w:p w14:paraId="49737DE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practical governance program must eventually price false refusal as carefully as false promotion. Blocking too often can preserve a costly configuration, slow improvement, and encourage teams to bypass the process. RAGTune's current result taxonomy and artifact schema make that future calibration possible because they retain both the rejected candidate's operational benefit and the gate that prevented release. Larger independent studies can then ask whether margins and risk thresholds produce an acceptable decision curve rather than only whether any single policy wins.</w:t>
      </w:r>
    </w:p>
    <w:p w14:paraId="6EB26F6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product contract is most relevant where changes require a defensible release record: healthcare policy assistants, financial and insurance knowledge systems, legal research, government services, life-sciences evidence workflows, and internal enterprise copilots. In such settings the question is rarely just which score is highest. It is whether a change is justified for a declared corpus, use case, user population, access tier, quality floor, latency target, and risk class. RAGTune can run as a finite CI/CD or monitoring job and emit an artifact suitable for change review; integration with live identity, authorization, and incident processes remains deployment-specific.</w:t>
      </w:r>
    </w:p>
    <w:p w14:paraId="4E694DE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same abstraction can support layered enterprise policies. A release contract may inherit organization-wide security and data-access requirements, then specialize by corpus, use case, user population, query class, and service-level objective. The optimizer may vary retrieval depth or routing inside that envelope, but it cannot override entitlement, source-authority, citation, or human-review rules. This separation makes governance portable across customers without pretending that one globally optimal RAG configuration exists.</w:t>
      </w:r>
    </w:p>
    <w:p w14:paraId="38DECF04"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8. Limitations and Threats to Validity</w:t>
      </w:r>
    </w:p>
    <w:p w14:paraId="56B8B17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Empirical breadth remains limited. Few public corpora support full, policy-dependent, corpus-backed evaluation in the packaged program; CRAG also carries noncommercial-research restrictions. MultiHop-RAG and CRAG web-document studies produced ties rather than superiority, and some HotpotQA phases use context-retrieval evidence rather than a fully reconstructed source corpus.</w:t>
      </w:r>
    </w:p>
    <w:p w14:paraId="067CA9A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Generative samples are small and unstable. The favorable CRAG primary slice contained 12 examples, repeats and alternative models did not recover its cost result, and the larger HotpotQA target was not reached. Composite proxy and automatic evaluator scores are not substitutes for human judgment, and calibration across domains remains open.</w:t>
      </w:r>
    </w:p>
    <w:p w14:paraId="77851E7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strongest positive source/retrieval result is also unusually small in practical effect and heavily dependent on the declared cost model. It should be interpreted as proof of decision behavior, not as a material quality advance. The selector stress test is assembled from packaged cases and cannot estimate real-world base rates of unsafe promotion. Likewise, sanitized frozen-observation analyses are useful for ablation but share dependencies with their parent runs.</w:t>
      </w:r>
    </w:p>
    <w:p w14:paraId="48EEC14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program is longitudinal and adaptive rather than a single preregistered experiment. Repeated design changes create multiplicity and researcher degrees of freedom; some observations are dependent, and early intervals were demonstrably low-information. The response is procedural rather than statistical sleight of hand: preserve chronology, distinguish development from confirmatory evidence, report grouped analyses only when implemented, and avoid a pooled significance claim.</w:t>
      </w:r>
    </w:p>
    <w:p w14:paraId="0A7998F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Systems evidence is also bounded. Fresh-clone and hardened Docker execution establish reproducibility of the public-mini contract, not operational reliability under real authentication, authorization, retention, availability, or incident-management requirements. External evaluator adapters use synthetic-shaped exports rather than official platform runs, and the security scan set is incomplete. RAG Compass remains an optional candidate and has no supported superiority claim.</w:t>
      </w:r>
    </w:p>
    <w:p w14:paraId="75EECD5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Reproducibility artifacts verify code paths, decisions, and public hygiene; they cannot independently verify licensed raw data that are excluded from the repository. Exact external replication therefore depends on acquiring the original corpora </w:t>
      </w:r>
      <w:r w:rsidRPr="002A2802">
        <w:rPr>
          <w:rFonts w:asciiTheme="majorHAnsi" w:hAnsiTheme="majorHAnsi"/>
          <w:color w:val="000000" w:themeColor="text1"/>
        </w:rPr>
        <w:lastRenderedPageBreak/>
        <w:t>and reconstructing the declared manifests. The release tag itself is an engineering checkpoint rather than a guarantee that every historical artifact can be regenerated without those sources.</w:t>
      </w:r>
    </w:p>
    <w:p w14:paraId="65497679"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9. Reproducibility, Availability, and Responsible Release</w:t>
      </w:r>
    </w:p>
    <w:p w14:paraId="4E52EC61"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Project code is released under Apache-2.0; third-party datasets retain their original licenses, and raw CRAG or HotpotQA text is not redistributed. The tagged v0.1.0-rc1 artifact identifies a fixed commit and includes configs, schemas, sanitized processed results, tests, Docker assets, deployment templates, claim tables, release manifests, and an evidence ledger.</w:t>
      </w:r>
    </w:p>
    <w:p w14:paraId="5E4318B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fresh clone can run the deterministic public-mini job without private data, a generator, or cloud credentials. The hardened container reproduces the same governance contract, while verify-run checks the artifact manifest, hashes, schemas, and hygiene conditions. Dataset-dependent studies require users to acquire the original data under their licenses. These mechanisms make the decision logic and failure modes independently inspectable even when licensed raw evidence cannot be published.</w:t>
      </w:r>
    </w:p>
    <w:p w14:paraId="4F17BEEE" w14:textId="5C16B726"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GitHub CI executes publication tests and claim checks on the public tree. Deployment templates target Kubernetes and major cloud job primitives, but they are intentionally separated from the scientific claim: a template shows how to schedule the container, whereas platform evidence would require a real platform-native run record.</w:t>
      </w:r>
    </w:p>
    <w:p w14:paraId="5D048EDE"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10. Conclusion</w:t>
      </w:r>
    </w:p>
    <w:p w14:paraId="12E9D5C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RAGTune makes release judgment executable. It normalizes evidence, applies non-compensatory gates, uses predeclared quality margins where appropriate, preserves negative outcomes, emits machine-readable decisions, validates public claims, and packages the result as a reproducible containerized job. The empirical record demonstrates the property most important to this design: apparent efficiency gains can be refused when quality, held-out, or evidence-validity checks do not survive.</w:t>
      </w:r>
    </w:p>
    <w:p w14:paraId="2FBA37AA"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That boundary is the paper's central proposal: measurement should inform release, but it should not silently become release authority.</w:t>
      </w:r>
    </w:p>
    <w:p w14:paraId="15F6337A"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next priority is to calibrate promotion decisions on larger independent corpora, add blinded human adjudication, execute real evaluator and platform integrations, and measure false refusal alongside false promotion. Until then, the framework's contribution is a disciplined systems boundary between “we measured it” and “we are justified in deploying it.”</w:t>
      </w:r>
    </w:p>
    <w:p w14:paraId="21218412"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rPr>
        <w:br w:type="page"/>
      </w:r>
    </w:p>
    <w:p w14:paraId="1DD47B96"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Appendix A. Decision and Evidence Taxonomy</w:t>
      </w:r>
    </w:p>
    <w:p w14:paraId="7B95E32F" w14:textId="77777777" w:rsidR="00A16D83" w:rsidRPr="002A2802" w:rsidRDefault="0034031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RAGTune's evidence taxonomy is deliberately asymmetric: stronger evidence may support a narrower claim, but weaker evidence cannot be relabeled upward. The categories below define the maximum defensible statement associated with each run type.</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872"/>
        <w:gridCol w:w="2952"/>
        <w:gridCol w:w="2664"/>
        <w:gridCol w:w="2592"/>
      </w:tblGrid>
      <w:tr w:rsidR="00A16D83" w:rsidRPr="002A2802" w14:paraId="7A63A808" w14:textId="77777777">
        <w:trPr>
          <w:tblHeader/>
          <w:jc w:val="center"/>
        </w:trPr>
        <w:tc>
          <w:tcPr>
            <w:tcW w:w="1872" w:type="dxa"/>
            <w:shd w:val="clear" w:color="auto" w:fill="DCE8EF"/>
            <w:tcMar>
              <w:top w:w="70" w:type="dxa"/>
              <w:left w:w="90" w:type="dxa"/>
              <w:bottom w:w="70" w:type="dxa"/>
              <w:right w:w="90" w:type="dxa"/>
            </w:tcMar>
            <w:vAlign w:val="center"/>
          </w:tcPr>
          <w:p w14:paraId="40397D0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Evidence class</w:t>
            </w:r>
          </w:p>
        </w:tc>
        <w:tc>
          <w:tcPr>
            <w:tcW w:w="2952" w:type="dxa"/>
            <w:shd w:val="clear" w:color="auto" w:fill="DCE8EF"/>
            <w:tcMar>
              <w:top w:w="70" w:type="dxa"/>
              <w:left w:w="90" w:type="dxa"/>
              <w:bottom w:w="70" w:type="dxa"/>
              <w:right w:w="90" w:type="dxa"/>
            </w:tcMar>
            <w:vAlign w:val="center"/>
          </w:tcPr>
          <w:p w14:paraId="787E7897"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What it establishes</w:t>
            </w:r>
          </w:p>
        </w:tc>
        <w:tc>
          <w:tcPr>
            <w:tcW w:w="2664" w:type="dxa"/>
            <w:shd w:val="clear" w:color="auto" w:fill="DCE8EF"/>
            <w:tcMar>
              <w:top w:w="70" w:type="dxa"/>
              <w:left w:w="90" w:type="dxa"/>
              <w:bottom w:w="70" w:type="dxa"/>
              <w:right w:w="90" w:type="dxa"/>
            </w:tcMar>
            <w:vAlign w:val="center"/>
          </w:tcPr>
          <w:p w14:paraId="26E52D25"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Permitted claim example</w:t>
            </w:r>
          </w:p>
        </w:tc>
        <w:tc>
          <w:tcPr>
            <w:tcW w:w="2592" w:type="dxa"/>
            <w:shd w:val="clear" w:color="auto" w:fill="DCE8EF"/>
            <w:tcMar>
              <w:top w:w="70" w:type="dxa"/>
              <w:left w:w="90" w:type="dxa"/>
              <w:bottom w:w="70" w:type="dxa"/>
              <w:right w:w="90" w:type="dxa"/>
            </w:tcMar>
            <w:vAlign w:val="center"/>
          </w:tcPr>
          <w:p w14:paraId="4101BAAF"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Not permitted</w:t>
            </w:r>
          </w:p>
        </w:tc>
      </w:tr>
      <w:tr w:rsidR="00A16D83" w:rsidRPr="002A2802" w14:paraId="1A696611" w14:textId="77777777">
        <w:trPr>
          <w:jc w:val="center"/>
        </w:trPr>
        <w:tc>
          <w:tcPr>
            <w:tcW w:w="1872" w:type="dxa"/>
            <w:tcMar>
              <w:top w:w="70" w:type="dxa"/>
              <w:left w:w="90" w:type="dxa"/>
              <w:bottom w:w="70" w:type="dxa"/>
              <w:right w:w="90" w:type="dxa"/>
            </w:tcMar>
            <w:vAlign w:val="center"/>
          </w:tcPr>
          <w:p w14:paraId="5C3240A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Fixture / smoke</w:t>
            </w:r>
          </w:p>
        </w:tc>
        <w:tc>
          <w:tcPr>
            <w:tcW w:w="2952" w:type="dxa"/>
            <w:tcMar>
              <w:top w:w="70" w:type="dxa"/>
              <w:left w:w="90" w:type="dxa"/>
              <w:bottom w:w="70" w:type="dxa"/>
              <w:right w:w="90" w:type="dxa"/>
            </w:tcMar>
            <w:vAlign w:val="center"/>
          </w:tcPr>
          <w:p w14:paraId="0EE7295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Code path, schema, and refusal behavior execute</w:t>
            </w:r>
          </w:p>
        </w:tc>
        <w:tc>
          <w:tcPr>
            <w:tcW w:w="2664" w:type="dxa"/>
            <w:tcMar>
              <w:top w:w="70" w:type="dxa"/>
              <w:left w:w="90" w:type="dxa"/>
              <w:bottom w:w="70" w:type="dxa"/>
              <w:right w:w="90" w:type="dxa"/>
            </w:tcMar>
            <w:vAlign w:val="center"/>
          </w:tcPr>
          <w:p w14:paraId="552A1DA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Harness runs and artifacts validate.</w:t>
            </w:r>
          </w:p>
        </w:tc>
        <w:tc>
          <w:tcPr>
            <w:tcW w:w="2592" w:type="dxa"/>
            <w:tcMar>
              <w:top w:w="70" w:type="dxa"/>
              <w:left w:w="90" w:type="dxa"/>
              <w:bottom w:w="70" w:type="dxa"/>
              <w:right w:w="90" w:type="dxa"/>
            </w:tcMar>
            <w:vAlign w:val="center"/>
          </w:tcPr>
          <w:p w14:paraId="4BBFDC0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Benchmark or quality superiority</w:t>
            </w:r>
          </w:p>
        </w:tc>
      </w:tr>
      <w:tr w:rsidR="00A16D83" w:rsidRPr="002A2802" w14:paraId="16D7D254" w14:textId="77777777">
        <w:trPr>
          <w:jc w:val="center"/>
        </w:trPr>
        <w:tc>
          <w:tcPr>
            <w:tcW w:w="1872" w:type="dxa"/>
            <w:tcMar>
              <w:top w:w="70" w:type="dxa"/>
              <w:left w:w="90" w:type="dxa"/>
              <w:bottom w:w="70" w:type="dxa"/>
              <w:right w:w="90" w:type="dxa"/>
            </w:tcMar>
            <w:vAlign w:val="center"/>
          </w:tcPr>
          <w:p w14:paraId="587D6C5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Development</w:t>
            </w:r>
          </w:p>
        </w:tc>
        <w:tc>
          <w:tcPr>
            <w:tcW w:w="2952" w:type="dxa"/>
            <w:tcMar>
              <w:top w:w="70" w:type="dxa"/>
              <w:left w:w="90" w:type="dxa"/>
              <w:bottom w:w="70" w:type="dxa"/>
              <w:right w:w="90" w:type="dxa"/>
            </w:tcMar>
            <w:vAlign w:val="center"/>
          </w:tcPr>
          <w:p w14:paraId="5EB35C5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Candidate behavior on nonsealed data</w:t>
            </w:r>
          </w:p>
        </w:tc>
        <w:tc>
          <w:tcPr>
            <w:tcW w:w="2664" w:type="dxa"/>
            <w:tcMar>
              <w:top w:w="70" w:type="dxa"/>
              <w:left w:w="90" w:type="dxa"/>
              <w:bottom w:w="70" w:type="dxa"/>
              <w:right w:w="90" w:type="dxa"/>
            </w:tcMar>
            <w:vAlign w:val="center"/>
          </w:tcPr>
          <w:p w14:paraId="21E9672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Promising development signal.</w:t>
            </w:r>
          </w:p>
        </w:tc>
        <w:tc>
          <w:tcPr>
            <w:tcW w:w="2592" w:type="dxa"/>
            <w:tcMar>
              <w:top w:w="70" w:type="dxa"/>
              <w:left w:w="90" w:type="dxa"/>
              <w:bottom w:w="70" w:type="dxa"/>
              <w:right w:w="90" w:type="dxa"/>
            </w:tcMar>
            <w:vAlign w:val="center"/>
          </w:tcPr>
          <w:p w14:paraId="1227AB0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Confirmatory or production claim</w:t>
            </w:r>
          </w:p>
        </w:tc>
      </w:tr>
      <w:tr w:rsidR="00A16D83" w:rsidRPr="002A2802" w14:paraId="68214C07" w14:textId="77777777">
        <w:trPr>
          <w:jc w:val="center"/>
        </w:trPr>
        <w:tc>
          <w:tcPr>
            <w:tcW w:w="1872" w:type="dxa"/>
            <w:tcMar>
              <w:top w:w="70" w:type="dxa"/>
              <w:left w:w="90" w:type="dxa"/>
              <w:bottom w:w="70" w:type="dxa"/>
              <w:right w:w="90" w:type="dxa"/>
            </w:tcMar>
            <w:vAlign w:val="center"/>
          </w:tcPr>
          <w:p w14:paraId="70ACA44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confirmatory</w:t>
            </w:r>
          </w:p>
        </w:tc>
        <w:tc>
          <w:tcPr>
            <w:tcW w:w="2952" w:type="dxa"/>
            <w:tcMar>
              <w:top w:w="70" w:type="dxa"/>
              <w:left w:w="90" w:type="dxa"/>
              <w:bottom w:w="70" w:type="dxa"/>
              <w:right w:w="90" w:type="dxa"/>
            </w:tcMar>
            <w:vAlign w:val="center"/>
          </w:tcPr>
          <w:p w14:paraId="2A260CE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Held-out result under frozen configuration</w:t>
            </w:r>
          </w:p>
        </w:tc>
        <w:tc>
          <w:tcPr>
            <w:tcW w:w="2664" w:type="dxa"/>
            <w:tcMar>
              <w:top w:w="70" w:type="dxa"/>
              <w:left w:w="90" w:type="dxa"/>
              <w:bottom w:w="70" w:type="dxa"/>
              <w:right w:w="90" w:type="dxa"/>
            </w:tcMar>
            <w:vAlign w:val="center"/>
          </w:tcPr>
          <w:p w14:paraId="10C907A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Bounded external signal on this corpus.</w:t>
            </w:r>
          </w:p>
        </w:tc>
        <w:tc>
          <w:tcPr>
            <w:tcW w:w="2592" w:type="dxa"/>
            <w:tcMar>
              <w:top w:w="70" w:type="dxa"/>
              <w:left w:w="90" w:type="dxa"/>
              <w:bottom w:w="70" w:type="dxa"/>
              <w:right w:w="90" w:type="dxa"/>
            </w:tcMar>
            <w:vAlign w:val="center"/>
          </w:tcPr>
          <w:p w14:paraId="0B376B7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Universal generalization</w:t>
            </w:r>
          </w:p>
        </w:tc>
      </w:tr>
      <w:tr w:rsidR="00A16D83" w:rsidRPr="002A2802" w14:paraId="430B67DD" w14:textId="77777777">
        <w:trPr>
          <w:jc w:val="center"/>
        </w:trPr>
        <w:tc>
          <w:tcPr>
            <w:tcW w:w="1872" w:type="dxa"/>
            <w:tcMar>
              <w:top w:w="70" w:type="dxa"/>
              <w:left w:w="90" w:type="dxa"/>
              <w:bottom w:w="70" w:type="dxa"/>
              <w:right w:w="90" w:type="dxa"/>
            </w:tcMar>
            <w:vAlign w:val="center"/>
          </w:tcPr>
          <w:p w14:paraId="606E860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Frozen-observation derived</w:t>
            </w:r>
          </w:p>
        </w:tc>
        <w:tc>
          <w:tcPr>
            <w:tcW w:w="2952" w:type="dxa"/>
            <w:tcMar>
              <w:top w:w="70" w:type="dxa"/>
              <w:left w:w="90" w:type="dxa"/>
              <w:bottom w:w="70" w:type="dxa"/>
              <w:right w:w="90" w:type="dxa"/>
            </w:tcMar>
            <w:vAlign w:val="center"/>
          </w:tcPr>
          <w:p w14:paraId="0B1994F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Ablation and counterfactual analysis</w:t>
            </w:r>
          </w:p>
        </w:tc>
        <w:tc>
          <w:tcPr>
            <w:tcW w:w="2664" w:type="dxa"/>
            <w:tcMar>
              <w:top w:w="70" w:type="dxa"/>
              <w:left w:w="90" w:type="dxa"/>
              <w:bottom w:w="70" w:type="dxa"/>
              <w:right w:w="90" w:type="dxa"/>
            </w:tcMar>
            <w:vAlign w:val="center"/>
          </w:tcPr>
          <w:p w14:paraId="6F738A7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Derived operational comparison.</w:t>
            </w:r>
          </w:p>
        </w:tc>
        <w:tc>
          <w:tcPr>
            <w:tcW w:w="2592" w:type="dxa"/>
            <w:tcMar>
              <w:top w:w="70" w:type="dxa"/>
              <w:left w:w="90" w:type="dxa"/>
              <w:bottom w:w="70" w:type="dxa"/>
              <w:right w:w="90" w:type="dxa"/>
            </w:tcMar>
            <w:vAlign w:val="center"/>
          </w:tcPr>
          <w:p w14:paraId="3E93B17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Independent replication</w:t>
            </w:r>
          </w:p>
        </w:tc>
      </w:tr>
      <w:tr w:rsidR="00A16D83" w:rsidRPr="002A2802" w14:paraId="3CAC94BB" w14:textId="77777777">
        <w:trPr>
          <w:jc w:val="center"/>
        </w:trPr>
        <w:tc>
          <w:tcPr>
            <w:tcW w:w="1872" w:type="dxa"/>
            <w:tcMar>
              <w:top w:w="70" w:type="dxa"/>
              <w:left w:w="90" w:type="dxa"/>
              <w:bottom w:w="70" w:type="dxa"/>
              <w:right w:w="90" w:type="dxa"/>
            </w:tcMar>
            <w:vAlign w:val="center"/>
          </w:tcPr>
          <w:p w14:paraId="279C500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Generative local</w:t>
            </w:r>
          </w:p>
        </w:tc>
        <w:tc>
          <w:tcPr>
            <w:tcW w:w="2952" w:type="dxa"/>
            <w:tcMar>
              <w:top w:w="70" w:type="dxa"/>
              <w:left w:w="90" w:type="dxa"/>
              <w:bottom w:w="70" w:type="dxa"/>
              <w:right w:w="90" w:type="dxa"/>
            </w:tcMar>
            <w:vAlign w:val="center"/>
          </w:tcPr>
          <w:p w14:paraId="32B6954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Pinned generator and generated-answer scoring</w:t>
            </w:r>
          </w:p>
        </w:tc>
        <w:tc>
          <w:tcPr>
            <w:tcW w:w="2664" w:type="dxa"/>
            <w:tcMar>
              <w:top w:w="70" w:type="dxa"/>
              <w:left w:w="90" w:type="dxa"/>
              <w:bottom w:w="70" w:type="dxa"/>
              <w:right w:w="90" w:type="dxa"/>
            </w:tcMar>
            <w:vAlign w:val="center"/>
          </w:tcPr>
          <w:p w14:paraId="218986E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Bounded local generative validation.</w:t>
            </w:r>
          </w:p>
        </w:tc>
        <w:tc>
          <w:tcPr>
            <w:tcW w:w="2592" w:type="dxa"/>
            <w:tcMar>
              <w:top w:w="70" w:type="dxa"/>
              <w:left w:w="90" w:type="dxa"/>
              <w:bottom w:w="70" w:type="dxa"/>
              <w:right w:w="90" w:type="dxa"/>
            </w:tcMar>
            <w:vAlign w:val="center"/>
          </w:tcPr>
          <w:p w14:paraId="3408478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or platform validation</w:t>
            </w:r>
          </w:p>
        </w:tc>
      </w:tr>
      <w:tr w:rsidR="00A16D83" w:rsidRPr="002A2802" w14:paraId="62C51989" w14:textId="77777777">
        <w:trPr>
          <w:jc w:val="center"/>
        </w:trPr>
        <w:tc>
          <w:tcPr>
            <w:tcW w:w="1872" w:type="dxa"/>
            <w:tcMar>
              <w:top w:w="70" w:type="dxa"/>
              <w:left w:w="90" w:type="dxa"/>
              <w:bottom w:w="70" w:type="dxa"/>
              <w:right w:w="90" w:type="dxa"/>
            </w:tcMar>
            <w:vAlign w:val="center"/>
          </w:tcPr>
          <w:p w14:paraId="43D2947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evaluation</w:t>
            </w:r>
          </w:p>
        </w:tc>
        <w:tc>
          <w:tcPr>
            <w:tcW w:w="2952" w:type="dxa"/>
            <w:tcMar>
              <w:top w:w="70" w:type="dxa"/>
              <w:left w:w="90" w:type="dxa"/>
              <w:bottom w:w="70" w:type="dxa"/>
              <w:right w:w="90" w:type="dxa"/>
            </w:tcMar>
            <w:vAlign w:val="center"/>
          </w:tcPr>
          <w:p w14:paraId="00974EF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Completed blinded annotations</w:t>
            </w:r>
          </w:p>
        </w:tc>
        <w:tc>
          <w:tcPr>
            <w:tcW w:w="2664" w:type="dxa"/>
            <w:tcMar>
              <w:top w:w="70" w:type="dxa"/>
              <w:left w:w="90" w:type="dxa"/>
              <w:bottom w:w="70" w:type="dxa"/>
              <w:right w:w="90" w:type="dxa"/>
            </w:tcMar>
            <w:vAlign w:val="center"/>
          </w:tcPr>
          <w:p w14:paraId="47BDEFA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Human-adjudicated result.</w:t>
            </w:r>
          </w:p>
        </w:tc>
        <w:tc>
          <w:tcPr>
            <w:tcW w:w="2592" w:type="dxa"/>
            <w:tcMar>
              <w:top w:w="70" w:type="dxa"/>
              <w:left w:w="90" w:type="dxa"/>
              <w:bottom w:w="70" w:type="dxa"/>
              <w:right w:w="90" w:type="dxa"/>
            </w:tcMar>
            <w:vAlign w:val="center"/>
          </w:tcPr>
          <w:p w14:paraId="5C9F351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 outcome without operations</w:t>
            </w:r>
          </w:p>
        </w:tc>
      </w:tr>
      <w:tr w:rsidR="00A16D83" w:rsidRPr="002A2802" w14:paraId="032EE810" w14:textId="77777777">
        <w:trPr>
          <w:jc w:val="center"/>
        </w:trPr>
        <w:tc>
          <w:tcPr>
            <w:tcW w:w="1872" w:type="dxa"/>
            <w:tcMar>
              <w:top w:w="70" w:type="dxa"/>
              <w:left w:w="90" w:type="dxa"/>
              <w:bottom w:w="70" w:type="dxa"/>
              <w:right w:w="90" w:type="dxa"/>
            </w:tcMar>
            <w:vAlign w:val="center"/>
          </w:tcPr>
          <w:p w14:paraId="3E71769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Platform-native</w:t>
            </w:r>
          </w:p>
        </w:tc>
        <w:tc>
          <w:tcPr>
            <w:tcW w:w="2952" w:type="dxa"/>
            <w:tcMar>
              <w:top w:w="70" w:type="dxa"/>
              <w:left w:w="90" w:type="dxa"/>
              <w:bottom w:w="70" w:type="dxa"/>
              <w:right w:w="90" w:type="dxa"/>
            </w:tcMar>
            <w:vAlign w:val="center"/>
          </w:tcPr>
          <w:p w14:paraId="21E0105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Actual platform execution and run records</w:t>
            </w:r>
          </w:p>
        </w:tc>
        <w:tc>
          <w:tcPr>
            <w:tcW w:w="2664" w:type="dxa"/>
            <w:tcMar>
              <w:top w:w="70" w:type="dxa"/>
              <w:left w:w="90" w:type="dxa"/>
              <w:bottom w:w="70" w:type="dxa"/>
              <w:right w:w="90" w:type="dxa"/>
            </w:tcMar>
            <w:vAlign w:val="center"/>
          </w:tcPr>
          <w:p w14:paraId="2BDFD95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Platform-executed benchmark.</w:t>
            </w:r>
          </w:p>
        </w:tc>
        <w:tc>
          <w:tcPr>
            <w:tcW w:w="2592" w:type="dxa"/>
            <w:tcMar>
              <w:top w:w="70" w:type="dxa"/>
              <w:left w:w="90" w:type="dxa"/>
              <w:bottom w:w="70" w:type="dxa"/>
              <w:right w:w="90" w:type="dxa"/>
            </w:tcMar>
            <w:vAlign w:val="center"/>
          </w:tcPr>
          <w:p w14:paraId="45A26CA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Vendor certification</w:t>
            </w:r>
          </w:p>
        </w:tc>
      </w:tr>
      <w:tr w:rsidR="00A16D83" w:rsidRPr="002A2802" w14:paraId="1216DB49" w14:textId="77777777">
        <w:trPr>
          <w:jc w:val="center"/>
        </w:trPr>
        <w:tc>
          <w:tcPr>
            <w:tcW w:w="1872" w:type="dxa"/>
            <w:tcMar>
              <w:top w:w="70" w:type="dxa"/>
              <w:left w:w="90" w:type="dxa"/>
              <w:bottom w:w="70" w:type="dxa"/>
              <w:right w:w="90" w:type="dxa"/>
            </w:tcMar>
            <w:vAlign w:val="center"/>
          </w:tcPr>
          <w:p w14:paraId="3989536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w:t>
            </w:r>
          </w:p>
        </w:tc>
        <w:tc>
          <w:tcPr>
            <w:tcW w:w="2952" w:type="dxa"/>
            <w:tcMar>
              <w:top w:w="70" w:type="dxa"/>
              <w:left w:w="90" w:type="dxa"/>
              <w:bottom w:w="70" w:type="dxa"/>
              <w:right w:w="90" w:type="dxa"/>
            </w:tcMar>
            <w:vAlign w:val="center"/>
          </w:tcPr>
          <w:p w14:paraId="64525D7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Monitored operational outcomes</w:t>
            </w:r>
          </w:p>
        </w:tc>
        <w:tc>
          <w:tcPr>
            <w:tcW w:w="2664" w:type="dxa"/>
            <w:tcMar>
              <w:top w:w="70" w:type="dxa"/>
              <w:left w:w="90" w:type="dxa"/>
              <w:bottom w:w="70" w:type="dxa"/>
              <w:right w:w="90" w:type="dxa"/>
            </w:tcMar>
            <w:vAlign w:val="center"/>
          </w:tcPr>
          <w:p w14:paraId="46D9233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 evidence in declared environment.</w:t>
            </w:r>
          </w:p>
        </w:tc>
        <w:tc>
          <w:tcPr>
            <w:tcW w:w="2592" w:type="dxa"/>
            <w:tcMar>
              <w:top w:w="70" w:type="dxa"/>
              <w:left w:w="90" w:type="dxa"/>
              <w:bottom w:w="70" w:type="dxa"/>
              <w:right w:w="90" w:type="dxa"/>
            </w:tcMar>
            <w:vAlign w:val="center"/>
          </w:tcPr>
          <w:p w14:paraId="132874D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General safety guarantee</w:t>
            </w:r>
          </w:p>
        </w:tc>
      </w:tr>
    </w:tbl>
    <w:p w14:paraId="11E73313"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A1. Evidence classes and claim ceilings.</w:t>
      </w:r>
    </w:p>
    <w:p w14:paraId="6D9F122D"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Appendix B. Machine-Readable Promotion Decision</w:t>
      </w:r>
    </w:p>
    <w:p w14:paraId="0A8943FC" w14:textId="77777777" w:rsidR="00A16D83" w:rsidRPr="002A2802" w:rsidRDefault="0034031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The promotion_decision.json schema separates scientific outcome from runtime success. A job may execute correctly and still return BLOCK or INCONCLUSIVE. The record carries the evidence needed for review, CI/CD, change management, or artifact storage.</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584"/>
        <w:gridCol w:w="3744"/>
        <w:gridCol w:w="4752"/>
      </w:tblGrid>
      <w:tr w:rsidR="00A16D83" w:rsidRPr="002A2802" w14:paraId="7265F34D" w14:textId="77777777">
        <w:trPr>
          <w:tblHeader/>
          <w:jc w:val="center"/>
        </w:trPr>
        <w:tc>
          <w:tcPr>
            <w:tcW w:w="1584" w:type="dxa"/>
            <w:shd w:val="clear" w:color="auto" w:fill="DCE8EF"/>
            <w:tcMar>
              <w:top w:w="70" w:type="dxa"/>
              <w:left w:w="90" w:type="dxa"/>
              <w:bottom w:w="70" w:type="dxa"/>
              <w:right w:w="90" w:type="dxa"/>
            </w:tcMar>
            <w:vAlign w:val="center"/>
          </w:tcPr>
          <w:p w14:paraId="4F01C2C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Field group</w:t>
            </w:r>
          </w:p>
        </w:tc>
        <w:tc>
          <w:tcPr>
            <w:tcW w:w="3744" w:type="dxa"/>
            <w:shd w:val="clear" w:color="auto" w:fill="DCE8EF"/>
            <w:tcMar>
              <w:top w:w="70" w:type="dxa"/>
              <w:left w:w="90" w:type="dxa"/>
              <w:bottom w:w="70" w:type="dxa"/>
              <w:right w:w="90" w:type="dxa"/>
            </w:tcMar>
            <w:vAlign w:val="center"/>
          </w:tcPr>
          <w:p w14:paraId="119A6141"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Representative fields</w:t>
            </w:r>
          </w:p>
        </w:tc>
        <w:tc>
          <w:tcPr>
            <w:tcW w:w="4752" w:type="dxa"/>
            <w:shd w:val="clear" w:color="auto" w:fill="DCE8EF"/>
            <w:tcMar>
              <w:top w:w="70" w:type="dxa"/>
              <w:left w:w="90" w:type="dxa"/>
              <w:bottom w:w="70" w:type="dxa"/>
              <w:right w:w="90" w:type="dxa"/>
            </w:tcMar>
            <w:vAlign w:val="center"/>
          </w:tcPr>
          <w:p w14:paraId="6A91B1FC"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Purpose</w:t>
            </w:r>
          </w:p>
        </w:tc>
      </w:tr>
      <w:tr w:rsidR="00A16D83" w:rsidRPr="002A2802" w14:paraId="4FC10553" w14:textId="77777777">
        <w:trPr>
          <w:jc w:val="center"/>
        </w:trPr>
        <w:tc>
          <w:tcPr>
            <w:tcW w:w="1584" w:type="dxa"/>
            <w:tcMar>
              <w:top w:w="70" w:type="dxa"/>
              <w:left w:w="90" w:type="dxa"/>
              <w:bottom w:w="70" w:type="dxa"/>
              <w:right w:w="90" w:type="dxa"/>
            </w:tcMar>
            <w:vAlign w:val="center"/>
          </w:tcPr>
          <w:p w14:paraId="4C33BA3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Identity</w:t>
            </w:r>
          </w:p>
        </w:tc>
        <w:tc>
          <w:tcPr>
            <w:tcW w:w="3744" w:type="dxa"/>
            <w:tcMar>
              <w:top w:w="70" w:type="dxa"/>
              <w:left w:w="90" w:type="dxa"/>
              <w:bottom w:w="70" w:type="dxa"/>
              <w:right w:w="90" w:type="dxa"/>
            </w:tcMar>
            <w:vAlign w:val="center"/>
          </w:tcPr>
          <w:p w14:paraId="777CE4A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run_id, suite, timestamp_utc, schema_version</w:t>
            </w:r>
          </w:p>
        </w:tc>
        <w:tc>
          <w:tcPr>
            <w:tcW w:w="4752" w:type="dxa"/>
            <w:tcMar>
              <w:top w:w="70" w:type="dxa"/>
              <w:left w:w="90" w:type="dxa"/>
              <w:bottom w:w="70" w:type="dxa"/>
              <w:right w:w="90" w:type="dxa"/>
            </w:tcMar>
            <w:vAlign w:val="center"/>
          </w:tcPr>
          <w:p w14:paraId="0D5D4F8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Trace the decision to code, config, and evidence.</w:t>
            </w:r>
          </w:p>
        </w:tc>
      </w:tr>
      <w:tr w:rsidR="00A16D83" w:rsidRPr="002A2802" w14:paraId="259546C9" w14:textId="77777777">
        <w:trPr>
          <w:jc w:val="center"/>
        </w:trPr>
        <w:tc>
          <w:tcPr>
            <w:tcW w:w="1584" w:type="dxa"/>
            <w:tcMar>
              <w:top w:w="70" w:type="dxa"/>
              <w:left w:w="90" w:type="dxa"/>
              <w:bottom w:w="70" w:type="dxa"/>
              <w:right w:w="90" w:type="dxa"/>
            </w:tcMar>
            <w:vAlign w:val="center"/>
          </w:tcPr>
          <w:p w14:paraId="3AF610B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Decision</w:t>
            </w:r>
          </w:p>
        </w:tc>
        <w:tc>
          <w:tcPr>
            <w:tcW w:w="3744" w:type="dxa"/>
            <w:tcMar>
              <w:top w:w="70" w:type="dxa"/>
              <w:left w:w="90" w:type="dxa"/>
              <w:bottom w:w="70" w:type="dxa"/>
              <w:right w:w="90" w:type="dxa"/>
            </w:tcMar>
            <w:vAlign w:val="center"/>
          </w:tcPr>
          <w:p w14:paraId="0CEC85A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decision, result_class, decision_reason</w:t>
            </w:r>
          </w:p>
        </w:tc>
        <w:tc>
          <w:tcPr>
            <w:tcW w:w="4752" w:type="dxa"/>
            <w:tcMar>
              <w:top w:w="70" w:type="dxa"/>
              <w:left w:w="90" w:type="dxa"/>
              <w:bottom w:w="70" w:type="dxa"/>
              <w:right w:w="90" w:type="dxa"/>
            </w:tcMar>
            <w:vAlign w:val="center"/>
          </w:tcPr>
          <w:p w14:paraId="68D0994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Separate runtime status from governance outcome.</w:t>
            </w:r>
          </w:p>
        </w:tc>
      </w:tr>
      <w:tr w:rsidR="00A16D83" w:rsidRPr="002A2802" w14:paraId="24141BA6" w14:textId="77777777">
        <w:trPr>
          <w:jc w:val="center"/>
        </w:trPr>
        <w:tc>
          <w:tcPr>
            <w:tcW w:w="1584" w:type="dxa"/>
            <w:tcMar>
              <w:top w:w="70" w:type="dxa"/>
              <w:left w:w="90" w:type="dxa"/>
              <w:bottom w:w="70" w:type="dxa"/>
              <w:right w:w="90" w:type="dxa"/>
            </w:tcMar>
            <w:vAlign w:val="center"/>
          </w:tcPr>
          <w:p w14:paraId="6AC9488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Selection</w:t>
            </w:r>
          </w:p>
        </w:tc>
        <w:tc>
          <w:tcPr>
            <w:tcW w:w="3744" w:type="dxa"/>
            <w:tcMar>
              <w:top w:w="70" w:type="dxa"/>
              <w:left w:w="90" w:type="dxa"/>
              <w:bottom w:w="70" w:type="dxa"/>
              <w:right w:w="90" w:type="dxa"/>
            </w:tcMar>
            <w:vAlign w:val="center"/>
          </w:tcPr>
          <w:p w14:paraId="46EFABF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selected_policy, baseline_policy</w:t>
            </w:r>
          </w:p>
        </w:tc>
        <w:tc>
          <w:tcPr>
            <w:tcW w:w="4752" w:type="dxa"/>
            <w:tcMar>
              <w:top w:w="70" w:type="dxa"/>
              <w:left w:w="90" w:type="dxa"/>
              <w:bottom w:w="70" w:type="dxa"/>
              <w:right w:w="90" w:type="dxa"/>
            </w:tcMar>
            <w:vAlign w:val="center"/>
          </w:tcPr>
          <w:p w14:paraId="73A535F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Record what was compared and what, if anything, advances.</w:t>
            </w:r>
          </w:p>
        </w:tc>
      </w:tr>
      <w:tr w:rsidR="00A16D83" w:rsidRPr="002A2802" w14:paraId="75CD3280" w14:textId="77777777">
        <w:trPr>
          <w:jc w:val="center"/>
        </w:trPr>
        <w:tc>
          <w:tcPr>
            <w:tcW w:w="1584" w:type="dxa"/>
            <w:tcMar>
              <w:top w:w="70" w:type="dxa"/>
              <w:left w:w="90" w:type="dxa"/>
              <w:bottom w:w="70" w:type="dxa"/>
              <w:right w:w="90" w:type="dxa"/>
            </w:tcMar>
            <w:vAlign w:val="center"/>
          </w:tcPr>
          <w:p w14:paraId="32757DC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Effects</w:t>
            </w:r>
          </w:p>
        </w:tc>
        <w:tc>
          <w:tcPr>
            <w:tcW w:w="3744" w:type="dxa"/>
            <w:tcMar>
              <w:top w:w="70" w:type="dxa"/>
              <w:left w:w="90" w:type="dxa"/>
              <w:bottom w:w="70" w:type="dxa"/>
              <w:right w:w="90" w:type="dxa"/>
            </w:tcMar>
            <w:vAlign w:val="center"/>
          </w:tcPr>
          <w:p w14:paraId="606635C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quality_delta, cost_delta, latency_delta, evidence_support_delta</w:t>
            </w:r>
          </w:p>
        </w:tc>
        <w:tc>
          <w:tcPr>
            <w:tcW w:w="4752" w:type="dxa"/>
            <w:tcMar>
              <w:top w:w="70" w:type="dxa"/>
              <w:left w:w="90" w:type="dxa"/>
              <w:bottom w:w="70" w:type="dxa"/>
              <w:right w:w="90" w:type="dxa"/>
            </w:tcMar>
            <w:vAlign w:val="center"/>
          </w:tcPr>
          <w:p w14:paraId="4C29AC8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Expose the empirical basis.</w:t>
            </w:r>
          </w:p>
        </w:tc>
      </w:tr>
      <w:tr w:rsidR="00A16D83" w:rsidRPr="002A2802" w14:paraId="1F5E9606" w14:textId="77777777">
        <w:trPr>
          <w:jc w:val="center"/>
        </w:trPr>
        <w:tc>
          <w:tcPr>
            <w:tcW w:w="1584" w:type="dxa"/>
            <w:tcMar>
              <w:top w:w="70" w:type="dxa"/>
              <w:left w:w="90" w:type="dxa"/>
              <w:bottom w:w="70" w:type="dxa"/>
              <w:right w:w="90" w:type="dxa"/>
            </w:tcMar>
            <w:vAlign w:val="center"/>
          </w:tcPr>
          <w:p w14:paraId="5C1748D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Risk</w:t>
            </w:r>
          </w:p>
        </w:tc>
        <w:tc>
          <w:tcPr>
            <w:tcW w:w="3744" w:type="dxa"/>
            <w:tcMar>
              <w:top w:w="70" w:type="dxa"/>
              <w:left w:w="90" w:type="dxa"/>
              <w:bottom w:w="70" w:type="dxa"/>
              <w:right w:w="90" w:type="dxa"/>
            </w:tcMar>
            <w:vAlign w:val="center"/>
          </w:tcPr>
          <w:p w14:paraId="04515E8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risk_flags, claim_boundaries, validator_status</w:t>
            </w:r>
          </w:p>
        </w:tc>
        <w:tc>
          <w:tcPr>
            <w:tcW w:w="4752" w:type="dxa"/>
            <w:tcMar>
              <w:top w:w="70" w:type="dxa"/>
              <w:left w:w="90" w:type="dxa"/>
              <w:bottom w:w="70" w:type="dxa"/>
              <w:right w:w="90" w:type="dxa"/>
            </w:tcMar>
            <w:vAlign w:val="center"/>
          </w:tcPr>
          <w:p w14:paraId="40A5454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Prevent operational gains from overriding disqualifiers.</w:t>
            </w:r>
          </w:p>
        </w:tc>
      </w:tr>
      <w:tr w:rsidR="00A16D83" w:rsidRPr="002A2802" w14:paraId="1C538CA1" w14:textId="77777777">
        <w:trPr>
          <w:jc w:val="center"/>
        </w:trPr>
        <w:tc>
          <w:tcPr>
            <w:tcW w:w="1584" w:type="dxa"/>
            <w:tcMar>
              <w:top w:w="70" w:type="dxa"/>
              <w:left w:w="90" w:type="dxa"/>
              <w:bottom w:w="70" w:type="dxa"/>
              <w:right w:w="90" w:type="dxa"/>
            </w:tcMar>
            <w:vAlign w:val="center"/>
          </w:tcPr>
          <w:p w14:paraId="0AAE1BA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Artifacts</w:t>
            </w:r>
          </w:p>
        </w:tc>
        <w:tc>
          <w:tcPr>
            <w:tcW w:w="3744" w:type="dxa"/>
            <w:tcMar>
              <w:top w:w="70" w:type="dxa"/>
              <w:left w:w="90" w:type="dxa"/>
              <w:bottom w:w="70" w:type="dxa"/>
              <w:right w:w="90" w:type="dxa"/>
            </w:tcMar>
            <w:vAlign w:val="center"/>
          </w:tcPr>
          <w:p w14:paraId="5466B2D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artifact_uris, manifest hashes</w:t>
            </w:r>
          </w:p>
        </w:tc>
        <w:tc>
          <w:tcPr>
            <w:tcW w:w="4752" w:type="dxa"/>
            <w:tcMar>
              <w:top w:w="70" w:type="dxa"/>
              <w:left w:w="90" w:type="dxa"/>
              <w:bottom w:w="70" w:type="dxa"/>
              <w:right w:w="90" w:type="dxa"/>
            </w:tcMar>
            <w:vAlign w:val="center"/>
          </w:tcPr>
          <w:p w14:paraId="02E813F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Support independent review and tamper detection.</w:t>
            </w:r>
          </w:p>
        </w:tc>
      </w:tr>
    </w:tbl>
    <w:p w14:paraId="4C46CD6A"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B1. Promotion-decision schema groups.</w:t>
      </w:r>
    </w:p>
    <w:p w14:paraId="53432C94"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Appendix C. Current Claim Status</w:t>
      </w:r>
    </w:p>
    <w:p w14:paraId="53121822" w14:textId="77777777" w:rsidR="00A16D83" w:rsidRPr="002A2802" w:rsidRDefault="0034031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The release candidate supports a bounded governance-and-systems claim. It does not support optimizer superiority, stable generative efficiency gains, human validation, official platform benchmarking, production readiness, or hallucination elimination.</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2520"/>
        <w:gridCol w:w="2088"/>
        <w:gridCol w:w="5472"/>
      </w:tblGrid>
      <w:tr w:rsidR="00A16D83" w:rsidRPr="002A2802" w14:paraId="12860038" w14:textId="77777777">
        <w:trPr>
          <w:tblHeader/>
          <w:jc w:val="center"/>
        </w:trPr>
        <w:tc>
          <w:tcPr>
            <w:tcW w:w="2520" w:type="dxa"/>
            <w:shd w:val="clear" w:color="auto" w:fill="DCE8EF"/>
            <w:tcMar>
              <w:top w:w="70" w:type="dxa"/>
              <w:left w:w="90" w:type="dxa"/>
              <w:bottom w:w="70" w:type="dxa"/>
              <w:right w:w="90" w:type="dxa"/>
            </w:tcMar>
            <w:vAlign w:val="center"/>
          </w:tcPr>
          <w:p w14:paraId="7834BF8B"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Claim</w:t>
            </w:r>
          </w:p>
        </w:tc>
        <w:tc>
          <w:tcPr>
            <w:tcW w:w="2088" w:type="dxa"/>
            <w:shd w:val="clear" w:color="auto" w:fill="DCE8EF"/>
            <w:tcMar>
              <w:top w:w="70" w:type="dxa"/>
              <w:left w:w="90" w:type="dxa"/>
              <w:bottom w:w="70" w:type="dxa"/>
              <w:right w:w="90" w:type="dxa"/>
            </w:tcMar>
            <w:vAlign w:val="center"/>
          </w:tcPr>
          <w:p w14:paraId="1AA5269E"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Status at v0.1.0-rc1</w:t>
            </w:r>
          </w:p>
        </w:tc>
        <w:tc>
          <w:tcPr>
            <w:tcW w:w="5472" w:type="dxa"/>
            <w:shd w:val="clear" w:color="auto" w:fill="DCE8EF"/>
            <w:tcMar>
              <w:top w:w="70" w:type="dxa"/>
              <w:left w:w="90" w:type="dxa"/>
              <w:bottom w:w="70" w:type="dxa"/>
              <w:right w:w="90" w:type="dxa"/>
            </w:tcMar>
            <w:vAlign w:val="center"/>
          </w:tcPr>
          <w:p w14:paraId="4CC73D43"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Evidence boundary</w:t>
            </w:r>
          </w:p>
        </w:tc>
      </w:tr>
      <w:tr w:rsidR="00A16D83" w:rsidRPr="002A2802" w14:paraId="4121086B" w14:textId="77777777">
        <w:trPr>
          <w:jc w:val="center"/>
        </w:trPr>
        <w:tc>
          <w:tcPr>
            <w:tcW w:w="2520" w:type="dxa"/>
            <w:tcMar>
              <w:top w:w="70" w:type="dxa"/>
              <w:left w:w="90" w:type="dxa"/>
              <w:bottom w:w="70" w:type="dxa"/>
              <w:right w:w="90" w:type="dxa"/>
            </w:tcMar>
            <w:vAlign w:val="center"/>
          </w:tcPr>
          <w:p w14:paraId="39C325C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Open-source governance engine</w:t>
            </w:r>
          </w:p>
        </w:tc>
        <w:tc>
          <w:tcPr>
            <w:tcW w:w="2088" w:type="dxa"/>
            <w:tcMar>
              <w:top w:w="70" w:type="dxa"/>
              <w:left w:w="90" w:type="dxa"/>
              <w:bottom w:w="70" w:type="dxa"/>
              <w:right w:w="90" w:type="dxa"/>
            </w:tcMar>
            <w:vAlign w:val="center"/>
          </w:tcPr>
          <w:p w14:paraId="0E8C4CE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w:t>
            </w:r>
          </w:p>
        </w:tc>
        <w:tc>
          <w:tcPr>
            <w:tcW w:w="5472" w:type="dxa"/>
            <w:tcMar>
              <w:top w:w="70" w:type="dxa"/>
              <w:left w:w="90" w:type="dxa"/>
              <w:bottom w:w="70" w:type="dxa"/>
              <w:right w:w="90" w:type="dxa"/>
            </w:tcMar>
            <w:vAlign w:val="center"/>
          </w:tcPr>
          <w:p w14:paraId="376F3A6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Fresh clone, CLI, public mini, schemas, tests, Docker job</w:t>
            </w:r>
          </w:p>
        </w:tc>
      </w:tr>
      <w:tr w:rsidR="00A16D83" w:rsidRPr="002A2802" w14:paraId="5FAE9354" w14:textId="77777777">
        <w:trPr>
          <w:jc w:val="center"/>
        </w:trPr>
        <w:tc>
          <w:tcPr>
            <w:tcW w:w="2520" w:type="dxa"/>
            <w:tcMar>
              <w:top w:w="70" w:type="dxa"/>
              <w:left w:w="90" w:type="dxa"/>
              <w:bottom w:w="70" w:type="dxa"/>
              <w:right w:w="90" w:type="dxa"/>
            </w:tcMar>
            <w:vAlign w:val="center"/>
          </w:tcPr>
          <w:p w14:paraId="2B4CB9C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source/retrieval governance signal</w:t>
            </w:r>
          </w:p>
        </w:tc>
        <w:tc>
          <w:tcPr>
            <w:tcW w:w="2088" w:type="dxa"/>
            <w:tcMar>
              <w:top w:w="70" w:type="dxa"/>
              <w:left w:w="90" w:type="dxa"/>
              <w:bottom w:w="70" w:type="dxa"/>
              <w:right w:w="90" w:type="dxa"/>
            </w:tcMar>
            <w:vAlign w:val="center"/>
          </w:tcPr>
          <w:p w14:paraId="397FD70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 with boundaries</w:t>
            </w:r>
          </w:p>
        </w:tc>
        <w:tc>
          <w:tcPr>
            <w:tcW w:w="5472" w:type="dxa"/>
            <w:tcMar>
              <w:top w:w="70" w:type="dxa"/>
              <w:left w:w="90" w:type="dxa"/>
              <w:bottom w:w="70" w:type="dxa"/>
              <w:right w:w="90" w:type="dxa"/>
            </w:tcMar>
            <w:vAlign w:val="center"/>
          </w:tcPr>
          <w:p w14:paraId="7868987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Mock-API result is cost/latency driven and uses a restricted dataset</w:t>
            </w:r>
          </w:p>
        </w:tc>
      </w:tr>
      <w:tr w:rsidR="00A16D83" w:rsidRPr="002A2802" w14:paraId="56F44FCA" w14:textId="77777777">
        <w:trPr>
          <w:jc w:val="center"/>
        </w:trPr>
        <w:tc>
          <w:tcPr>
            <w:tcW w:w="2520" w:type="dxa"/>
            <w:tcMar>
              <w:top w:w="70" w:type="dxa"/>
              <w:left w:w="90" w:type="dxa"/>
              <w:bottom w:w="70" w:type="dxa"/>
              <w:right w:w="90" w:type="dxa"/>
            </w:tcMar>
            <w:vAlign w:val="center"/>
          </w:tcPr>
          <w:p w14:paraId="4756E5E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Selector governance blocks unsafe choices</w:t>
            </w:r>
          </w:p>
        </w:tc>
        <w:tc>
          <w:tcPr>
            <w:tcW w:w="2088" w:type="dxa"/>
            <w:tcMar>
              <w:top w:w="70" w:type="dxa"/>
              <w:left w:w="90" w:type="dxa"/>
              <w:bottom w:w="70" w:type="dxa"/>
              <w:right w:w="90" w:type="dxa"/>
            </w:tcMar>
            <w:vAlign w:val="center"/>
          </w:tcPr>
          <w:p w14:paraId="6BBE36A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 as stress-test evidence</w:t>
            </w:r>
          </w:p>
        </w:tc>
        <w:tc>
          <w:tcPr>
            <w:tcW w:w="5472" w:type="dxa"/>
            <w:tcMar>
              <w:top w:w="70" w:type="dxa"/>
              <w:left w:w="90" w:type="dxa"/>
              <w:bottom w:w="70" w:type="dxa"/>
              <w:right w:w="90" w:type="dxa"/>
            </w:tcMar>
            <w:vAlign w:val="center"/>
          </w:tcPr>
          <w:p w14:paraId="7B43111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Packaged cases; not a population estimate</w:t>
            </w:r>
          </w:p>
        </w:tc>
      </w:tr>
      <w:tr w:rsidR="00A16D83" w:rsidRPr="002A2802" w14:paraId="2CD31F9A" w14:textId="77777777">
        <w:trPr>
          <w:jc w:val="center"/>
        </w:trPr>
        <w:tc>
          <w:tcPr>
            <w:tcW w:w="2520" w:type="dxa"/>
            <w:tcMar>
              <w:top w:w="70" w:type="dxa"/>
              <w:left w:w="90" w:type="dxa"/>
              <w:bottom w:w="70" w:type="dxa"/>
              <w:right w:w="90" w:type="dxa"/>
            </w:tcMar>
            <w:vAlign w:val="center"/>
          </w:tcPr>
          <w:p w14:paraId="75A5D28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RAG Compass superiority</w:t>
            </w:r>
          </w:p>
        </w:tc>
        <w:tc>
          <w:tcPr>
            <w:tcW w:w="2088" w:type="dxa"/>
            <w:tcMar>
              <w:top w:w="70" w:type="dxa"/>
              <w:left w:w="90" w:type="dxa"/>
              <w:bottom w:w="70" w:type="dxa"/>
              <w:right w:w="90" w:type="dxa"/>
            </w:tcMar>
            <w:vAlign w:val="center"/>
          </w:tcPr>
          <w:p w14:paraId="758A25D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4FDB583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Ranks below alternatives in multiple runs</w:t>
            </w:r>
          </w:p>
        </w:tc>
      </w:tr>
      <w:tr w:rsidR="00A16D83" w:rsidRPr="002A2802" w14:paraId="1CC98E25" w14:textId="77777777">
        <w:trPr>
          <w:jc w:val="center"/>
        </w:trPr>
        <w:tc>
          <w:tcPr>
            <w:tcW w:w="2520" w:type="dxa"/>
            <w:tcMar>
              <w:top w:w="70" w:type="dxa"/>
              <w:left w:w="90" w:type="dxa"/>
              <w:bottom w:w="70" w:type="dxa"/>
              <w:right w:w="90" w:type="dxa"/>
            </w:tcMar>
            <w:vAlign w:val="center"/>
          </w:tcPr>
          <w:p w14:paraId="3A701B9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Stable generative cost/latency superiority</w:t>
            </w:r>
          </w:p>
        </w:tc>
        <w:tc>
          <w:tcPr>
            <w:tcW w:w="2088" w:type="dxa"/>
            <w:tcMar>
              <w:top w:w="70" w:type="dxa"/>
              <w:left w:w="90" w:type="dxa"/>
              <w:bottom w:w="70" w:type="dxa"/>
              <w:right w:w="90" w:type="dxa"/>
            </w:tcMar>
            <w:vAlign w:val="center"/>
          </w:tcPr>
          <w:p w14:paraId="79DEE54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770F30A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Positive primary slice did not replicate</w:t>
            </w:r>
          </w:p>
        </w:tc>
      </w:tr>
      <w:tr w:rsidR="00A16D83" w:rsidRPr="002A2802" w14:paraId="62AA5BDB" w14:textId="77777777">
        <w:trPr>
          <w:jc w:val="center"/>
        </w:trPr>
        <w:tc>
          <w:tcPr>
            <w:tcW w:w="2520" w:type="dxa"/>
            <w:tcMar>
              <w:top w:w="70" w:type="dxa"/>
              <w:left w:w="90" w:type="dxa"/>
              <w:bottom w:w="70" w:type="dxa"/>
              <w:right w:w="90" w:type="dxa"/>
            </w:tcMar>
            <w:vAlign w:val="center"/>
          </w:tcPr>
          <w:p w14:paraId="7B5EEC7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validation</w:t>
            </w:r>
          </w:p>
        </w:tc>
        <w:tc>
          <w:tcPr>
            <w:tcW w:w="2088" w:type="dxa"/>
            <w:tcMar>
              <w:top w:w="70" w:type="dxa"/>
              <w:left w:w="90" w:type="dxa"/>
              <w:bottom w:w="70" w:type="dxa"/>
              <w:right w:w="90" w:type="dxa"/>
            </w:tcMar>
            <w:vAlign w:val="center"/>
          </w:tcPr>
          <w:p w14:paraId="03A1A47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6B2E1A0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 completed annotations</w:t>
            </w:r>
          </w:p>
        </w:tc>
      </w:tr>
      <w:tr w:rsidR="00A16D83" w:rsidRPr="002A2802" w14:paraId="66264389" w14:textId="77777777">
        <w:trPr>
          <w:jc w:val="center"/>
        </w:trPr>
        <w:tc>
          <w:tcPr>
            <w:tcW w:w="2520" w:type="dxa"/>
            <w:tcMar>
              <w:top w:w="70" w:type="dxa"/>
              <w:left w:w="90" w:type="dxa"/>
              <w:bottom w:w="70" w:type="dxa"/>
              <w:right w:w="90" w:type="dxa"/>
            </w:tcMar>
            <w:vAlign w:val="center"/>
          </w:tcPr>
          <w:p w14:paraId="3C92D96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Official platform benchmarking</w:t>
            </w:r>
          </w:p>
        </w:tc>
        <w:tc>
          <w:tcPr>
            <w:tcW w:w="2088" w:type="dxa"/>
            <w:tcMar>
              <w:top w:w="70" w:type="dxa"/>
              <w:left w:w="90" w:type="dxa"/>
              <w:bottom w:w="70" w:type="dxa"/>
              <w:right w:w="90" w:type="dxa"/>
            </w:tcMar>
            <w:vAlign w:val="center"/>
          </w:tcPr>
          <w:p w14:paraId="68ABB72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1E9F73B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Adapters/templates only; no platform-native runs</w:t>
            </w:r>
          </w:p>
        </w:tc>
      </w:tr>
      <w:tr w:rsidR="00A16D83" w:rsidRPr="002A2802" w14:paraId="05D897F1" w14:textId="77777777">
        <w:trPr>
          <w:jc w:val="center"/>
        </w:trPr>
        <w:tc>
          <w:tcPr>
            <w:tcW w:w="2520" w:type="dxa"/>
            <w:tcMar>
              <w:top w:w="70" w:type="dxa"/>
              <w:left w:w="90" w:type="dxa"/>
              <w:bottom w:w="70" w:type="dxa"/>
              <w:right w:w="90" w:type="dxa"/>
            </w:tcMar>
            <w:vAlign w:val="center"/>
          </w:tcPr>
          <w:p w14:paraId="64F9D0B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lastRenderedPageBreak/>
              <w:t>Production readiness</w:t>
            </w:r>
          </w:p>
        </w:tc>
        <w:tc>
          <w:tcPr>
            <w:tcW w:w="2088" w:type="dxa"/>
            <w:tcMar>
              <w:top w:w="70" w:type="dxa"/>
              <w:left w:w="90" w:type="dxa"/>
              <w:bottom w:w="70" w:type="dxa"/>
              <w:right w:w="90" w:type="dxa"/>
            </w:tcMar>
            <w:vAlign w:val="center"/>
          </w:tcPr>
          <w:p w14:paraId="5EC9A0B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7826DC2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Local hardened Docker validation is not production operation</w:t>
            </w:r>
          </w:p>
        </w:tc>
      </w:tr>
      <w:tr w:rsidR="00A16D83" w:rsidRPr="002A2802" w14:paraId="661BF771" w14:textId="77777777">
        <w:trPr>
          <w:jc w:val="center"/>
        </w:trPr>
        <w:tc>
          <w:tcPr>
            <w:tcW w:w="2520" w:type="dxa"/>
            <w:tcMar>
              <w:top w:w="70" w:type="dxa"/>
              <w:left w:w="90" w:type="dxa"/>
              <w:bottom w:w="70" w:type="dxa"/>
              <w:right w:w="90" w:type="dxa"/>
            </w:tcMar>
            <w:vAlign w:val="center"/>
          </w:tcPr>
          <w:p w14:paraId="6149AED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Hallucination elimination</w:t>
            </w:r>
          </w:p>
        </w:tc>
        <w:tc>
          <w:tcPr>
            <w:tcW w:w="2088" w:type="dxa"/>
            <w:tcMar>
              <w:top w:w="70" w:type="dxa"/>
              <w:left w:w="90" w:type="dxa"/>
              <w:bottom w:w="70" w:type="dxa"/>
              <w:right w:w="90" w:type="dxa"/>
            </w:tcMar>
            <w:vAlign w:val="center"/>
          </w:tcPr>
          <w:p w14:paraId="62C6954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775A813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 such guarantee is tested</w:t>
            </w:r>
          </w:p>
        </w:tc>
      </w:tr>
    </w:tbl>
    <w:p w14:paraId="59F0896F"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C1. Explicitly supported and unsupported claims.</w:t>
      </w:r>
    </w:p>
    <w:p w14:paraId="7BD549ED"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Appendix D. Statistical Audit History</w:t>
      </w:r>
    </w:p>
    <w:p w14:paraId="40820ACC"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An early offline public real-RAG grouped-split run reported RAG Compass ahead of a validation-selected baseline by 0.0488 with a zero-width bootstrap interval. The result appeared precise because 49,850 paired example-seed rows were available across 4,985 unique examples and 10 seeds.</w:t>
      </w:r>
    </w:p>
    <w:p w14:paraId="57E51E2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row-level reconstruction found only one unique paired delta. Query, cluster, dataset-blocked, seed, and hierarchical resampling therefore repeated the same aggregate policy difference rather than exposing query-level variation. RAGTune retained the original run as descriptive candidate-output evidence but marked it inconclusive for calibrated query-level uncertainty.</w:t>
      </w:r>
    </w:p>
    <w:p w14:paraId="0BC1D90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episode motivated three changes: checks for nonconstant paired signals, refusal to report one bootstrap under multiple labels, and a historical evidence ledger that can narrow a prior claim without deleting the record. It is included here because it illustrates the framework's correction mechanism rather than a current empirical result.</w:t>
      </w:r>
    </w:p>
    <w:p w14:paraId="26AF400D"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rPr>
        <w:br w:type="page"/>
      </w:r>
    </w:p>
    <w:p w14:paraId="2C390525"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References</w:t>
      </w:r>
    </w:p>
    <w:p w14:paraId="22872ECA"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 P. Lewis, E. Perez, A. Piktus, et al., 'Retrieval-Augmented Generation for Knowledge-Intensive NLP Tasks,' Advances in Neural Information Processing Systems, vol. 33, pp. 9459-9474, 2020. arXiv:2005.11401.</w:t>
      </w:r>
    </w:p>
    <w:p w14:paraId="371AC6C3"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[2] Y. Gao, Y. Xiong, X. Gao, et al., 'Retrieval-Augmented Generation for Large Language Models: A Survey,' arXiv:2312.10997, 2023; revised 2024.</w:t>
      </w:r>
    </w:p>
    <w:p w14:paraId="1947F657"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[3] S. Es, J. James, L. Espinosa-Anke, and S. Schockaert, 'RAGAS: Automated Evaluation of Retrieval Augmented Generation,' arXiv:2309.15217, 2023.</w:t>
      </w:r>
    </w:p>
    <w:p w14:paraId="78C236BA"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[4] J. Saad-Falcon, O. Khattab, C. Potts, and M. Zaharia, 'ARES: An Automated Evaluation Framework for Retrieval-Augmented Generation Systems,' arXiv:2311.09476, 2023; NAACL 2024.</w:t>
      </w:r>
    </w:p>
    <w:p w14:paraId="4DBA7694"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[5] D. Ru, L. Qiu, X. Hu, et al., 'RAGChecker: A Fine-grained Framework for Diagnosing Retrieval-Augmented Generation,' arXiv:2408.08067, 2024.</w:t>
      </w:r>
    </w:p>
    <w:p w14:paraId="0563F318"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[6] R. Friel, M. Belyi, and A. Sanyal, 'RAGBench: Explainable Benchmark for Retrieval-Augmented Generation Systems,' arXiv:2407.11005, 2024.</w:t>
      </w:r>
    </w:p>
    <w:p w14:paraId="6671A5B3" w14:textId="1E9571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[7] X. Yang, K. Sun, H. Xin, et al., 'CRAG</w:t>
      </w:r>
      <w:r w:rsidR="00211977">
        <w:rPr>
          <w:rFonts w:asciiTheme="majorHAnsi" w:hAnsiTheme="majorHAnsi"/>
          <w:color w:val="000000" w:themeColor="text1"/>
          <w:sz w:val="16"/>
        </w:rPr>
        <w:t>:</w:t>
      </w:r>
      <w:r w:rsidRPr="002A2802">
        <w:rPr>
          <w:rFonts w:asciiTheme="majorHAnsi" w:hAnsiTheme="majorHAnsi"/>
          <w:color w:val="000000" w:themeColor="text1"/>
          <w:sz w:val="16"/>
        </w:rPr>
        <w:t>Comprehensive RAG Benchmark,' arXiv:2406.04744, 2024.</w:t>
      </w:r>
    </w:p>
    <w:p w14:paraId="30EEB6E5"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[8] Z. Yang, P. Qi, S. Zhang, et al., 'HotpotQA: A Dataset for Diverse, Explainable Multi-hop Question Answering,' Proceedings of EMNLP, pp. 2369-2380, 2018. arXiv:1809.09600.</w:t>
      </w:r>
    </w:p>
    <w:p w14:paraId="50EB3420"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[9] O. Khattab, A. Singhvi, P. Maheshwari, et al., 'DSPy: Compiling Declarative Language Model Calls into Self-Improving Pipelines,' arXiv:2310.03714, 2023; ICLR 2024.</w:t>
      </w:r>
    </w:p>
    <w:p w14:paraId="6A3B8DA8"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[10] J. Chen, H. Lin, X. Han, and L. Sun, 'Benchmarking Large Language Models in Retrieval-Augmented Generation,' Proceedings of AAAI, 2024. arXiv:2309.01431.</w:t>
      </w:r>
    </w:p>
    <w:p w14:paraId="09B664AA"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[11] E. Tabassi, Artificial Intelligence Risk Management Framework (AI RMF 1.0), NIST AI 100-1, National Institute of Standards and Technology, 2023. doi:10.6028/NIST.AI.100-1.</w:t>
      </w:r>
    </w:p>
    <w:p w14:paraId="3540802F"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[12] C. Autio, R. Schwartz, J. Dunietz, et al., Artificial Intelligence Risk Management Framework: Generative Artificial Intelligence Profile, NIST AI 600-1, 2024. doi:10.6028/NIST.AI.600-1.</w:t>
      </w:r>
    </w:p>
    <w:p w14:paraId="06826E48"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[13] International Organization for Standardization, ISO/IEC 42001:2023, Information Technology-Artificial Intelligence-Management System, 2023.</w:t>
      </w:r>
    </w:p>
    <w:p w14:paraId="54CD8683"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[14] D. Sculley, G. Holt, D. Golovin, et al., 'Hidden Technical Debt in Machine Learning Systems,' Advances in Neural Information Processing Systems, vol. 28, pp. 2503-2511, 2015.</w:t>
      </w:r>
    </w:p>
    <w:p w14:paraId="6BAE3EEE"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[15] E. Breck, S. Cai, E. Nielsen, M. Salib, and D. Sculley, 'The ML Test Score: A Rubric for ML Production Readiness and Technical Debt Reduction,' IEEE International Conference on Big Data, pp. 1123-1132, 2017. doi:10.1109/BigData.2017.8258038.</w:t>
      </w:r>
    </w:p>
    <w:p w14:paraId="16B12D85"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[16] S. Wellek, Testing Statistical Hypotheses of Equivalence and Noninferiority, 2nd ed., Chapman &amp; Hall/CRC, 2010.</w:t>
      </w:r>
    </w:p>
    <w:p w14:paraId="262C00F0"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[17] G. Piaggio, D. R. Elbourne, S. J. Pocock, S. J. W. Evans, and D. G. Altman, 'Reporting of Noninferiority and Equivalence Randomized Trials: Extension of the CONSORT 2010 Statement,' JAMA, vol. 308, no. 24, pp. 2594-2604, 2012. doi:10.1001/jama.2012.87802.</w:t>
      </w:r>
    </w:p>
    <w:p w14:paraId="012CC4D1"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[18] LangChain, 'LangSmith Evaluation Concepts,' documentation, accessed August 2026. https://docs.langchain.com/langsmith/evaluation-concepts.</w:t>
      </w:r>
    </w:p>
    <w:p w14:paraId="2D87404C"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[19] Arize AI, 'Phoenix: AI Observability and Evaluation,' open-source documentation, accessed August 2026. https://arize.com/docs/phoenix/.</w:t>
      </w:r>
    </w:p>
    <w:p w14:paraId="38BA6A32"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[20] AIM-RAGTune Contributors, RAGTune Governance, version 0.1.0-rc1, 2026. https://github.com/AIM-RAGTune/rag-tuning-governance-public.</w:t>
      </w:r>
    </w:p>
    <w:p w14:paraId="6288C330" w14:textId="77777777" w:rsidR="00A16D83" w:rsidRPr="002A2802" w:rsidRDefault="0034031E">
      <w:pPr>
        <w:spacing w:before="160"/>
        <w:jc w:val="center"/>
        <w:rPr>
          <w:rFonts w:asciiTheme="majorHAnsi" w:hAnsiTheme="majorHAnsi"/>
          <w:color w:val="000000" w:themeColor="text1"/>
        </w:rPr>
      </w:pPr>
      <w:r w:rsidRPr="002A2802">
        <w:rPr>
          <w:rFonts w:asciiTheme="majorHAnsi" w:hAnsiTheme="majorHAnsi"/>
          <w:color w:val="000000" w:themeColor="text1"/>
          <w:sz w:val="17"/>
        </w:rPr>
        <w:t>End of preprint draft</w:t>
      </w:r>
    </w:p>
    <w:sectPr w:rsidR="00A16D83" w:rsidRPr="002A2802" w:rsidSect="00034616">
      <w:headerReference w:type="default" r:id="rId15"/>
      <w:footerReference w:type="default" r:id="rId16"/>
      <w:pgSz w:w="12240" w:h="15840"/>
      <w:pgMar w:top="893" w:right="1037" w:bottom="893" w:left="1037"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A39F80" w14:textId="77777777" w:rsidR="0034031E" w:rsidRDefault="0034031E">
      <w:pPr>
        <w:spacing w:after="0" w:line="240" w:lineRule="auto"/>
      </w:pPr>
      <w:r>
        <w:separator/>
      </w:r>
    </w:p>
  </w:endnote>
  <w:endnote w:type="continuationSeparator" w:id="0">
    <w:p w14:paraId="06FBAEF9" w14:textId="77777777" w:rsidR="0034031E" w:rsidRDefault="00340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w:panose1 w:val="02020600060500020200"/>
    <w:charset w:val="00"/>
    <w:family w:val="roman"/>
    <w:pitch w:val="variable"/>
    <w:sig w:usb0="E00002FF" w:usb1="500078FF" w:usb2="00000029"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AppleSystemUIFont">
    <w:altName w:val="Cambria"/>
    <w:panose1 w:val="020B0604020202020204"/>
    <w:charset w:val="00"/>
    <w:family w:val="roman"/>
    <w:pitch w:val="default"/>
  </w:font>
  <w:font w:name="UICTFontTextStyleItalicBody">
    <w:altName w:val="Cambria"/>
    <w:panose1 w:val="020B0604020202020204"/>
    <w:charset w:val="00"/>
    <w:family w:val="roman"/>
    <w:pitch w:val="default"/>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865305" w14:textId="60DE158E" w:rsidR="00A16D83" w:rsidRDefault="0034031E">
    <w:pPr>
      <w:pStyle w:val="Footer"/>
      <w:jc w:val="right"/>
    </w:pPr>
    <w:r>
      <w:rPr>
        <w:rFonts w:ascii="Lato" w:hAnsi="Lato"/>
        <w:color w:val="5B6570"/>
        <w:sz w:val="16"/>
      </w:rPr>
      <w:t xml:space="preserve">Preprint draft  |  v0.1.0-rc1  |  </w:t>
    </w:r>
    <w:r>
      <w:rPr>
        <w:rFonts w:ascii="Lato" w:hAnsi="Lato"/>
        <w:color w:val="5B6570"/>
        <w:sz w:val="16"/>
      </w:rPr>
      <w:fldChar w:fldCharType="begin"/>
    </w:r>
    <w:r>
      <w:rPr>
        <w:rFonts w:ascii="Lato" w:hAnsi="Lato"/>
        <w:color w:val="5B6570"/>
        <w:sz w:val="16"/>
      </w:rPr>
      <w:instrText xml:space="preserve"> PAGE </w:instrText>
    </w:r>
    <w:r>
      <w:rPr>
        <w:rFonts w:ascii="Lato" w:hAnsi="Lato"/>
        <w:color w:val="5B6570"/>
        <w:sz w:val="16"/>
      </w:rPr>
      <w:fldChar w:fldCharType="separate"/>
    </w:r>
    <w:r w:rsidR="00190ACF">
      <w:rPr>
        <w:rFonts w:ascii="Lato" w:hAnsi="Lato"/>
        <w:noProof/>
        <w:color w:val="5B6570"/>
        <w:sz w:val="16"/>
      </w:rPr>
      <w:t>2</w:t>
    </w:r>
    <w:r>
      <w:rPr>
        <w:rFonts w:ascii="Lato" w:hAnsi="Lato"/>
        <w:color w:val="5B65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B2FDB3" w14:textId="77777777" w:rsidR="0034031E" w:rsidRDefault="0034031E">
      <w:pPr>
        <w:spacing w:after="0" w:line="240" w:lineRule="auto"/>
      </w:pPr>
      <w:r>
        <w:separator/>
      </w:r>
    </w:p>
  </w:footnote>
  <w:footnote w:type="continuationSeparator" w:id="0">
    <w:p w14:paraId="0F598A51" w14:textId="77777777" w:rsidR="0034031E" w:rsidRDefault="003403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E20BDC" w14:textId="77777777" w:rsidR="00A16D83" w:rsidRDefault="0034031E">
    <w:pPr>
      <w:pStyle w:val="Header"/>
    </w:pPr>
    <w:r>
      <w:rPr>
        <w:rFonts w:ascii="Lato" w:hAnsi="Lato"/>
        <w:b/>
        <w:color w:val="5B6570"/>
        <w:sz w:val="16"/>
      </w:rPr>
      <w:t>RAGTune  |  Evidence-Preserving RAG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7953765">
    <w:abstractNumId w:val="8"/>
  </w:num>
  <w:num w:numId="2" w16cid:durableId="1461535547">
    <w:abstractNumId w:val="6"/>
  </w:num>
  <w:num w:numId="3" w16cid:durableId="728502132">
    <w:abstractNumId w:val="5"/>
  </w:num>
  <w:num w:numId="4" w16cid:durableId="330916146">
    <w:abstractNumId w:val="4"/>
  </w:num>
  <w:num w:numId="5" w16cid:durableId="1101604730">
    <w:abstractNumId w:val="7"/>
  </w:num>
  <w:num w:numId="6" w16cid:durableId="2104183416">
    <w:abstractNumId w:val="3"/>
  </w:num>
  <w:num w:numId="7" w16cid:durableId="300842808">
    <w:abstractNumId w:val="2"/>
  </w:num>
  <w:num w:numId="8" w16cid:durableId="976760865">
    <w:abstractNumId w:val="1"/>
  </w:num>
  <w:num w:numId="9" w16cid:durableId="10764378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57"/>
    <w:rsid w:val="00034616"/>
    <w:rsid w:val="0006063C"/>
    <w:rsid w:val="00063ADE"/>
    <w:rsid w:val="00075699"/>
    <w:rsid w:val="000D71FC"/>
    <w:rsid w:val="0015074B"/>
    <w:rsid w:val="00176B92"/>
    <w:rsid w:val="00190ACF"/>
    <w:rsid w:val="00211977"/>
    <w:rsid w:val="0029639D"/>
    <w:rsid w:val="002A2802"/>
    <w:rsid w:val="0030370F"/>
    <w:rsid w:val="003061BD"/>
    <w:rsid w:val="00326F90"/>
    <w:rsid w:val="003328CB"/>
    <w:rsid w:val="0034031E"/>
    <w:rsid w:val="003476E3"/>
    <w:rsid w:val="0049724E"/>
    <w:rsid w:val="005C6143"/>
    <w:rsid w:val="0062187F"/>
    <w:rsid w:val="006C515E"/>
    <w:rsid w:val="007F657B"/>
    <w:rsid w:val="008130DB"/>
    <w:rsid w:val="00852858"/>
    <w:rsid w:val="008776D0"/>
    <w:rsid w:val="008D29D3"/>
    <w:rsid w:val="00961EB7"/>
    <w:rsid w:val="009F0E0F"/>
    <w:rsid w:val="00A16D83"/>
    <w:rsid w:val="00AA1284"/>
    <w:rsid w:val="00AA1D8D"/>
    <w:rsid w:val="00B3501D"/>
    <w:rsid w:val="00B47730"/>
    <w:rsid w:val="00B531DF"/>
    <w:rsid w:val="00CB0664"/>
    <w:rsid w:val="00CF1625"/>
    <w:rsid w:val="00CF5D45"/>
    <w:rsid w:val="00D1548E"/>
    <w:rsid w:val="00DD3026"/>
    <w:rsid w:val="00E03420"/>
    <w:rsid w:val="00E87B02"/>
    <w:rsid w:val="00EA1D07"/>
    <w:rsid w:val="00EC589E"/>
    <w:rsid w:val="00F33854"/>
    <w:rsid w:val="00F41364"/>
    <w:rsid w:val="00FA0C75"/>
    <w:rsid w:val="00FC693F"/>
    <w:rsid w:val="00FD0A5E"/>
    <w:rsid w:val="00FD5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10C8D"/>
  <w14:defaultImageDpi w14:val="300"/>
  <w15:docId w15:val="{EEE656E2-7CF3-7F46-B0D5-6C8D7152D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erif" w:hAnsi="Noto Seri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646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7F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A7F8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FA0C75"/>
    <w:pPr>
      <w:spacing w:after="0" w:line="240" w:lineRule="auto"/>
    </w:pPr>
    <w:rPr>
      <w:rFonts w:ascii=".AppleSystemUIFont" w:hAnsi=".AppleSystemUIFont" w:cs="Times New Roman"/>
      <w:sz w:val="35"/>
      <w:szCs w:val="35"/>
    </w:rPr>
  </w:style>
  <w:style w:type="character" w:customStyle="1" w:styleId="s1">
    <w:name w:val="s1"/>
    <w:basedOn w:val="DefaultParagraphFont"/>
    <w:rsid w:val="00FA0C75"/>
    <w:rPr>
      <w:rFonts w:ascii="UICTFontTextStyleItalicBody" w:hAnsi="UICTFontTextStyleItalicBody" w:hint="default"/>
      <w:b w:val="0"/>
      <w:bCs w:val="0"/>
      <w:i/>
      <w:i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IM-RAGTune/rag-tuning-governance-public"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7052</Words>
  <Characters>40200</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RAGTune: Evidence-Preserving Governance for RAG Policy Promotion Under Quality, Cost, Latency, and Risk Constraints</dc:title>
  <dc:subject>Condensed arXiv preprint manuscript</dc:subject>
  <dc:creator>AIM-RAGTune Contributors</dc:creator>
  <cp:keywords>RAG, governance, promotion control, noninferiority, reproducibility, LLMOps</cp:keywords>
  <dc:description>Condensed manuscript revision based on v0.1.0-rc1 evidence.</dc:description>
  <cp:lastModifiedBy>Richard Krueger</cp:lastModifiedBy>
  <cp:revision>2</cp:revision>
  <dcterms:created xsi:type="dcterms:W3CDTF">2026-08-17T20:44:00Z</dcterms:created>
  <dcterms:modified xsi:type="dcterms:W3CDTF">2026-08-17T20:44:00Z</dcterms:modified>
  <cp:category/>
</cp:coreProperties>
</file>