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DCAEA" w14:textId="77777777" w:rsidR="00A16D83" w:rsidRPr="002A2802" w:rsidRDefault="00D1548E">
      <w:pPr>
        <w:spacing w:before="560"/>
        <w:jc w:val="center"/>
        <w:rPr>
          <w:rFonts w:asciiTheme="majorHAnsi" w:hAnsiTheme="majorHAnsi"/>
          <w:color w:val="000000" w:themeColor="text1"/>
        </w:rPr>
      </w:pPr>
      <w:r w:rsidRPr="002A2802">
        <w:rPr>
          <w:rFonts w:asciiTheme="majorHAnsi" w:hAnsiTheme="majorHAnsi"/>
          <w:color w:val="000000" w:themeColor="text1"/>
          <w:sz w:val="58"/>
        </w:rPr>
        <w:t>RAGTune</w:t>
      </w:r>
    </w:p>
    <w:p w14:paraId="2E7E4EDF" w14:textId="77777777" w:rsidR="00A16D83" w:rsidRPr="002A2802" w:rsidRDefault="00D1548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3EA48F03" w14:textId="5E5825A4"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p>
    <w:p w14:paraId="4A0F434D" w14:textId="77777777" w:rsidR="00A16D83" w:rsidRPr="002A2802" w:rsidRDefault="00D1548E">
      <w:pPr>
        <w:spacing w:after="280"/>
        <w:jc w:val="center"/>
        <w:rPr>
          <w:rFonts w:asciiTheme="majorHAnsi" w:hAnsiTheme="majorHAnsi"/>
          <w:color w:val="000000" w:themeColor="text1"/>
        </w:rPr>
      </w:pPr>
      <w:r w:rsidRPr="002A2802">
        <w:rPr>
          <w:rFonts w:asciiTheme="majorHAnsi" w:hAnsiTheme="majorHAnsi"/>
          <w:color w:val="000000" w:themeColor="text1"/>
          <w:sz w:val="18"/>
        </w:rPr>
        <w:t>Independent open-source research project  |  August 2026  |  Preprint version 0.1.0-rc1</w:t>
      </w:r>
    </w:p>
    <w:p w14:paraId="4695B950" w14:textId="77777777" w:rsidR="00A16D83" w:rsidRPr="002A2802" w:rsidRDefault="00D1548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78F311D1" w14:textId="3BBA9B3F" w:rsidR="00A16D83" w:rsidRPr="002A2802" w:rsidRDefault="00D1548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RAGTune, an open-source promotion-control framework that treats deployment as a constrained evidence decision rather than a leaderboard choice. RAGTune normalizes evaluator outputs and operational telemetry, applies predeclared quality and hard-risk gates, assigns evidence-class claim ceilings, preserves negative outcomes, and emits auditable PROMOTE, BLOCK, REJEC</w:t>
      </w:r>
      <w:r w:rsidRPr="002A2802">
        <w:rPr>
          <w:rFonts w:asciiTheme="majorHAnsi" w:hAnsiTheme="majorHAnsi"/>
          <w:color w:val="000000" w:themeColor="text1"/>
          <w:sz w:val="19"/>
        </w:rPr>
        <w:t>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w:t>
      </w:r>
      <w:r w:rsidRPr="002A2802">
        <w:rPr>
          <w:rFonts w:asciiTheme="majorHAnsi" w:hAnsiTheme="majorHAnsi"/>
          <w:color w:val="000000" w:themeColor="text1"/>
          <w:sz w:val="19"/>
        </w:rPr>
        <w:t>ation, or production readiness. The tagged artifact reproduces from a fresh clone, runs as a hardened Docker job, accepts external evaluator exports, and verifies artifact integrity.</w:t>
      </w:r>
    </w:p>
    <w:p w14:paraId="1FFF8460" w14:textId="77777777" w:rsidR="00A16D83" w:rsidRPr="002A2802" w:rsidRDefault="00D1548E">
      <w:pPr>
        <w:spacing w:after="80"/>
        <w:rPr>
          <w:rFonts w:asciiTheme="majorHAnsi" w:hAnsiTheme="majorHAnsi"/>
          <w:color w:val="000000" w:themeColor="text1"/>
        </w:rPr>
      </w:pPr>
      <w:r w:rsidRPr="002A2802">
        <w:rPr>
          <w:rFonts w:asciiTheme="majorHAnsi" w:hAnsiTheme="majorHAnsi"/>
          <w:color w:val="000000" w:themeColor="text1"/>
          <w:sz w:val="17"/>
        </w:rPr>
        <w:t xml:space="preserve">Keywords: </w:t>
      </w:r>
      <w:r w:rsidRPr="002A2802">
        <w:rPr>
          <w:rFonts w:asciiTheme="majorHAnsi" w:hAnsiTheme="majorHAnsi"/>
          <w:color w:val="000000" w:themeColor="text1"/>
          <w:sz w:val="17"/>
        </w:rPr>
        <w:t>retrieval-augmented generation; RAG evaluation; AI governance; promotion control; noninferiority; LLMOps; reproducibility</w:t>
      </w:r>
    </w:p>
    <w:p w14:paraId="28861DAF" w14:textId="77777777" w:rsidR="00A16D83" w:rsidRPr="002A2802" w:rsidRDefault="00D1548E">
      <w:pPr>
        <w:spacing w:after="20"/>
        <w:rPr>
          <w:rFonts w:asciiTheme="majorHAnsi" w:hAnsiTheme="majorHAnsi"/>
          <w:color w:val="000000" w:themeColor="text1"/>
        </w:rPr>
      </w:pPr>
      <w:r w:rsidRPr="002A2802">
        <w:rPr>
          <w:rFonts w:asciiTheme="majorHAnsi" w:hAnsiTheme="majorHAnsi"/>
          <w:color w:val="000000" w:themeColor="text1"/>
          <w:sz w:val="17"/>
        </w:rPr>
        <w:t xml:space="preserve">Code and artifacts: </w:t>
      </w:r>
      <w:hyperlink r:id="rId8">
        <w:r w:rsidRPr="002A2802">
          <w:rPr>
            <w:rFonts w:asciiTheme="majorHAnsi" w:hAnsiTheme="majorHAnsi"/>
            <w:color w:val="000000" w:themeColor="text1"/>
            <w:u w:val="single"/>
          </w:rPr>
          <w:t>github.com/AIM-RAGTune/rag-tuning-governance-public</w:t>
        </w:r>
      </w:hyperlink>
    </w:p>
    <w:p w14:paraId="3C2D8F00" w14:textId="77777777" w:rsidR="00A16D83" w:rsidRPr="002A2802" w:rsidRDefault="00D1548E">
      <w:pPr>
        <w:rPr>
          <w:rFonts w:asciiTheme="majorHAnsi" w:hAnsiTheme="majorHAnsi"/>
          <w:color w:val="000000" w:themeColor="text1"/>
        </w:rPr>
      </w:pPr>
      <w:r w:rsidRPr="002A2802">
        <w:rPr>
          <w:rFonts w:asciiTheme="majorHAnsi" w:hAnsiTheme="majorHAnsi"/>
          <w:color w:val="000000" w:themeColor="text1"/>
          <w:sz w:val="17"/>
        </w:rPr>
        <w:t>Release candidate: v0.1.0-rc1  |  Commit: ff529005bf7d00a0c3f79ba991563f3923d63205</w:t>
      </w:r>
    </w:p>
    <w:p w14:paraId="3AD3D754" w14:textId="77777777" w:rsidR="00A16D83" w:rsidRPr="002A2802" w:rsidRDefault="00D1548E">
      <w:pPr>
        <w:rPr>
          <w:rFonts w:asciiTheme="majorHAnsi" w:hAnsiTheme="majorHAnsi"/>
          <w:color w:val="000000" w:themeColor="text1"/>
        </w:rPr>
      </w:pPr>
      <w:r w:rsidRPr="002A2802">
        <w:rPr>
          <w:rFonts w:asciiTheme="majorHAnsi" w:hAnsiTheme="majorHAnsi"/>
          <w:color w:val="000000" w:themeColor="text1"/>
        </w:rPr>
        <w:br w:type="page"/>
      </w:r>
    </w:p>
    <w:p w14:paraId="6BF893AB"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3A460560"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w:t>
      </w:r>
      <w:r w:rsidRPr="002A2802">
        <w:rPr>
          <w:rFonts w:asciiTheme="majorHAnsi" w:hAnsiTheme="majorHAnsi"/>
          <w:color w:val="000000" w:themeColor="text1"/>
        </w:rPr>
        <w:t xml:space="preserve"> on a protected slice, or attractive on validation data yet worse for a held-out population.</w:t>
      </w:r>
    </w:p>
    <w:p w14:paraId="2B491043"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w:t>
      </w:r>
      <w:r w:rsidRPr="002A2802">
        <w:rPr>
          <w:rFonts w:asciiTheme="majorHAnsi" w:hAnsiTheme="majorHAnsi"/>
          <w:color w:val="000000" w:themeColor="text1"/>
        </w:rPr>
        <w:t>ettle the release question: given several plausible policies and incomplete, heterogeneous evidence, which policy may replace the baseline, which should be rejected, and when should the system refuse to decide?</w:t>
      </w:r>
    </w:p>
    <w:p w14:paraId="2D01B2C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addresses that decision layer. Its central abstraction is not a new answer-quality metric or a universal optimizer. It is an evidence-preserving promotion controller. RAGTune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w:t>
      </w:r>
      <w:r w:rsidRPr="002A2802">
        <w:rPr>
          <w:rFonts w:asciiTheme="majorHAnsi" w:hAnsiTheme="majorHAnsi"/>
          <w:color w:val="000000" w:themeColor="text1"/>
        </w:rPr>
        <w:t>y when its quality evidence, split integrity, security posture, provenance, and claim scope also pass.</w:t>
      </w:r>
    </w:p>
    <w:p w14:paraId="35337CD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13491F1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 distinction matters because deployment authority is often implicit. In a research notebook, the highest validation score may become the de facto recommendation; in an enterprise workflow, a cost dashboard or latency trace may play the same role. RAGTune makes that authority explicit and inspectable. The framework does not prevent teams from choosing aggressive operating points, but it requires the quality floor, hard disqualifiers, evidence scope, and decision reason to be recorded before the result is </w:t>
      </w:r>
      <w:r w:rsidRPr="002A2802">
        <w:rPr>
          <w:rFonts w:asciiTheme="majorHAnsi" w:hAnsiTheme="majorHAnsi"/>
          <w:color w:val="000000" w:themeColor="text1"/>
        </w:rPr>
        <w:t>presented as promotable.</w:t>
      </w:r>
    </w:p>
    <w:p w14:paraId="7739BCA5"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w:t>
      </w:r>
      <w:r w:rsidRPr="002A2802">
        <w:rPr>
          <w:rFonts w:asciiTheme="majorHAnsi" w:hAnsiTheme="majorHAnsi"/>
          <w:color w:val="000000" w:themeColor="text1"/>
        </w:rPr>
        <w:t>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7D06EE3D" w14:textId="77777777" w:rsidR="00A16D83" w:rsidRPr="002A2802" w:rsidRDefault="00D1548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989320" cy="2581129"/>
                    </a:xfrm>
                    <a:prstGeom prst="rect">
                      <a:avLst/>
                    </a:prstGeom>
                  </pic:spPr>
                </pic:pic>
              </a:graphicData>
            </a:graphic>
          </wp:inline>
        </w:drawing>
      </w:r>
    </w:p>
    <w:p w14:paraId="0DEE945F" w14:textId="77777777" w:rsidR="00A16D83" w:rsidRPr="002A2802" w:rsidRDefault="00D1548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1. RAGTune converts candidate-policy evidence into an auditable promotion decision; artifacts, telemetry, and negative results feed the next evaluation cycle.</w:t>
      </w:r>
    </w:p>
    <w:p w14:paraId="14BEBDE2"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2. Background and Related Work</w:t>
      </w:r>
    </w:p>
    <w:p w14:paraId="7487318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0183411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RAGTune consumes these measurements as bounded </w:t>
      </w:r>
      <w:r w:rsidRPr="002A2802">
        <w:rPr>
          <w:rFonts w:asciiTheme="majorHAnsi" w:hAnsiTheme="majorHAnsi"/>
          <w:color w:val="000000" w:themeColor="text1"/>
        </w:rPr>
        <w:t>evidence; it does not replace their metric semantics.</w:t>
      </w:r>
    </w:p>
    <w:p w14:paraId="2364C26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B81F7D3"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NIST's AI Risk Management Framework and Generative AI Profile organize lifecycle governance around Govern, Map, Measure, and Manage, and ISO/IEC 42001 specifies an AI management system [11-13]. RAGTune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3735030D" w14:textId="77777777">
        <w:trPr>
          <w:tblHeader/>
          <w:jc w:val="center"/>
        </w:trPr>
        <w:tc>
          <w:tcPr>
            <w:tcW w:w="1944" w:type="dxa"/>
            <w:shd w:val="clear" w:color="auto" w:fill="DCE8EF"/>
            <w:tcMar>
              <w:top w:w="70" w:type="dxa"/>
              <w:left w:w="90" w:type="dxa"/>
              <w:bottom w:w="70" w:type="dxa"/>
              <w:right w:w="90" w:type="dxa"/>
            </w:tcMar>
            <w:vAlign w:val="center"/>
          </w:tcPr>
          <w:p w14:paraId="740D5744"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3ED9CCA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448D13BC"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733AF0CE"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RAGTune relationship</w:t>
            </w:r>
          </w:p>
        </w:tc>
      </w:tr>
      <w:tr w:rsidR="00A16D83" w:rsidRPr="002A2802" w14:paraId="7A093F99" w14:textId="77777777">
        <w:trPr>
          <w:jc w:val="center"/>
        </w:trPr>
        <w:tc>
          <w:tcPr>
            <w:tcW w:w="1944" w:type="dxa"/>
            <w:tcMar>
              <w:top w:w="70" w:type="dxa"/>
              <w:left w:w="90" w:type="dxa"/>
              <w:bottom w:w="70" w:type="dxa"/>
              <w:right w:w="90" w:type="dxa"/>
            </w:tcMar>
            <w:vAlign w:val="center"/>
          </w:tcPr>
          <w:p w14:paraId="07C2D91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590E6F1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19C8A03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40B8510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16611F82" w14:textId="77777777">
        <w:trPr>
          <w:jc w:val="center"/>
        </w:trPr>
        <w:tc>
          <w:tcPr>
            <w:tcW w:w="1944" w:type="dxa"/>
            <w:tcMar>
              <w:top w:w="70" w:type="dxa"/>
              <w:left w:w="90" w:type="dxa"/>
              <w:bottom w:w="70" w:type="dxa"/>
              <w:right w:w="90" w:type="dxa"/>
            </w:tcMar>
            <w:vAlign w:val="center"/>
          </w:tcPr>
          <w:p w14:paraId="4FD9CA6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71372BAE"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6C93B6F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DFB64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36DFD4B0" w14:textId="77777777">
        <w:trPr>
          <w:jc w:val="center"/>
        </w:trPr>
        <w:tc>
          <w:tcPr>
            <w:tcW w:w="1944" w:type="dxa"/>
            <w:tcMar>
              <w:top w:w="70" w:type="dxa"/>
              <w:left w:w="90" w:type="dxa"/>
              <w:bottom w:w="70" w:type="dxa"/>
              <w:right w:w="90" w:type="dxa"/>
            </w:tcMar>
            <w:vAlign w:val="center"/>
          </w:tcPr>
          <w:p w14:paraId="270283F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268E388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391AA48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4E26859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190D9D92" w14:textId="77777777">
        <w:trPr>
          <w:jc w:val="center"/>
        </w:trPr>
        <w:tc>
          <w:tcPr>
            <w:tcW w:w="1944" w:type="dxa"/>
            <w:tcMar>
              <w:top w:w="70" w:type="dxa"/>
              <w:left w:w="90" w:type="dxa"/>
              <w:bottom w:w="70" w:type="dxa"/>
              <w:right w:w="90" w:type="dxa"/>
            </w:tcMar>
            <w:vAlign w:val="center"/>
          </w:tcPr>
          <w:p w14:paraId="43EF2DD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49BD888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72ADE6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12A32D4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5C8C6573" w14:textId="77777777">
        <w:trPr>
          <w:jc w:val="center"/>
        </w:trPr>
        <w:tc>
          <w:tcPr>
            <w:tcW w:w="1944" w:type="dxa"/>
            <w:tcMar>
              <w:top w:w="70" w:type="dxa"/>
              <w:left w:w="90" w:type="dxa"/>
              <w:bottom w:w="70" w:type="dxa"/>
              <w:right w:w="90" w:type="dxa"/>
            </w:tcMar>
            <w:vAlign w:val="center"/>
          </w:tcPr>
          <w:p w14:paraId="3A629F2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480DFC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0F15C71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18453B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196FF0BF" w14:textId="77777777">
        <w:trPr>
          <w:jc w:val="center"/>
        </w:trPr>
        <w:tc>
          <w:tcPr>
            <w:tcW w:w="1944" w:type="dxa"/>
            <w:tcMar>
              <w:top w:w="70" w:type="dxa"/>
              <w:left w:w="90" w:type="dxa"/>
              <w:bottom w:w="70" w:type="dxa"/>
              <w:right w:w="90" w:type="dxa"/>
            </w:tcMar>
            <w:vAlign w:val="center"/>
          </w:tcPr>
          <w:p w14:paraId="111CE20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RAGTune</w:t>
            </w:r>
          </w:p>
        </w:tc>
        <w:tc>
          <w:tcPr>
            <w:tcW w:w="2376" w:type="dxa"/>
            <w:tcMar>
              <w:top w:w="70" w:type="dxa"/>
              <w:left w:w="90" w:type="dxa"/>
              <w:bottom w:w="70" w:type="dxa"/>
              <w:right w:w="90" w:type="dxa"/>
            </w:tcMar>
            <w:vAlign w:val="center"/>
          </w:tcPr>
          <w:p w14:paraId="1C187DB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729C88E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7A3D36E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7673851B"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1. RAGTune complements metric, benchmark, optimization, observability, and management-framework layers.</w:t>
      </w:r>
    </w:p>
    <w:p w14:paraId="48C66614"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7E46DE1C"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7FC3D7FF"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17424D32" w14:textId="77777777" w:rsidR="00A16D83" w:rsidRPr="002A2802" w:rsidRDefault="00D1548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65983EDE" w14:textId="77777777" w:rsidR="00A16D83" w:rsidRPr="002A2802" w:rsidRDefault="00D1548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CB0C456" w14:textId="77777777" w:rsidR="00A16D83" w:rsidRPr="002A2802" w:rsidRDefault="00D1548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4468CA1E" w14:textId="77777777" w:rsidR="00A16D83" w:rsidRPr="002A2802" w:rsidRDefault="00D1548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31EC78E" w14:textId="77777777" w:rsidR="00A16D83" w:rsidRPr="002A2802" w:rsidRDefault="00D1548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4EDA4037" w14:textId="77777777" w:rsidR="00A16D83" w:rsidRPr="002A2802" w:rsidRDefault="00D1548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25DE6F93"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616B32F7"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4. RAGTune System</w:t>
      </w:r>
    </w:p>
    <w:p w14:paraId="688F2264"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56274F69"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RAG policy is a named, versioned configuration that may change retrieval depth, endpoints, routing, reranking, context limits, fallback behavior, generator choice, abstention, or selector logic. Policies may be hand-authored, proposed by an optimizer, or imported from another experiment. RAGTune records behavioral parameters alongside normalized evidence such as answer correctness, faithfulness, evidence support, context recall, abstention correctness, API calls, cost, latency, failure rate, and protected</w:t>
      </w:r>
      <w:r w:rsidRPr="002A2802">
        <w:rPr>
          <w:rFonts w:asciiTheme="majorHAnsi" w:hAnsiTheme="majorHAnsi"/>
          <w:color w:val="000000" w:themeColor="text1"/>
        </w:rPr>
        <w:t>-regression indicators.</w:t>
      </w:r>
    </w:p>
    <w:p w14:paraId="3D1E5D5D"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50F09A0B"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w:t>
      </w:r>
      <w:r w:rsidRPr="002A2802">
        <w:rPr>
          <w:rFonts w:asciiTheme="majorHAnsi" w:hAnsiTheme="majorHAnsi"/>
          <w:color w:val="000000" w:themeColor="text1"/>
        </w:rPr>
        <w:t xml:space="preserve"> favorable weighted utility can be decomposed during review.</w:t>
      </w:r>
    </w:p>
    <w:p w14:paraId="395268FF"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w:t>
      </w:r>
      <w:r w:rsidRPr="002A2802">
        <w:rPr>
          <w:rFonts w:asciiTheme="majorHAnsi" w:hAnsiTheme="majorHAnsi"/>
          <w:color w:val="000000" w:themeColor="text1"/>
        </w:rPr>
        <w:t>design the selector after the fact.</w:t>
      </w:r>
    </w:p>
    <w:p w14:paraId="2992BFAD"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4.2 Canonical promotion formalism</w:t>
      </w:r>
    </w:p>
    <w:p w14:paraId="7DD01CCC"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w:t>
      </w:r>
      <w:r w:rsidRPr="002A2802">
        <w:rPr>
          <w:rFonts w:asciiTheme="majorHAnsi" w:hAnsiTheme="majorHAnsi"/>
          <w:color w:val="000000" w:themeColor="text1"/>
        </w:rPr>
        <w:t>n Delta_c or Delta_l to be below zero. Promotion is permitted only if all hard gates pass.</w:t>
      </w:r>
    </w:p>
    <w:p w14:paraId="33EDACDB" w14:textId="77777777" w:rsidR="00A16D83" w:rsidRPr="002A2802" w:rsidRDefault="00D1548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400D12DE" w14:textId="77777777" w:rsidR="00A16D83" w:rsidRPr="002A2802" w:rsidRDefault="00D1548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5099A929"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31FB73EB" w14:textId="77777777" w:rsidR="00A16D83" w:rsidRPr="002A2802" w:rsidRDefault="00D1548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657600" cy="3014654"/>
                    </a:xfrm>
                    <a:prstGeom prst="rect">
                      <a:avLst/>
                    </a:prstGeom>
                  </pic:spPr>
                </pic:pic>
              </a:graphicData>
            </a:graphic>
          </wp:inline>
        </w:drawing>
      </w:r>
    </w:p>
    <w:p w14:paraId="169AD90A" w14:textId="77777777" w:rsidR="00A16D83" w:rsidRPr="002A2802" w:rsidRDefault="00D1548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D84FFDE"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0258BA13"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w:t>
      </w:r>
      <w:r w:rsidRPr="002A2802">
        <w:rPr>
          <w:rFonts w:asciiTheme="majorHAnsi" w:hAnsiTheme="majorHAnsi"/>
          <w:color w:val="000000" w:themeColor="text1"/>
        </w:rPr>
        <w:t>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3679FE6D" w14:textId="77777777">
        <w:trPr>
          <w:tblHeader/>
          <w:jc w:val="center"/>
        </w:trPr>
        <w:tc>
          <w:tcPr>
            <w:tcW w:w="1152" w:type="dxa"/>
            <w:shd w:val="clear" w:color="auto" w:fill="DCE8EF"/>
            <w:tcMar>
              <w:top w:w="70" w:type="dxa"/>
              <w:left w:w="90" w:type="dxa"/>
              <w:bottom w:w="70" w:type="dxa"/>
              <w:right w:w="90" w:type="dxa"/>
            </w:tcMar>
            <w:vAlign w:val="center"/>
          </w:tcPr>
          <w:p w14:paraId="20E716E3"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5C65CDD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4896BDF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5A02BF84"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2C967E0A" w14:textId="77777777">
        <w:trPr>
          <w:jc w:val="center"/>
        </w:trPr>
        <w:tc>
          <w:tcPr>
            <w:tcW w:w="1152" w:type="dxa"/>
            <w:tcMar>
              <w:top w:w="70" w:type="dxa"/>
              <w:left w:w="90" w:type="dxa"/>
              <w:bottom w:w="70" w:type="dxa"/>
              <w:right w:w="90" w:type="dxa"/>
            </w:tcMar>
            <w:vAlign w:val="center"/>
          </w:tcPr>
          <w:p w14:paraId="01225C6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1E40068E"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19484A5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05586E9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45A89D53" w14:textId="77777777">
        <w:trPr>
          <w:jc w:val="center"/>
        </w:trPr>
        <w:tc>
          <w:tcPr>
            <w:tcW w:w="1152" w:type="dxa"/>
            <w:tcMar>
              <w:top w:w="70" w:type="dxa"/>
              <w:left w:w="90" w:type="dxa"/>
              <w:bottom w:w="70" w:type="dxa"/>
              <w:right w:w="90" w:type="dxa"/>
            </w:tcMar>
            <w:vAlign w:val="center"/>
          </w:tcPr>
          <w:p w14:paraId="246E212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2FFAE3B8"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46FEE66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3BDA6D8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4B8B3BE7" w14:textId="77777777">
        <w:trPr>
          <w:jc w:val="center"/>
        </w:trPr>
        <w:tc>
          <w:tcPr>
            <w:tcW w:w="1152" w:type="dxa"/>
            <w:tcMar>
              <w:top w:w="70" w:type="dxa"/>
              <w:left w:w="90" w:type="dxa"/>
              <w:bottom w:w="70" w:type="dxa"/>
              <w:right w:w="90" w:type="dxa"/>
            </w:tcMar>
            <w:vAlign w:val="center"/>
          </w:tcPr>
          <w:p w14:paraId="70A8455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0279837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0AB5F43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016645A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73573922" w14:textId="77777777">
        <w:trPr>
          <w:jc w:val="center"/>
        </w:trPr>
        <w:tc>
          <w:tcPr>
            <w:tcW w:w="1152" w:type="dxa"/>
            <w:tcMar>
              <w:top w:w="70" w:type="dxa"/>
              <w:left w:w="90" w:type="dxa"/>
              <w:bottom w:w="70" w:type="dxa"/>
              <w:right w:w="90" w:type="dxa"/>
            </w:tcMar>
            <w:vAlign w:val="center"/>
          </w:tcPr>
          <w:p w14:paraId="3785DD7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258F219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7F093AA8"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201C28D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437D1AC"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1C73AB26"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1C79876E"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w:t>
      </w:r>
      <w:r w:rsidRPr="002A2802">
        <w:rPr>
          <w:rFonts w:asciiTheme="majorHAnsi" w:hAnsiTheme="majorHAnsi"/>
          <w:color w:val="000000" w:themeColor="text1"/>
        </w:rPr>
        <w:t>narrower statement than its maximum, but never a broader one.</w:t>
      </w:r>
    </w:p>
    <w:p w14:paraId="7D4D4A65" w14:textId="77777777" w:rsidR="00A16D83" w:rsidRPr="002A2802" w:rsidRDefault="00D1548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069080" cy="2914189"/>
                    </a:xfrm>
                    <a:prstGeom prst="rect">
                      <a:avLst/>
                    </a:prstGeom>
                  </pic:spPr>
                </pic:pic>
              </a:graphicData>
            </a:graphic>
          </wp:inline>
        </w:drawing>
      </w:r>
    </w:p>
    <w:p w14:paraId="192BF0D1" w14:textId="77777777" w:rsidR="00A16D83" w:rsidRPr="002A2802" w:rsidRDefault="00D1548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45C23999"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47287AD9"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w:t>
      </w:r>
      <w:r w:rsidRPr="002A2802">
        <w:rPr>
          <w:rFonts w:asciiTheme="majorHAnsi" w:hAnsiTheme="majorHAnsi"/>
          <w:color w:val="000000" w:themeColor="text1"/>
        </w:rPr>
        <w:t>ready narrowed.</w:t>
      </w:r>
    </w:p>
    <w:p w14:paraId="76FDAF9E"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7D4749F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w:t>
      </w:r>
      <w:r w:rsidRPr="002A2802">
        <w:rPr>
          <w:rFonts w:asciiTheme="majorHAnsi" w:hAnsiTheme="majorHAnsi"/>
          <w:color w:val="000000" w:themeColor="text1"/>
        </w:rPr>
        <w:t>alidation.</w:t>
      </w:r>
    </w:p>
    <w:p w14:paraId="32ED7574" w14:textId="77777777" w:rsidR="00A16D83" w:rsidRPr="002A2802" w:rsidRDefault="00D1548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Tune containerized governance job and producing a promotion decision, audit bundle, and claim-boundary report." title="Cloud-agnostic deployment diagram showing policy configurations, datasets, and telemetry entering a hardened RAGTune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715000" cy="3218181"/>
                    </a:xfrm>
                    <a:prstGeom prst="rect">
                      <a:avLst/>
                    </a:prstGeom>
                  </pic:spPr>
                </pic:pic>
              </a:graphicData>
            </a:graphic>
          </wp:inline>
        </w:drawing>
      </w:r>
    </w:p>
    <w:p w14:paraId="5ABFAC32" w14:textId="77777777" w:rsidR="00A16D83" w:rsidRPr="002A2802" w:rsidRDefault="00D1548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063DD7D4"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5. Experimental Program</w:t>
      </w:r>
    </w:p>
    <w:p w14:paraId="0D8D9571"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0BAAD716"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supplied a larger development path; MultiHop-RAG provided a fresh sealed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w:t>
      </w:r>
      <w:r w:rsidRPr="002A2802">
        <w:rPr>
          <w:rFonts w:asciiTheme="majorHAnsi" w:hAnsiTheme="majorHAnsi"/>
          <w:color w:val="000000" w:themeColor="text1"/>
        </w:rPr>
        <w:t>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0F0E5392" w14:textId="77777777">
        <w:trPr>
          <w:tblHeader/>
          <w:jc w:val="center"/>
        </w:trPr>
        <w:tc>
          <w:tcPr>
            <w:tcW w:w="1656" w:type="dxa"/>
            <w:shd w:val="clear" w:color="auto" w:fill="DCE8EF"/>
            <w:tcMar>
              <w:top w:w="70" w:type="dxa"/>
              <w:left w:w="90" w:type="dxa"/>
              <w:bottom w:w="70" w:type="dxa"/>
              <w:right w:w="90" w:type="dxa"/>
            </w:tcMar>
            <w:vAlign w:val="center"/>
          </w:tcPr>
          <w:p w14:paraId="340A21F6"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03C5B256"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2574A2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79C4D43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546C1820" w14:textId="77777777">
        <w:trPr>
          <w:jc w:val="center"/>
        </w:trPr>
        <w:tc>
          <w:tcPr>
            <w:tcW w:w="1656" w:type="dxa"/>
            <w:tcMar>
              <w:top w:w="70" w:type="dxa"/>
              <w:left w:w="90" w:type="dxa"/>
              <w:bottom w:w="70" w:type="dxa"/>
              <w:right w:w="90" w:type="dxa"/>
            </w:tcMar>
            <w:vAlign w:val="center"/>
          </w:tcPr>
          <w:p w14:paraId="33A8B8D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6AC70D4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7155577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7208BDF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6BB75D71" w14:textId="77777777">
        <w:trPr>
          <w:jc w:val="center"/>
        </w:trPr>
        <w:tc>
          <w:tcPr>
            <w:tcW w:w="1656" w:type="dxa"/>
            <w:tcMar>
              <w:top w:w="70" w:type="dxa"/>
              <w:left w:w="90" w:type="dxa"/>
              <w:bottom w:w="70" w:type="dxa"/>
              <w:right w:w="90" w:type="dxa"/>
            </w:tcMar>
            <w:vAlign w:val="center"/>
          </w:tcPr>
          <w:p w14:paraId="51E65F6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0DE72C8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78A48B7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5B872C3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220ECE09" w14:textId="77777777">
        <w:trPr>
          <w:jc w:val="center"/>
        </w:trPr>
        <w:tc>
          <w:tcPr>
            <w:tcW w:w="1656" w:type="dxa"/>
            <w:tcMar>
              <w:top w:w="70" w:type="dxa"/>
              <w:left w:w="90" w:type="dxa"/>
              <w:bottom w:w="70" w:type="dxa"/>
              <w:right w:w="90" w:type="dxa"/>
            </w:tcMar>
            <w:vAlign w:val="center"/>
          </w:tcPr>
          <w:p w14:paraId="7488ABB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3A315CE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12C5213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2F992AE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3D7F2E05" w14:textId="77777777">
        <w:trPr>
          <w:jc w:val="center"/>
        </w:trPr>
        <w:tc>
          <w:tcPr>
            <w:tcW w:w="1656" w:type="dxa"/>
            <w:tcMar>
              <w:top w:w="70" w:type="dxa"/>
              <w:left w:w="90" w:type="dxa"/>
              <w:bottom w:w="70" w:type="dxa"/>
              <w:right w:w="90" w:type="dxa"/>
            </w:tcMar>
            <w:vAlign w:val="center"/>
          </w:tcPr>
          <w:p w14:paraId="2D02F00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64BE542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4AFCE7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1791553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46FC16FE" w14:textId="77777777">
        <w:trPr>
          <w:jc w:val="center"/>
        </w:trPr>
        <w:tc>
          <w:tcPr>
            <w:tcW w:w="1656" w:type="dxa"/>
            <w:tcMar>
              <w:top w:w="70" w:type="dxa"/>
              <w:left w:w="90" w:type="dxa"/>
              <w:bottom w:w="70" w:type="dxa"/>
              <w:right w:w="90" w:type="dxa"/>
            </w:tcMar>
            <w:vAlign w:val="center"/>
          </w:tcPr>
          <w:p w14:paraId="5315462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7230A22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4EC897A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006F402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79B785B" w14:textId="77777777">
        <w:trPr>
          <w:jc w:val="center"/>
        </w:trPr>
        <w:tc>
          <w:tcPr>
            <w:tcW w:w="1656" w:type="dxa"/>
            <w:tcMar>
              <w:top w:w="70" w:type="dxa"/>
              <w:left w:w="90" w:type="dxa"/>
              <w:bottom w:w="70" w:type="dxa"/>
              <w:right w:w="90" w:type="dxa"/>
            </w:tcMar>
            <w:vAlign w:val="center"/>
          </w:tcPr>
          <w:p w14:paraId="500AE26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4C9D078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3F35912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050EE608"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2B8685C6" w14:textId="77777777">
        <w:trPr>
          <w:jc w:val="center"/>
        </w:trPr>
        <w:tc>
          <w:tcPr>
            <w:tcW w:w="1656" w:type="dxa"/>
            <w:tcMar>
              <w:top w:w="70" w:type="dxa"/>
              <w:left w:w="90" w:type="dxa"/>
              <w:bottom w:w="70" w:type="dxa"/>
              <w:right w:w="90" w:type="dxa"/>
            </w:tcMar>
            <w:vAlign w:val="center"/>
          </w:tcPr>
          <w:p w14:paraId="1264FE6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4781340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42B5AC4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4E9E574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62C6CE00"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7FD9C45E"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604F395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w:t>
      </w:r>
      <w:r w:rsidRPr="002A2802">
        <w:rPr>
          <w:rFonts w:asciiTheme="majorHAnsi" w:hAnsiTheme="majorHAnsi"/>
          <w:color w:val="000000" w:themeColor="text1"/>
        </w:rPr>
        <w:t>lice to test stability rather than enlarge the same result.</w:t>
      </w:r>
    </w:p>
    <w:p w14:paraId="5A57ADB9"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70B07A5B"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D52E155"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6. Results</w:t>
      </w:r>
    </w:p>
    <w:p w14:paraId="2F9B3F7D"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14:paraId="71DF6E6E"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9C71DE" w14:textId="77777777" w:rsidR="00A16D83" w:rsidRPr="002A2802" w:rsidRDefault="00D1548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6080760" cy="3379752"/>
                    </a:xfrm>
                    <a:prstGeom prst="rect">
                      <a:avLst/>
                    </a:prstGeom>
                  </pic:spPr>
                </pic:pic>
              </a:graphicData>
            </a:graphic>
          </wp:inline>
        </w:drawing>
      </w:r>
    </w:p>
    <w:p w14:paraId="43C90786" w14:textId="77777777" w:rsidR="00A16D83" w:rsidRPr="002A2802" w:rsidRDefault="00D1548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12326A29"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31F6F80"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w:t>
      </w:r>
      <w:r w:rsidRPr="002A2802">
        <w:rPr>
          <w:rFonts w:asciiTheme="majorHAnsi" w:hAnsiTheme="majorHAnsi"/>
          <w:color w:val="000000" w:themeColor="text1"/>
        </w:rPr>
        <w:lastRenderedPageBreak/>
        <w:t>retrieval, both selectors again chose the same high-retrieval policy. A larger T2-RAGBench development run was directly unfavorable to RAG Compass, reinforcing the optimizer-agnostic design.</w:t>
      </w:r>
    </w:p>
    <w:p w14:paraId="58055BB6"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w:t>
      </w:r>
      <w:r w:rsidRPr="002A2802">
        <w:rPr>
          <w:rFonts w:asciiTheme="majorHAnsi" w:hAnsiTheme="majorHAnsi"/>
          <w:color w:val="000000" w:themeColor="text1"/>
        </w:rPr>
        <w:t>didate, not that it discovered a universally better retriever.</w:t>
      </w:r>
    </w:p>
    <w:p w14:paraId="609C49A1"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66C190A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These studies also expose an important distinction between selection correctness and hindsight regret. A policy selected from validation evidence can lose to another policy on a sealed test set without implying a logic defect. RAGTune records that reversal, but it does not retroactively choose the test winner. This preserves the separation between model selection and final estimation that the governance contract is intended to enforce.</w:t>
      </w:r>
    </w:p>
    <w:p w14:paraId="2AD68D51"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6.2 Fail-closed outcomes</w:t>
      </w:r>
    </w:p>
    <w:p w14:paraId="03F81693"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HotpotQA provides the clearest negative test. The governed policy reduced retrieval cost, context volume, and calls, but answer quality declined beyond the declared noninferiority margin. A conventional efficiency report could describe the run as a cost win; RAGTune classified it as operational gain with quality loss and withheld promotion.</w:t>
      </w:r>
    </w:p>
    <w:p w14:paraId="5F86B714"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4E2A6483" w14:textId="44BDB9C6"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Fail-closed behavior is costly: a conservative controller can retain an expensive baseline or delay a useful change. The packaged artifacts therefore record blocked rate, 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4B5EE528"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128A1B2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73F9488"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w:t>
      </w:r>
      <w:r w:rsidRPr="002A2802">
        <w:rPr>
          <w:rFonts w:asciiTheme="majorHAnsi" w:hAnsiTheme="majorHAnsi"/>
          <w:color w:val="000000" w:themeColor="text1"/>
        </w:rPr>
        <w:t>ded evidence, not a stable optimization claim.</w:t>
      </w:r>
    </w:p>
    <w:p w14:paraId="3D32138D"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4524E283" w14:textId="77777777" w:rsidR="00A16D83" w:rsidRPr="002A2802" w:rsidRDefault="00D1548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331290B6"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w:t>
      </w:r>
      <w:r w:rsidRPr="002A2802">
        <w:rPr>
          <w:rFonts w:asciiTheme="majorHAnsi" w:hAnsiTheme="majorHAnsi"/>
          <w:color w:val="000000" w:themeColor="text1"/>
        </w:rPr>
        <w:t>om operational ranking.</w:t>
      </w:r>
    </w:p>
    <w:p w14:paraId="6A4656C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The systems artifact also passed the practical tests expected of an open-source governance engine. A fresh Git clone installed and reproduced the public-mini workflow without private data or model credentials. The hardened Docker job ran as a fixed non-root user with a read-only filesystem, dropped capabilities, no-new-privileges, resource limits, and no network for the mini run. Verify-run confirmed hashes and schemas, external-evaluator adapters generated a promotion decision, and the release-candidate ha</w:t>
      </w:r>
      <w:r w:rsidRPr="002A2802">
        <w:rPr>
          <w:rFonts w:asciiTheme="majorHAnsi" w:hAnsiTheme="majorHAnsi"/>
          <w:color w:val="000000" w:themeColor="text1"/>
        </w:rPr>
        <w:t>rdware report excluded hostnames, addresses, serial numbers, and private paths.</w:t>
      </w:r>
    </w:p>
    <w:p w14:paraId="277C072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Fresh-clone and container results matter because a governance decision is credible only if an independent reviewer can execute the contract that produced it. The public mini is intentionally synthetic and fail-closed: it proves installation, schemas, exit behavior, artifact generation, and claim checks without implying external efficacy. The external-adapter demonstration serves the same systems purpose by showing that RAGTune can consume declared metric exports without bundling or impersonating the upstrea</w:t>
      </w:r>
      <w:r w:rsidRPr="002A2802">
        <w:rPr>
          <w:rFonts w:asciiTheme="majorHAnsi" w:hAnsiTheme="majorHAnsi"/>
          <w:color w:val="000000" w:themeColor="text1"/>
        </w:rPr>
        <w:t>m platforms.</w:t>
      </w:r>
    </w:p>
    <w:p w14:paraId="5C2A59F9" w14:textId="77777777" w:rsidR="00A16D83" w:rsidRPr="002A2802" w:rsidRDefault="00D1548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6035040" cy="2745623"/>
                    </a:xfrm>
                    <a:prstGeom prst="rect">
                      <a:avLst/>
                    </a:prstGeom>
                  </pic:spPr>
                </pic:pic>
              </a:graphicData>
            </a:graphic>
          </wp:inline>
        </w:drawing>
      </w:r>
    </w:p>
    <w:p w14:paraId="5FCA8F41" w14:textId="77777777" w:rsidR="00A16D83" w:rsidRPr="002A2802" w:rsidRDefault="00D1548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500D496F" w14:textId="77777777">
        <w:trPr>
          <w:tblHeader/>
          <w:jc w:val="center"/>
        </w:trPr>
        <w:tc>
          <w:tcPr>
            <w:tcW w:w="1800" w:type="dxa"/>
            <w:shd w:val="clear" w:color="auto" w:fill="DCE8EF"/>
            <w:tcMar>
              <w:top w:w="70" w:type="dxa"/>
              <w:left w:w="90" w:type="dxa"/>
              <w:bottom w:w="70" w:type="dxa"/>
              <w:right w:w="90" w:type="dxa"/>
            </w:tcMar>
            <w:vAlign w:val="center"/>
          </w:tcPr>
          <w:p w14:paraId="78E69CBB"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Evaluation</w:t>
            </w:r>
          </w:p>
        </w:tc>
        <w:tc>
          <w:tcPr>
            <w:tcW w:w="1872" w:type="dxa"/>
            <w:shd w:val="clear" w:color="auto" w:fill="DCE8EF"/>
            <w:tcMar>
              <w:top w:w="70" w:type="dxa"/>
              <w:left w:w="90" w:type="dxa"/>
              <w:bottom w:w="70" w:type="dxa"/>
              <w:right w:w="90" w:type="dxa"/>
            </w:tcMar>
            <w:vAlign w:val="center"/>
          </w:tcPr>
          <w:p w14:paraId="4217B642"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22B7D347"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0131015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5CFE8236" w14:textId="77777777">
        <w:trPr>
          <w:jc w:val="center"/>
        </w:trPr>
        <w:tc>
          <w:tcPr>
            <w:tcW w:w="1800" w:type="dxa"/>
            <w:tcMar>
              <w:top w:w="70" w:type="dxa"/>
              <w:left w:w="90" w:type="dxa"/>
              <w:bottom w:w="70" w:type="dxa"/>
              <w:right w:w="90" w:type="dxa"/>
            </w:tcMar>
            <w:vAlign w:val="center"/>
          </w:tcPr>
          <w:p w14:paraId="28C7179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78DFFEB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443BF25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4ACE076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729D9F6C" w14:textId="77777777">
        <w:trPr>
          <w:jc w:val="center"/>
        </w:trPr>
        <w:tc>
          <w:tcPr>
            <w:tcW w:w="1800" w:type="dxa"/>
            <w:tcMar>
              <w:top w:w="70" w:type="dxa"/>
              <w:left w:w="90" w:type="dxa"/>
              <w:bottom w:w="70" w:type="dxa"/>
              <w:right w:w="90" w:type="dxa"/>
            </w:tcMar>
            <w:vAlign w:val="center"/>
          </w:tcPr>
          <w:p w14:paraId="2AD6274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74AD006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2BF5E2D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30CF19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6B925A89" w14:textId="77777777">
        <w:trPr>
          <w:jc w:val="center"/>
        </w:trPr>
        <w:tc>
          <w:tcPr>
            <w:tcW w:w="1800" w:type="dxa"/>
            <w:tcMar>
              <w:top w:w="70" w:type="dxa"/>
              <w:left w:w="90" w:type="dxa"/>
              <w:bottom w:w="70" w:type="dxa"/>
              <w:right w:w="90" w:type="dxa"/>
            </w:tcMar>
            <w:vAlign w:val="center"/>
          </w:tcPr>
          <w:p w14:paraId="23F9E37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44979E4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7A0BC8E"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C6E392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6DDDAC5B" w14:textId="77777777">
        <w:trPr>
          <w:jc w:val="center"/>
        </w:trPr>
        <w:tc>
          <w:tcPr>
            <w:tcW w:w="1800" w:type="dxa"/>
            <w:tcMar>
              <w:top w:w="70" w:type="dxa"/>
              <w:left w:w="90" w:type="dxa"/>
              <w:bottom w:w="70" w:type="dxa"/>
              <w:right w:w="90" w:type="dxa"/>
            </w:tcMar>
            <w:vAlign w:val="center"/>
          </w:tcPr>
          <w:p w14:paraId="68A838C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1896D94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6E1A27F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7C7D4C1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2F5B6DD2" w14:textId="77777777">
        <w:trPr>
          <w:jc w:val="center"/>
        </w:trPr>
        <w:tc>
          <w:tcPr>
            <w:tcW w:w="1800" w:type="dxa"/>
            <w:tcMar>
              <w:top w:w="70" w:type="dxa"/>
              <w:left w:w="90" w:type="dxa"/>
              <w:bottom w:w="70" w:type="dxa"/>
              <w:right w:w="90" w:type="dxa"/>
            </w:tcMar>
            <w:vAlign w:val="center"/>
          </w:tcPr>
          <w:p w14:paraId="6C2A055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231B8BD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72D0514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3CCA138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22BA969F" w14:textId="77777777">
        <w:trPr>
          <w:jc w:val="center"/>
        </w:trPr>
        <w:tc>
          <w:tcPr>
            <w:tcW w:w="1800" w:type="dxa"/>
            <w:tcMar>
              <w:top w:w="70" w:type="dxa"/>
              <w:left w:w="90" w:type="dxa"/>
              <w:bottom w:w="70" w:type="dxa"/>
              <w:right w:w="90" w:type="dxa"/>
            </w:tcMar>
            <w:vAlign w:val="center"/>
          </w:tcPr>
          <w:p w14:paraId="6190D3F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C20EAA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65D5B69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52C9CC9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6159ECE3" w14:textId="77777777">
        <w:trPr>
          <w:jc w:val="center"/>
        </w:trPr>
        <w:tc>
          <w:tcPr>
            <w:tcW w:w="1800" w:type="dxa"/>
            <w:tcMar>
              <w:top w:w="70" w:type="dxa"/>
              <w:left w:w="90" w:type="dxa"/>
              <w:bottom w:w="70" w:type="dxa"/>
              <w:right w:w="90" w:type="dxa"/>
            </w:tcMar>
            <w:vAlign w:val="center"/>
          </w:tcPr>
          <w:p w14:paraId="6B311C7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561DDEB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2F6ECE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65EA1CA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48B2B6D7" w14:textId="77777777">
        <w:trPr>
          <w:jc w:val="center"/>
        </w:trPr>
        <w:tc>
          <w:tcPr>
            <w:tcW w:w="1800" w:type="dxa"/>
            <w:tcMar>
              <w:top w:w="70" w:type="dxa"/>
              <w:left w:w="90" w:type="dxa"/>
              <w:bottom w:w="70" w:type="dxa"/>
              <w:right w:w="90" w:type="dxa"/>
            </w:tcMar>
            <w:vAlign w:val="center"/>
          </w:tcPr>
          <w:p w14:paraId="51E19F7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57AFCB1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0E0ED49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69FDCD1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00FFF971" w14:textId="77777777">
        <w:trPr>
          <w:jc w:val="center"/>
        </w:trPr>
        <w:tc>
          <w:tcPr>
            <w:tcW w:w="1800" w:type="dxa"/>
            <w:tcMar>
              <w:top w:w="70" w:type="dxa"/>
              <w:left w:w="90" w:type="dxa"/>
              <w:bottom w:w="70" w:type="dxa"/>
              <w:right w:w="90" w:type="dxa"/>
            </w:tcMar>
            <w:vAlign w:val="center"/>
          </w:tcPr>
          <w:p w14:paraId="0B1D1FC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7758448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1049838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6F468F9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77110624"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14:paraId="632585B8"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7. Discussion</w:t>
      </w:r>
    </w:p>
    <w:p w14:paraId="3187C5C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RAGTune's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w:t>
      </w:r>
      <w:r w:rsidRPr="002A2802">
        <w:rPr>
          <w:rFonts w:asciiTheme="majorHAnsi" w:hAnsiTheme="majorHAnsi"/>
          <w:color w:val="000000" w:themeColor="text1"/>
        </w:rPr>
        <w:lastRenderedPageBreak/>
        <w:t>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40BB264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position is complementary to existing tools. A team may obtain answer correctness from one evaluator, faithfulness from another, cost and latency from traces, and a security disqualifier from a separate suite. RAGTune's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66B85A7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49737DEB"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practical governance program must eventually price false refusal as carefully as false promotion. Blocking too often can preserve a costly configuration, slow improvement, and encourage teams to bypass the process. RAGTune's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w:t>
      </w:r>
      <w:r w:rsidRPr="002A2802">
        <w:rPr>
          <w:rFonts w:asciiTheme="majorHAnsi" w:hAnsiTheme="majorHAnsi"/>
          <w:color w:val="000000" w:themeColor="text1"/>
        </w:rPr>
        <w:t>e decision curve rather than only whether any single policy wins.</w:t>
      </w:r>
    </w:p>
    <w:p w14:paraId="6EB26F6B"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RAGTune can run as a finite CI</w:t>
      </w:r>
      <w:r w:rsidRPr="002A2802">
        <w:rPr>
          <w:rFonts w:asciiTheme="majorHAnsi" w:hAnsiTheme="majorHAnsi"/>
          <w:color w:val="000000" w:themeColor="text1"/>
        </w:rPr>
        <w:t>/CD or monitoring job and emit an artifact suitable for change review; integration with live identity, authorization, and incident processes remains deployment-specific.</w:t>
      </w:r>
    </w:p>
    <w:p w14:paraId="4E694DE9"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w:t>
      </w:r>
      <w:r w:rsidRPr="002A2802">
        <w:rPr>
          <w:rFonts w:asciiTheme="majorHAnsi" w:hAnsiTheme="majorHAnsi"/>
          <w:color w:val="000000" w:themeColor="text1"/>
        </w:rPr>
        <w:t xml:space="preserve"> configuration exists.</w:t>
      </w:r>
    </w:p>
    <w:p w14:paraId="38DECF04"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56B8B175"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067CA9A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14:paraId="77851E7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48EEC147"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14:paraId="0A7998FD"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75EECD5E"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Reproducibility artifacts verify code paths, decisions, and public hygiene; they cannot independently verify licensed raw data that are excluded from the repository. Exact external replication therefore depends on acquiring the original corpora and reconstructing the declared manifests. The release tag itself is an engineering checkpoint rather than a guarantee that every historical artifact can be regenerated without those sources.</w:t>
      </w:r>
    </w:p>
    <w:p w14:paraId="65497679"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E52EC61"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v0.1.0-rc1 artifact identifies a fixed commit and includes configs, schemas, sanitized processed results, tests, Docker assets, deployment templates, claim tables, release manifests, and an evidence ledger.</w:t>
      </w:r>
    </w:p>
    <w:p w14:paraId="5E4318B5"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4F17BEEE" w14:textId="5C16B726"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5D048EDE"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10. Conclusion</w:t>
      </w:r>
    </w:p>
    <w:p w14:paraId="12E9D5C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2FBA37AA"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15F6337A"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1218412" w14:textId="77777777" w:rsidR="00A16D83" w:rsidRPr="002A2802" w:rsidRDefault="00D1548E">
      <w:pPr>
        <w:rPr>
          <w:rFonts w:asciiTheme="majorHAnsi" w:hAnsiTheme="majorHAnsi"/>
          <w:color w:val="000000" w:themeColor="text1"/>
        </w:rPr>
      </w:pPr>
      <w:r w:rsidRPr="002A2802">
        <w:rPr>
          <w:rFonts w:asciiTheme="majorHAnsi" w:hAnsiTheme="majorHAnsi"/>
          <w:color w:val="000000" w:themeColor="text1"/>
        </w:rPr>
        <w:br w:type="page"/>
      </w:r>
    </w:p>
    <w:p w14:paraId="1DD47B96"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B95E32F" w14:textId="77777777" w:rsidR="00A16D83" w:rsidRPr="002A2802" w:rsidRDefault="00D1548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RAGTune's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7A63A808" w14:textId="77777777">
        <w:trPr>
          <w:tblHeader/>
          <w:jc w:val="center"/>
        </w:trPr>
        <w:tc>
          <w:tcPr>
            <w:tcW w:w="1872" w:type="dxa"/>
            <w:shd w:val="clear" w:color="auto" w:fill="DCE8EF"/>
            <w:tcMar>
              <w:top w:w="70" w:type="dxa"/>
              <w:left w:w="90" w:type="dxa"/>
              <w:bottom w:w="70" w:type="dxa"/>
              <w:right w:w="90" w:type="dxa"/>
            </w:tcMar>
            <w:vAlign w:val="center"/>
          </w:tcPr>
          <w:p w14:paraId="40397D0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787E7897"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26E52D25"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4101BAAF"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696611" w14:textId="77777777">
        <w:trPr>
          <w:jc w:val="center"/>
        </w:trPr>
        <w:tc>
          <w:tcPr>
            <w:tcW w:w="1872" w:type="dxa"/>
            <w:tcMar>
              <w:top w:w="70" w:type="dxa"/>
              <w:left w:w="90" w:type="dxa"/>
              <w:bottom w:w="70" w:type="dxa"/>
              <w:right w:w="90" w:type="dxa"/>
            </w:tcMar>
            <w:vAlign w:val="center"/>
          </w:tcPr>
          <w:p w14:paraId="5C3240A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0EE7295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52A1DA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4BBFDC0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16D7D254" w14:textId="77777777">
        <w:trPr>
          <w:jc w:val="center"/>
        </w:trPr>
        <w:tc>
          <w:tcPr>
            <w:tcW w:w="1872" w:type="dxa"/>
            <w:tcMar>
              <w:top w:w="70" w:type="dxa"/>
              <w:left w:w="90" w:type="dxa"/>
              <w:bottom w:w="70" w:type="dxa"/>
              <w:right w:w="90" w:type="dxa"/>
            </w:tcMar>
            <w:vAlign w:val="center"/>
          </w:tcPr>
          <w:p w14:paraId="587D6C5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5EB35C5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21E9672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1227AB0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68214C07" w14:textId="77777777">
        <w:trPr>
          <w:jc w:val="center"/>
        </w:trPr>
        <w:tc>
          <w:tcPr>
            <w:tcW w:w="1872" w:type="dxa"/>
            <w:tcMar>
              <w:top w:w="70" w:type="dxa"/>
              <w:left w:w="90" w:type="dxa"/>
              <w:bottom w:w="70" w:type="dxa"/>
              <w:right w:w="90" w:type="dxa"/>
            </w:tcMar>
            <w:vAlign w:val="center"/>
          </w:tcPr>
          <w:p w14:paraId="70ACA44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2A260CE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10C907A8"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0B376B7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430B67DD" w14:textId="77777777">
        <w:trPr>
          <w:jc w:val="center"/>
        </w:trPr>
        <w:tc>
          <w:tcPr>
            <w:tcW w:w="1872" w:type="dxa"/>
            <w:tcMar>
              <w:top w:w="70" w:type="dxa"/>
              <w:left w:w="90" w:type="dxa"/>
              <w:bottom w:w="70" w:type="dxa"/>
              <w:right w:w="90" w:type="dxa"/>
            </w:tcMar>
            <w:vAlign w:val="center"/>
          </w:tcPr>
          <w:p w14:paraId="606E860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0B1994F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6F738A7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3E93B17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CAC94BB" w14:textId="77777777">
        <w:trPr>
          <w:jc w:val="center"/>
        </w:trPr>
        <w:tc>
          <w:tcPr>
            <w:tcW w:w="1872" w:type="dxa"/>
            <w:tcMar>
              <w:top w:w="70" w:type="dxa"/>
              <w:left w:w="90" w:type="dxa"/>
              <w:bottom w:w="70" w:type="dxa"/>
              <w:right w:w="90" w:type="dxa"/>
            </w:tcMar>
            <w:vAlign w:val="center"/>
          </w:tcPr>
          <w:p w14:paraId="279C500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32B6954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218986E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3408478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62C51989" w14:textId="77777777">
        <w:trPr>
          <w:jc w:val="center"/>
        </w:trPr>
        <w:tc>
          <w:tcPr>
            <w:tcW w:w="1872" w:type="dxa"/>
            <w:tcMar>
              <w:top w:w="70" w:type="dxa"/>
              <w:left w:w="90" w:type="dxa"/>
              <w:bottom w:w="70" w:type="dxa"/>
              <w:right w:w="90" w:type="dxa"/>
            </w:tcMar>
            <w:vAlign w:val="center"/>
          </w:tcPr>
          <w:p w14:paraId="43D2947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00974EF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47BDEFA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5C9F351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032EE810" w14:textId="77777777">
        <w:trPr>
          <w:jc w:val="center"/>
        </w:trPr>
        <w:tc>
          <w:tcPr>
            <w:tcW w:w="1872" w:type="dxa"/>
            <w:tcMar>
              <w:top w:w="70" w:type="dxa"/>
              <w:left w:w="90" w:type="dxa"/>
              <w:bottom w:w="70" w:type="dxa"/>
              <w:right w:w="90" w:type="dxa"/>
            </w:tcMar>
            <w:vAlign w:val="center"/>
          </w:tcPr>
          <w:p w14:paraId="3E71769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21E0105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2BDFD95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45A26CA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216DB49" w14:textId="77777777">
        <w:trPr>
          <w:jc w:val="center"/>
        </w:trPr>
        <w:tc>
          <w:tcPr>
            <w:tcW w:w="1872" w:type="dxa"/>
            <w:tcMar>
              <w:top w:w="70" w:type="dxa"/>
              <w:left w:w="90" w:type="dxa"/>
              <w:bottom w:w="70" w:type="dxa"/>
              <w:right w:w="90" w:type="dxa"/>
            </w:tcMar>
            <w:vAlign w:val="center"/>
          </w:tcPr>
          <w:p w14:paraId="3989536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64525D7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46D9233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132874D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11E73313"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6D9F122D"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0A8943FC" w14:textId="77777777" w:rsidR="00A16D83" w:rsidRPr="002A2802" w:rsidRDefault="00D1548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promotion_decision.json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7265F34D" w14:textId="77777777">
        <w:trPr>
          <w:tblHeader/>
          <w:jc w:val="center"/>
        </w:trPr>
        <w:tc>
          <w:tcPr>
            <w:tcW w:w="1584" w:type="dxa"/>
            <w:shd w:val="clear" w:color="auto" w:fill="DCE8EF"/>
            <w:tcMar>
              <w:top w:w="70" w:type="dxa"/>
              <w:left w:w="90" w:type="dxa"/>
              <w:bottom w:w="70" w:type="dxa"/>
              <w:right w:w="90" w:type="dxa"/>
            </w:tcMar>
            <w:vAlign w:val="center"/>
          </w:tcPr>
          <w:p w14:paraId="4F01C2C8"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119A6141"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6A91B1FC"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4FC10553" w14:textId="77777777">
        <w:trPr>
          <w:jc w:val="center"/>
        </w:trPr>
        <w:tc>
          <w:tcPr>
            <w:tcW w:w="1584" w:type="dxa"/>
            <w:tcMar>
              <w:top w:w="70" w:type="dxa"/>
              <w:left w:w="90" w:type="dxa"/>
              <w:bottom w:w="70" w:type="dxa"/>
              <w:right w:w="90" w:type="dxa"/>
            </w:tcMar>
            <w:vAlign w:val="center"/>
          </w:tcPr>
          <w:p w14:paraId="4C33BA3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777CE4A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0D5D4F8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259546C9" w14:textId="77777777">
        <w:trPr>
          <w:jc w:val="center"/>
        </w:trPr>
        <w:tc>
          <w:tcPr>
            <w:tcW w:w="1584" w:type="dxa"/>
            <w:tcMar>
              <w:top w:w="70" w:type="dxa"/>
              <w:left w:w="90" w:type="dxa"/>
              <w:bottom w:w="70" w:type="dxa"/>
              <w:right w:w="90" w:type="dxa"/>
            </w:tcMar>
            <w:vAlign w:val="center"/>
          </w:tcPr>
          <w:p w14:paraId="3AF610B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0CEC85A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8D09948"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24141BA6" w14:textId="77777777">
        <w:trPr>
          <w:jc w:val="center"/>
        </w:trPr>
        <w:tc>
          <w:tcPr>
            <w:tcW w:w="1584" w:type="dxa"/>
            <w:tcMar>
              <w:top w:w="70" w:type="dxa"/>
              <w:left w:w="90" w:type="dxa"/>
              <w:bottom w:w="70" w:type="dxa"/>
              <w:right w:w="90" w:type="dxa"/>
            </w:tcMar>
            <w:vAlign w:val="center"/>
          </w:tcPr>
          <w:p w14:paraId="6AC9488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46EFABF8"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73A535F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75CD3280" w14:textId="77777777">
        <w:trPr>
          <w:jc w:val="center"/>
        </w:trPr>
        <w:tc>
          <w:tcPr>
            <w:tcW w:w="1584" w:type="dxa"/>
            <w:tcMar>
              <w:top w:w="70" w:type="dxa"/>
              <w:left w:w="90" w:type="dxa"/>
              <w:bottom w:w="70" w:type="dxa"/>
              <w:right w:w="90" w:type="dxa"/>
            </w:tcMar>
            <w:vAlign w:val="center"/>
          </w:tcPr>
          <w:p w14:paraId="32757DC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606635C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C29AC8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1F5E9606" w14:textId="77777777">
        <w:trPr>
          <w:jc w:val="center"/>
        </w:trPr>
        <w:tc>
          <w:tcPr>
            <w:tcW w:w="1584" w:type="dxa"/>
            <w:tcMar>
              <w:top w:w="70" w:type="dxa"/>
              <w:left w:w="90" w:type="dxa"/>
              <w:bottom w:w="70" w:type="dxa"/>
              <w:right w:w="90" w:type="dxa"/>
            </w:tcMar>
            <w:vAlign w:val="center"/>
          </w:tcPr>
          <w:p w14:paraId="5C1748D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04515E8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40A5454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1C538CA1" w14:textId="77777777">
        <w:trPr>
          <w:jc w:val="center"/>
        </w:trPr>
        <w:tc>
          <w:tcPr>
            <w:tcW w:w="1584" w:type="dxa"/>
            <w:tcMar>
              <w:top w:w="70" w:type="dxa"/>
              <w:left w:w="90" w:type="dxa"/>
              <w:bottom w:w="70" w:type="dxa"/>
              <w:right w:w="90" w:type="dxa"/>
            </w:tcMar>
            <w:vAlign w:val="center"/>
          </w:tcPr>
          <w:p w14:paraId="0AAE1BA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66B2D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02E813F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4C46CD6A"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53432C94"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Appendix C. Current Claim Status</w:t>
      </w:r>
    </w:p>
    <w:p w14:paraId="53121822" w14:textId="77777777" w:rsidR="00A16D83" w:rsidRPr="002A2802" w:rsidRDefault="00D1548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12860038" w14:textId="77777777">
        <w:trPr>
          <w:tblHeader/>
          <w:jc w:val="center"/>
        </w:trPr>
        <w:tc>
          <w:tcPr>
            <w:tcW w:w="2520" w:type="dxa"/>
            <w:shd w:val="clear" w:color="auto" w:fill="DCE8EF"/>
            <w:tcMar>
              <w:top w:w="70" w:type="dxa"/>
              <w:left w:w="90" w:type="dxa"/>
              <w:bottom w:w="70" w:type="dxa"/>
              <w:right w:w="90" w:type="dxa"/>
            </w:tcMar>
            <w:vAlign w:val="center"/>
          </w:tcPr>
          <w:p w14:paraId="7834BF8B"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1AA5269E"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v0.1.0-rc1</w:t>
            </w:r>
          </w:p>
        </w:tc>
        <w:tc>
          <w:tcPr>
            <w:tcW w:w="5472" w:type="dxa"/>
            <w:shd w:val="clear" w:color="auto" w:fill="DCE8EF"/>
            <w:tcMar>
              <w:top w:w="70" w:type="dxa"/>
              <w:left w:w="90" w:type="dxa"/>
              <w:bottom w:w="70" w:type="dxa"/>
              <w:right w:w="90" w:type="dxa"/>
            </w:tcMar>
            <w:vAlign w:val="center"/>
          </w:tcPr>
          <w:p w14:paraId="4CC73D43" w14:textId="77777777" w:rsidR="00A16D83" w:rsidRPr="002A2802" w:rsidRDefault="00D1548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4121086B" w14:textId="77777777">
        <w:trPr>
          <w:jc w:val="center"/>
        </w:trPr>
        <w:tc>
          <w:tcPr>
            <w:tcW w:w="2520" w:type="dxa"/>
            <w:tcMar>
              <w:top w:w="70" w:type="dxa"/>
              <w:left w:w="90" w:type="dxa"/>
              <w:bottom w:w="70" w:type="dxa"/>
              <w:right w:w="90" w:type="dxa"/>
            </w:tcMar>
            <w:vAlign w:val="center"/>
          </w:tcPr>
          <w:p w14:paraId="39C325C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0E8C4CE9"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376F3A6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5FAE9354" w14:textId="77777777">
        <w:trPr>
          <w:jc w:val="center"/>
        </w:trPr>
        <w:tc>
          <w:tcPr>
            <w:tcW w:w="2520" w:type="dxa"/>
            <w:tcMar>
              <w:top w:w="70" w:type="dxa"/>
              <w:left w:w="90" w:type="dxa"/>
              <w:bottom w:w="70" w:type="dxa"/>
              <w:right w:w="90" w:type="dxa"/>
            </w:tcMar>
            <w:vAlign w:val="center"/>
          </w:tcPr>
          <w:p w14:paraId="2B4CB9C7"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397FD70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7868987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56F44FCA" w14:textId="77777777">
        <w:trPr>
          <w:jc w:val="center"/>
        </w:trPr>
        <w:tc>
          <w:tcPr>
            <w:tcW w:w="2520" w:type="dxa"/>
            <w:tcMar>
              <w:top w:w="70" w:type="dxa"/>
              <w:left w:w="90" w:type="dxa"/>
              <w:bottom w:w="70" w:type="dxa"/>
              <w:right w:w="90" w:type="dxa"/>
            </w:tcMar>
            <w:vAlign w:val="center"/>
          </w:tcPr>
          <w:p w14:paraId="4756E5E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6BBE36A4"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7B43111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2CD31F9A" w14:textId="77777777">
        <w:trPr>
          <w:jc w:val="center"/>
        </w:trPr>
        <w:tc>
          <w:tcPr>
            <w:tcW w:w="2520" w:type="dxa"/>
            <w:tcMar>
              <w:top w:w="70" w:type="dxa"/>
              <w:left w:w="90" w:type="dxa"/>
              <w:bottom w:w="70" w:type="dxa"/>
              <w:right w:w="90" w:type="dxa"/>
            </w:tcMar>
            <w:vAlign w:val="center"/>
          </w:tcPr>
          <w:p w14:paraId="75A5D28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758A25D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DB583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1CC98E25" w14:textId="77777777">
        <w:trPr>
          <w:jc w:val="center"/>
        </w:trPr>
        <w:tc>
          <w:tcPr>
            <w:tcW w:w="2520" w:type="dxa"/>
            <w:tcMar>
              <w:top w:w="70" w:type="dxa"/>
              <w:left w:w="90" w:type="dxa"/>
              <w:bottom w:w="70" w:type="dxa"/>
              <w:right w:w="90" w:type="dxa"/>
            </w:tcMar>
            <w:vAlign w:val="center"/>
          </w:tcPr>
          <w:p w14:paraId="3A701B95"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79DEE54A"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0F30A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62AA5BDB" w14:textId="77777777">
        <w:trPr>
          <w:jc w:val="center"/>
        </w:trPr>
        <w:tc>
          <w:tcPr>
            <w:tcW w:w="2520" w:type="dxa"/>
            <w:tcMar>
              <w:top w:w="70" w:type="dxa"/>
              <w:left w:w="90" w:type="dxa"/>
              <w:bottom w:w="70" w:type="dxa"/>
              <w:right w:w="90" w:type="dxa"/>
            </w:tcMar>
            <w:vAlign w:val="center"/>
          </w:tcPr>
          <w:p w14:paraId="7B5EEC71"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03A1A470"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6B2E1A0D"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66264389" w14:textId="77777777">
        <w:trPr>
          <w:jc w:val="center"/>
        </w:trPr>
        <w:tc>
          <w:tcPr>
            <w:tcW w:w="2520" w:type="dxa"/>
            <w:tcMar>
              <w:top w:w="70" w:type="dxa"/>
              <w:left w:w="90" w:type="dxa"/>
              <w:bottom w:w="70" w:type="dxa"/>
              <w:right w:w="90" w:type="dxa"/>
            </w:tcMar>
            <w:vAlign w:val="center"/>
          </w:tcPr>
          <w:p w14:paraId="3C92D96B"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68ABB72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E9F73B2"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05D897F1" w14:textId="77777777">
        <w:trPr>
          <w:jc w:val="center"/>
        </w:trPr>
        <w:tc>
          <w:tcPr>
            <w:tcW w:w="2520" w:type="dxa"/>
            <w:tcMar>
              <w:top w:w="70" w:type="dxa"/>
              <w:left w:w="90" w:type="dxa"/>
              <w:bottom w:w="70" w:type="dxa"/>
              <w:right w:w="90" w:type="dxa"/>
            </w:tcMar>
            <w:vAlign w:val="center"/>
          </w:tcPr>
          <w:p w14:paraId="64F9D0B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5EC9A0B3"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826DC2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661BF771" w14:textId="77777777">
        <w:trPr>
          <w:jc w:val="center"/>
        </w:trPr>
        <w:tc>
          <w:tcPr>
            <w:tcW w:w="2520" w:type="dxa"/>
            <w:tcMar>
              <w:top w:w="70" w:type="dxa"/>
              <w:left w:w="90" w:type="dxa"/>
              <w:bottom w:w="70" w:type="dxa"/>
              <w:right w:w="90" w:type="dxa"/>
            </w:tcMar>
            <w:vAlign w:val="center"/>
          </w:tcPr>
          <w:p w14:paraId="6149AEDF"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2C6954C"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5A8136" w14:textId="77777777" w:rsidR="00A16D83" w:rsidRPr="002A2802" w:rsidRDefault="00D1548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59F0896F" w14:textId="77777777" w:rsidR="00A16D83" w:rsidRPr="002A2802" w:rsidRDefault="00D1548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7BD549ED"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0820ACC"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57E51E22"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row-level reconstruction found only one unique paired delta. Query, cluster, dataset-blocked, seed, and hierarchical resampling therefore repeated the same aggregate policy difference rather than exposing query-level variation. RAGTune retained the original run as descriptive candidate-output evidence but marked it inconclusive for calibrated query-level uncertainty.</w:t>
      </w:r>
    </w:p>
    <w:p w14:paraId="0BC1D905" w14:textId="77777777" w:rsidR="00A16D83" w:rsidRPr="002A2802" w:rsidRDefault="00D1548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26AF400D" w14:textId="77777777" w:rsidR="00A16D83" w:rsidRPr="002A2802" w:rsidRDefault="00D1548E">
      <w:pPr>
        <w:rPr>
          <w:rFonts w:asciiTheme="majorHAnsi" w:hAnsiTheme="majorHAnsi"/>
          <w:color w:val="000000" w:themeColor="text1"/>
        </w:rPr>
      </w:pPr>
      <w:r w:rsidRPr="002A2802">
        <w:rPr>
          <w:rFonts w:asciiTheme="majorHAnsi" w:hAnsiTheme="majorHAnsi"/>
          <w:color w:val="000000" w:themeColor="text1"/>
        </w:rPr>
        <w:br w:type="page"/>
      </w:r>
    </w:p>
    <w:p w14:paraId="2C390525" w14:textId="77777777" w:rsidR="00A16D83" w:rsidRPr="002A2802" w:rsidRDefault="00D1548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2872ECA"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371AC6C3"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947F657"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8C236BA"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DBA7694"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0563F318"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6671A5B3"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[7] X. Yang, K. Sun, H. Xin, et al., 'CRAG-Comprehensive RAG Benchmark,' arXiv:2406.04744, 2024.</w:t>
      </w:r>
    </w:p>
    <w:p w14:paraId="30EEB6E5"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50EB3420"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6A3B8DA8"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09B664AA"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3540802F"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06826E48"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54CD8683"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6BAE3EEE"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6B12D85"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262C00F0"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012CC4D1"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D87404C"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38BA6A32" w14:textId="77777777" w:rsidR="00A16D83" w:rsidRPr="002A2802" w:rsidRDefault="00D1548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[20] AIM-RAGTune Contributors, RAGTune Governance, version 0.1.0-rc1, 2026. https://github.com/AIM-RAGTune/rag-tuning-governance-public.</w:t>
      </w:r>
    </w:p>
    <w:p w14:paraId="6288C330" w14:textId="77777777" w:rsidR="00A16D83" w:rsidRPr="002A2802" w:rsidRDefault="00D1548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sectPr w:rsidR="00A16D83" w:rsidRPr="002A2802" w:rsidSect="00034616">
      <w:headerReference w:type="default" r:id="rId15"/>
      <w:footerReference w:type="default" r:id="rId16"/>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39F80" w14:textId="77777777" w:rsidR="00D1548E" w:rsidRDefault="00D1548E">
      <w:pPr>
        <w:spacing w:after="0" w:line="240" w:lineRule="auto"/>
        <w:rPr>
          <w:rFonts w:hint="eastAsia"/>
        </w:rPr>
      </w:pPr>
      <w:r>
        <w:separator/>
      </w:r>
    </w:p>
  </w:endnote>
  <w:endnote w:type="continuationSeparator" w:id="0">
    <w:p w14:paraId="06FBAEF9" w14:textId="77777777" w:rsidR="00D1548E" w:rsidRDefault="00D154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5305" w14:textId="60DE158E" w:rsidR="00A16D83" w:rsidRDefault="00D1548E">
    <w:pPr>
      <w:pStyle w:val="Footer"/>
      <w:jc w:val="right"/>
      <w:rPr>
        <w:rFonts w:hint="eastAsia"/>
      </w:rPr>
    </w:pPr>
    <w:r>
      <w:rPr>
        <w:rFonts w:ascii="Lato" w:hAnsi="Lato"/>
        <w:color w:val="5B6570"/>
        <w:sz w:val="16"/>
      </w:rPr>
      <w:t xml:space="preserve">Preprint draft  |  </w:t>
    </w:r>
    <w:proofErr w:type="spellStart"/>
    <w:r>
      <w:rPr>
        <w:rFonts w:ascii="Lato" w:hAnsi="Lato"/>
        <w:color w:val="5B6570"/>
        <w:sz w:val="16"/>
      </w:rPr>
      <w:t>v0.1.0-rc1</w:t>
    </w:r>
    <w:proofErr w:type="spellEnd"/>
    <w:r>
      <w:rPr>
        <w:rFonts w:ascii="Lato" w:hAnsi="Lato"/>
        <w:color w:val="5B6570"/>
        <w:sz w:val="16"/>
      </w:rPr>
      <w:t xml:space="preserve">  |  </w:t>
    </w:r>
    <w:r>
      <w:rPr>
        <w:rFonts w:ascii="Lato" w:hAnsi="Lato"/>
        <w:color w:val="5B6570"/>
        <w:sz w:val="16"/>
      </w:rPr>
      <w:fldChar w:fldCharType="begin"/>
    </w:r>
    <w:r>
      <w:rPr>
        <w:rFonts w:ascii="Lato" w:hAnsi="Lato"/>
        <w:color w:val="5B6570"/>
        <w:sz w:val="16"/>
      </w:rPr>
      <w:instrText xml:space="preserve"> PAGE </w:instrText>
    </w:r>
    <w:r w:rsidR="00190ACF">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2FDB3" w14:textId="77777777" w:rsidR="00D1548E" w:rsidRDefault="00D1548E">
      <w:pPr>
        <w:spacing w:after="0" w:line="240" w:lineRule="auto"/>
        <w:rPr>
          <w:rFonts w:hint="eastAsia"/>
        </w:rPr>
      </w:pPr>
      <w:r>
        <w:separator/>
      </w:r>
    </w:p>
  </w:footnote>
  <w:footnote w:type="continuationSeparator" w:id="0">
    <w:p w14:paraId="0F598A51" w14:textId="77777777" w:rsidR="00D1548E" w:rsidRDefault="00D1548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20BDC" w14:textId="77777777" w:rsidR="00A16D83" w:rsidRDefault="00D1548E">
    <w:pPr>
      <w:pStyle w:val="Header"/>
      <w:rPr>
        <w:rFonts w:hint="eastAsia"/>
      </w:rPr>
    </w:pPr>
    <w:r>
      <w:rPr>
        <w:rFonts w:ascii="Lato" w:hAnsi="Lato"/>
        <w:b/>
        <w:color w:val="5B6570"/>
        <w:sz w:val="16"/>
      </w:rPr>
      <w:t>RAGTune  |  Evidence-Preserving RAG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DE"/>
    <w:rsid w:val="00075699"/>
    <w:rsid w:val="000D71FC"/>
    <w:rsid w:val="0015074B"/>
    <w:rsid w:val="00176B92"/>
    <w:rsid w:val="00190ACF"/>
    <w:rsid w:val="0029639D"/>
    <w:rsid w:val="002A2802"/>
    <w:rsid w:val="003061BD"/>
    <w:rsid w:val="00326F90"/>
    <w:rsid w:val="003476E3"/>
    <w:rsid w:val="0049724E"/>
    <w:rsid w:val="005C6143"/>
    <w:rsid w:val="0062187F"/>
    <w:rsid w:val="006C515E"/>
    <w:rsid w:val="007F657B"/>
    <w:rsid w:val="008130DB"/>
    <w:rsid w:val="00852858"/>
    <w:rsid w:val="008776D0"/>
    <w:rsid w:val="00961EB7"/>
    <w:rsid w:val="00A16D83"/>
    <w:rsid w:val="00AA1D8D"/>
    <w:rsid w:val="00B3501D"/>
    <w:rsid w:val="00B47730"/>
    <w:rsid w:val="00B531DF"/>
    <w:rsid w:val="00CB0664"/>
    <w:rsid w:val="00CF1625"/>
    <w:rsid w:val="00CF5D45"/>
    <w:rsid w:val="00D1548E"/>
    <w:rsid w:val="00EA1D07"/>
    <w:rsid w:val="00EC589E"/>
    <w:rsid w:val="00F33854"/>
    <w:rsid w:val="00F41364"/>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10C8D"/>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M-RAGTune/rag-tuning-governance-public"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7140</Words>
  <Characters>40704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Condensed arXiv preprint manuscript</dc:subject>
  <dc:creator>AIM-RAGTune Contributors</dc:creator>
  <cp:keywords>RAG, governance, promotion control, noninferiority, reproducibility, LLMOps</cp:keywords>
  <dc:description>Condensed manuscript revision based on v0.1.0-rc1 evidence.</dc:description>
  <cp:lastModifiedBy>Richard Krueger</cp:lastModifiedBy>
  <cp:revision>28</cp:revision>
  <dcterms:created xsi:type="dcterms:W3CDTF">2013-12-23T23:15:00Z</dcterms:created>
  <dcterms:modified xsi:type="dcterms:W3CDTF">2026-08-13T13:27:00Z</dcterms:modified>
  <cp:category/>
</cp:coreProperties>
</file>