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Lato" w:hAnsi="Lato"/>
          <w:b/>
          <w:color w:val="264653"/>
          <w:sz w:val="58"/>
        </w:rPr>
        <w:t>RAGTune</w:t>
      </w:r>
    </w:p>
    <w:p>
      <w:pPr>
        <w:spacing w:after="240"/>
        <w:jc w:val="center"/>
      </w:pPr>
      <w:r>
        <w:rPr>
          <w:rFonts w:ascii="Lato" w:hAnsi="Lato"/>
          <w:b/>
          <w:color w:val="2A7F86"/>
          <w:sz w:val="33"/>
        </w:rPr>
        <w:t>Evidence-Preserving Governance for RAG Policy Promotion</w:t>
        <w:br/>
        <w:t>Under Quality, Cost, Latency, and Risk Constraints</w:t>
      </w:r>
    </w:p>
    <w:p>
      <w:pPr>
        <w:spacing w:after="40"/>
        <w:jc w:val="center"/>
      </w:pPr>
      <w:r>
        <w:rPr>
          <w:rFonts w:ascii="Noto Serif" w:hAnsi="Noto Serif"/>
          <w:b/>
          <w:color w:val="303030"/>
          <w:sz w:val="23"/>
        </w:rPr>
        <w:t>AIM-RAGTune Contributors</w:t>
      </w:r>
    </w:p>
    <w:p>
      <w:pPr>
        <w:spacing w:after="280"/>
        <w:jc w:val="center"/>
      </w:pPr>
      <w:r>
        <w:rPr>
          <w:rFonts w:ascii="Lato" w:hAnsi="Lato"/>
          <w:color w:val="5B6570"/>
          <w:sz w:val="18"/>
        </w:rPr>
        <w:t>Independent open-source research project  |  August 2026  |  Preprint version 0.1.0-rc1</w:t>
      </w:r>
    </w:p>
    <w:p>
      <w:pPr>
        <w:spacing w:before="40" w:after="60"/>
      </w:pPr>
      <w:r>
        <w:rPr>
          <w:rFonts w:ascii="Lato" w:hAnsi="Lato"/>
          <w:b/>
          <w:color w:val="264653"/>
          <w:sz w:val="24"/>
        </w:rPr>
        <w:t>Abstract</w:t>
      </w:r>
    </w:p>
    <w:p>
      <w:pPr>
        <w:spacing w:after="140" w:line="245" w:lineRule="auto"/>
        <w:jc w:val="both"/>
      </w:pPr>
      <w:r>
        <w:rPr>
          <w:rFonts w:ascii="Noto Serif" w:hAnsi="Noto Serif"/>
          <w:color w:val="202124"/>
          <w:sz w:val="19"/>
        </w:rPr>
        <w:t>Retrieval-augmented generation systems are well served by metrics, benchmarks, traces, and automated judges, but these tools do not decide whether a proposed policy change is safe to release. We present RAGTune, an open-source promotion-control framework that treats deployment as a constrained evidence decision rather than a leaderboard choice. RAGTune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pPr>
        <w:spacing w:after="80"/>
      </w:pPr>
      <w:r>
        <w:rPr>
          <w:rFonts w:ascii="Lato" w:hAnsi="Lato"/>
          <w:b/>
          <w:color w:val="264653"/>
          <w:sz w:val="17"/>
        </w:rPr>
        <w:t xml:space="preserve">Keywords: </w:t>
      </w:r>
      <w:r>
        <w:rPr>
          <w:rFonts w:ascii="Noto Serif" w:hAnsi="Noto Serif"/>
          <w:i/>
          <w:color w:val="5B6570"/>
          <w:sz w:val="17"/>
        </w:rPr>
        <w:t>retrieval-augmented generation; RAG evaluation; AI governance; promotion control; noninferiority; LLMOps; reproducibility</w:t>
      </w:r>
    </w:p>
    <w:p>
      <w:pPr>
        <w:spacing w:after="20"/>
      </w:pPr>
      <w:r>
        <w:rPr>
          <w:rFonts w:ascii="Lato" w:hAnsi="Lato"/>
          <w:b/>
          <w:color w:val="264653"/>
          <w:sz w:val="17"/>
        </w:rPr>
        <w:t xml:space="preserve">Code and artifacts: </w:t>
      </w:r>
      <w:hyperlink r:id="rId11">
        <w:r>
          <w:rPr>
            <w:color w:val="2A7F86"/>
            <w:u w:val="single"/>
            <w:rFonts w:ascii="Lato" w:hAnsi="Lato"/>
          </w:rPr>
          <w:t>github.com/AIM-RAGTune/rag-tuning-governance-public</w:t>
        </w:r>
      </w:hyperlink>
    </w:p>
    <w:p>
      <w:r>
        <w:rPr>
          <w:rFonts w:ascii="Lato" w:hAnsi="Lato"/>
          <w:color w:val="5B6570"/>
          <w:sz w:val="17"/>
        </w:rPr>
        <w:t>Release candidate: v0.1.0-rc1  |  Commit: ff529005bf7d00a0c3f79ba991563f3923d63205</w:t>
      </w:r>
    </w:p>
    <w:p>
      <w:r>
        <w:br w:type="page"/>
      </w:r>
    </w:p>
    <w:p>
      <w:pPr>
        <w:pStyle w:val="Heading1"/>
        <w:spacing w:before="180" w:after="80"/>
        <w:keepNext w:val="1"/>
      </w:pPr>
      <w:r>
        <w:rPr>
          <w:rFonts w:ascii="Lato" w:hAnsi="Lato"/>
          <w:b/>
          <w:color w:val="264653"/>
          <w:sz w:val="30"/>
        </w:rPr>
        <w:t>1. Introduction</w:t>
      </w:r>
    </w:p>
    <w:p>
      <w:pPr>
        <w:pStyle w:val="BodyText"/>
        <w:spacing w:after="84" w:line="254" w:lineRule="auto"/>
        <w:ind w:firstLine="317"/>
        <w:jc w:val="both"/>
      </w:pPr>
      <w:r>
        <w:rPr>
          <w:rFonts w:ascii="Noto Serif" w:hAnsi="Noto Serif"/>
          <w:i w:val="0"/>
          <w:color w:val="202124"/>
          <w:sz w:val="20"/>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pPr>
        <w:pStyle w:val="BodyText"/>
        <w:spacing w:after="84" w:line="254" w:lineRule="auto"/>
        <w:ind w:firstLine="317"/>
        <w:jc w:val="both"/>
      </w:pPr>
      <w:r>
        <w:rPr>
          <w:rFonts w:ascii="Noto Serif" w:hAnsi="Noto Serif"/>
          <w:i w:val="0"/>
          <w:color w:val="202124"/>
          <w:sz w:val="20"/>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pPr>
        <w:pStyle w:val="BodyText"/>
        <w:spacing w:after="84" w:line="254" w:lineRule="auto"/>
        <w:ind w:firstLine="317"/>
        <w:jc w:val="both"/>
      </w:pPr>
      <w:r>
        <w:rPr>
          <w:rFonts w:ascii="Noto Serif" w:hAnsi="Noto Serif"/>
          <w:i w:val="0"/>
          <w:color w:val="202124"/>
          <w:sz w:val="20"/>
        </w:rPr>
        <w:t>RAGTune addresses that decision layer. Its central abstraction is not a new answer-quality metric or a universal optimizer. It is an evidence-preserving promotion controller. RAGTune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pPr>
        <w:pStyle w:val="BodyText"/>
        <w:spacing w:after="84" w:line="254" w:lineRule="auto"/>
        <w:ind w:firstLine="317"/>
        <w:jc w:val="both"/>
      </w:pPr>
      <w:r>
        <w:rPr>
          <w:rFonts w:ascii="Noto Serif" w:hAnsi="Noto Serif"/>
          <w:i w:val="0"/>
          <w:color w:val="202124"/>
          <w:sz w:val="20"/>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pPr>
        <w:pStyle w:val="BodyText"/>
        <w:spacing w:after="84" w:line="254" w:lineRule="auto"/>
        <w:ind w:firstLine="317"/>
        <w:jc w:val="both"/>
      </w:pPr>
      <w:r>
        <w:rPr>
          <w:rFonts w:ascii="Noto Serif" w:hAnsi="Noto Serif"/>
          <w:i w:val="0"/>
          <w:color w:val="202124"/>
          <w:sz w:val="20"/>
        </w:rPr>
        <w:t>The distinction matters because deployment authority is often implicit. In a research notebook, the highest validation score may become the de facto recommendation; in an enterprise workflow, a cost dashboard or latency trace may play the same role. RAGTune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pPr>
        <w:pStyle w:val="BodyText"/>
        <w:spacing w:after="84" w:line="254" w:lineRule="auto"/>
        <w:ind w:firstLine="317"/>
        <w:jc w:val="both"/>
      </w:pPr>
      <w:r>
        <w:rPr>
          <w:rFonts w:ascii="Noto Serif" w:hAnsi="Noto Serif"/>
          <w:i w:val="0"/>
          <w:color w:val="202124"/>
          <w:sz w:val="20"/>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pPr>
        <w:spacing w:before="100" w:after="20"/>
        <w:jc w:val="center"/>
        <w:keepLines w:val="1"/>
        <w:keepNext w:val="1"/>
      </w:pPr>
      <w:r>
        <w:drawing>
          <wp:inline xmlns:a="http://schemas.openxmlformats.org/drawingml/2006/main" xmlns:pic="http://schemas.openxmlformats.org/drawingml/2006/picture">
            <wp:extent cx="5989320" cy="2581129"/>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989320" cy="2581129"/>
                    </a:xfrm>
                    <a:prstGeom prst="rect"/>
                  </pic:spPr>
                </pic:pic>
              </a:graphicData>
            </a:graphic>
          </wp:inline>
        </w:drawing>
      </w:r>
    </w:p>
    <w:p>
      <w:pPr>
        <w:spacing w:after="120"/>
        <w:ind w:left="360" w:right="360"/>
        <w:jc w:val="center"/>
        <w:keepLines w:val="1"/>
      </w:pPr>
      <w:r>
        <w:rPr>
          <w:rFonts w:ascii="Noto Serif" w:hAnsi="Noto Serif"/>
          <w:i/>
          <w:color w:val="5B6570"/>
          <w:sz w:val="16"/>
        </w:rPr>
        <w:t>Figure 1. RAGTune converts candidate-policy evidence into an auditable promotion decision; artifacts, telemetry, and negative results feed the next evaluation cycle.</w:t>
      </w:r>
    </w:p>
    <w:p>
      <w:pPr>
        <w:pStyle w:val="Heading1"/>
        <w:spacing w:before="180" w:after="80"/>
        <w:keepNext w:val="1"/>
      </w:pPr>
      <w:r>
        <w:rPr>
          <w:rFonts w:ascii="Lato" w:hAnsi="Lato"/>
          <w:b/>
          <w:color w:val="264653"/>
          <w:sz w:val="30"/>
        </w:rPr>
        <w:t>2. Background and Related Work</w:t>
      </w:r>
    </w:p>
    <w:p>
      <w:pPr>
        <w:pStyle w:val="BodyText"/>
        <w:spacing w:after="84" w:line="254" w:lineRule="auto"/>
        <w:ind w:firstLine="317"/>
        <w:jc w:val="both"/>
      </w:pPr>
      <w:r>
        <w:rPr>
          <w:rFonts w:ascii="Noto Serif" w:hAnsi="Noto Serif"/>
          <w:i w:val="0"/>
          <w:color w:val="202124"/>
          <w:sz w:val="20"/>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pPr>
        <w:pStyle w:val="BodyText"/>
        <w:spacing w:after="84" w:line="254" w:lineRule="auto"/>
        <w:ind w:firstLine="317"/>
        <w:jc w:val="both"/>
      </w:pPr>
      <w:r>
        <w:rPr>
          <w:rFonts w:ascii="Noto Serif" w:hAnsi="Noto Serif"/>
          <w:i w:val="0"/>
          <w:color w:val="202124"/>
          <w:sz w:val="20"/>
        </w:rPr>
        <w:t>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RAGTune consumes these measurements as bounded evidence; it does not replace their metric semantics.</w:t>
      </w:r>
    </w:p>
    <w:p>
      <w:pPr>
        <w:pStyle w:val="BodyText"/>
        <w:spacing w:after="84" w:line="254" w:lineRule="auto"/>
        <w:ind w:firstLine="317"/>
        <w:jc w:val="both"/>
      </w:pPr>
      <w:r>
        <w:rPr>
          <w:rFonts w:ascii="Noto Serif" w:hAnsi="Noto Serif"/>
          <w:i w:val="0"/>
          <w:color w:val="202124"/>
          <w:sz w:val="20"/>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pPr>
        <w:pStyle w:val="BodyText"/>
        <w:spacing w:after="84" w:line="254" w:lineRule="auto"/>
        <w:ind w:firstLine="317"/>
        <w:jc w:val="both"/>
      </w:pPr>
      <w:r>
        <w:rPr>
          <w:rFonts w:ascii="Noto Serif" w:hAnsi="Noto Serif"/>
          <w:i w:val="0"/>
          <w:color w:val="202124"/>
          <w:sz w:val="20"/>
        </w:rPr>
        <w:t>NIST's AI Risk Management Framework and Generative AI Profile organize lifecycle governance around Govern, Map, Measure, and Manage, and ISO/IEC 42001 specifies an AI management system [11-13]. RAGTune is narrower and executable: it sits between measurement and deployment and produces a traceable RAG-policy release decision.</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2541"/>
        <w:gridCol w:w="2541"/>
        <w:gridCol w:w="2541"/>
        <w:gridCol w:w="2541"/>
      </w:tblGrid>
      <w:tr>
        <w:trPr>
          <w:tblHeader w:val="true"/>
        </w:trPr>
        <w:tc>
          <w:tcPr>
            <w:tcW w:type="dxa" w:w="1944"/>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System family</w:t>
            </w:r>
          </w:p>
        </w:tc>
        <w:tc>
          <w:tcPr>
            <w:tcW w:type="dxa" w:w="2376"/>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Primary emphasis</w:t>
            </w:r>
          </w:p>
        </w:tc>
        <w:tc>
          <w:tcPr>
            <w:tcW w:type="dxa" w:w="2520"/>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Typical output</w:t>
            </w:r>
          </w:p>
        </w:tc>
        <w:tc>
          <w:tcPr>
            <w:tcW w:type="dxa" w:w="3240"/>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RAGTune relationship</w:t>
            </w:r>
          </w:p>
        </w:tc>
      </w:tr>
      <w:tr>
        <w:tc>
          <w:tcPr>
            <w:tcW w:type="dxa" w:w="19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RAGAS / ARES / RAGChecker</w:t>
            </w:r>
          </w:p>
        </w:tc>
        <w:tc>
          <w:tcPr>
            <w:tcW w:type="dxa" w:w="237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Quality and diagnostic evaluation</w:t>
            </w:r>
          </w:p>
        </w:tc>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Metric scores and component diagnoses</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Consumes declared metrics as governance evidence</w:t>
            </w:r>
          </w:p>
        </w:tc>
      </w:tr>
      <w:tr>
        <w:tc>
          <w:tcPr>
            <w:tcW w:type="dxa" w:w="19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RAGBench / CRAG / HotpotQA</w:t>
            </w:r>
          </w:p>
        </w:tc>
        <w:tc>
          <w:tcPr>
            <w:tcW w:type="dxa" w:w="237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Benchmark data and labels</w:t>
            </w:r>
          </w:p>
        </w:tc>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Examples, references, supporting facts, scores</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Uses bounded evidence sources with dataset-specific claim ceilings</w:t>
            </w:r>
          </w:p>
        </w:tc>
      </w:tr>
      <w:tr>
        <w:tc>
          <w:tcPr>
            <w:tcW w:type="dxa" w:w="19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DSPy and optimizers</w:t>
            </w:r>
          </w:p>
        </w:tc>
        <w:tc>
          <w:tcPr>
            <w:tcW w:type="dxa" w:w="237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Search over programs or policies</w:t>
            </w:r>
          </w:p>
        </w:tc>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Candidate maximizing an objective</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Treats optimizer output as a candidate, not automatic promotion</w:t>
            </w:r>
          </w:p>
        </w:tc>
      </w:tr>
      <w:tr>
        <w:tc>
          <w:tcPr>
            <w:tcW w:type="dxa" w:w="19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LangSmith / Phoenix</w:t>
            </w:r>
          </w:p>
        </w:tc>
        <w:tc>
          <w:tcPr>
            <w:tcW w:type="dxa" w:w="237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Experiments, traces, observability</w:t>
            </w:r>
          </w:p>
        </w:tc>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Runs, evaluator scores, operational telemetry</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Normalizes exports and applies release gates</w:t>
            </w:r>
          </w:p>
        </w:tc>
      </w:tr>
      <w:tr>
        <w:tc>
          <w:tcPr>
            <w:tcW w:type="dxa" w:w="19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NIST AI RMF / ISO 42001</w:t>
            </w:r>
          </w:p>
        </w:tc>
        <w:tc>
          <w:tcPr>
            <w:tcW w:type="dxa" w:w="237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Lifecycle and management governance</w:t>
            </w:r>
          </w:p>
        </w:tc>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Practices, outcomes, management requirements</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Implements a narrow technical promotion control</w:t>
            </w:r>
          </w:p>
        </w:tc>
      </w:tr>
      <w:tr>
        <w:tc>
          <w:tcPr>
            <w:tcW w:type="dxa" w:w="19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RAGTune</w:t>
            </w:r>
          </w:p>
        </w:tc>
        <w:tc>
          <w:tcPr>
            <w:tcW w:type="dxa" w:w="237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Evidence-preserving promotion control</w:t>
            </w:r>
          </w:p>
        </w:tc>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PROMOTE, BLOCK, REJECT, or INCONCLUSIVE plus audit bundle</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Coordinates evidence, gates, claim ceilings, and integrity</w:t>
            </w:r>
          </w:p>
        </w:tc>
      </w:tr>
    </w:tbl>
    <w:p>
      <w:pPr>
        <w:spacing w:before="60" w:after="140"/>
        <w:jc w:val="center"/>
        <w:keepLines w:val="1"/>
      </w:pPr>
      <w:r>
        <w:rPr>
          <w:rFonts w:ascii="Noto Serif" w:hAnsi="Noto Serif"/>
          <w:i/>
          <w:color w:val="5B6570"/>
          <w:sz w:val="16"/>
        </w:rPr>
        <w:t>Table 1. RAGTune complements metric, benchmark, optimization, observability, and management-framework layers.</w:t>
      </w:r>
    </w:p>
    <w:p>
      <w:pPr>
        <w:pStyle w:val="Heading1"/>
        <w:spacing w:before="180" w:after="80"/>
        <w:keepNext w:val="1"/>
      </w:pPr>
      <w:r>
        <w:rPr>
          <w:rFonts w:ascii="Lato" w:hAnsi="Lato"/>
          <w:b/>
          <w:color w:val="264653"/>
          <w:sz w:val="30"/>
        </w:rPr>
        <w:t>3. Design Goals and Threat Model</w:t>
      </w:r>
    </w:p>
    <w:p>
      <w:pPr>
        <w:pStyle w:val="BodyText"/>
        <w:spacing w:after="84" w:line="254" w:lineRule="auto"/>
        <w:ind w:firstLine="317"/>
        <w:jc w:val="both"/>
      </w:pPr>
      <w:r>
        <w:rPr>
          <w:rFonts w:ascii="Noto Serif" w:hAnsi="Noto Serif"/>
          <w:i w:val="0"/>
          <w:color w:val="202124"/>
          <w:sz w:val="20"/>
        </w:rPr>
        <w:t>RAGTune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pPr>
        <w:pStyle w:val="BodyText"/>
        <w:spacing w:after="84" w:line="254" w:lineRule="auto"/>
        <w:ind w:firstLine="317"/>
        <w:jc w:val="both"/>
      </w:pPr>
      <w:r>
        <w:rPr>
          <w:rFonts w:ascii="Noto Serif" w:hAnsi="Noto Serif"/>
          <w:i w:val="0"/>
          <w:color w:val="202124"/>
          <w:sz w:val="20"/>
        </w:rPr>
        <w:t>The threat model assumes heterogeneous and imperfect evaluators. Each suite therefore declares metric direction, weight, split structure, evidence class, and hard gates rather than treating any single score as ground truth.</w:t>
      </w:r>
    </w:p>
    <w:p>
      <w:pPr>
        <w:pStyle w:val="ListBullet"/>
        <w:spacing w:after="50" w:line="245" w:lineRule="auto"/>
        <w:ind w:left="360" w:hanging="216"/>
      </w:pPr>
      <w:r>
        <w:rPr>
          <w:rFonts w:ascii="Noto Serif" w:hAnsi="Noto Serif"/>
          <w:color w:val="202124"/>
          <w:sz w:val="19"/>
        </w:rPr>
        <w:t>Metric risk: evaluator scores may be noisy, constant, weakly calibrated, or insensitive to meaningful policy differences.</w:t>
      </w:r>
    </w:p>
    <w:p>
      <w:pPr>
        <w:pStyle w:val="ListBullet"/>
        <w:spacing w:after="50" w:line="245" w:lineRule="auto"/>
        <w:ind w:left="360" w:hanging="216"/>
      </w:pPr>
      <w:r>
        <w:rPr>
          <w:rFonts w:ascii="Noto Serif" w:hAnsi="Noto Serif"/>
          <w:color w:val="202124"/>
          <w:sz w:val="19"/>
        </w:rPr>
        <w:t>Selection risk: validation winners may reverse on held-out data, and optimizers may overfit small development sets.</w:t>
      </w:r>
    </w:p>
    <w:p>
      <w:pPr>
        <w:pStyle w:val="ListBullet"/>
        <w:spacing w:after="50" w:line="245" w:lineRule="auto"/>
        <w:ind w:left="360" w:hanging="216"/>
      </w:pPr>
      <w:r>
        <w:rPr>
          <w:rFonts w:ascii="Noto Serif" w:hAnsi="Noto Serif"/>
          <w:color w:val="202124"/>
          <w:sz w:val="19"/>
        </w:rPr>
        <w:t>Operational risk: cost-only or latency-only selection can improve efficiency while degrading answer quality or evidence support.</w:t>
      </w:r>
    </w:p>
    <w:p>
      <w:pPr>
        <w:pStyle w:val="ListBullet"/>
        <w:spacing w:after="50" w:line="245" w:lineRule="auto"/>
        <w:ind w:left="360" w:hanging="216"/>
      </w:pPr>
      <w:r>
        <w:rPr>
          <w:rFonts w:ascii="Noto Serif" w:hAnsi="Noto Serif"/>
          <w:color w:val="202124"/>
          <w:sz w:val="19"/>
        </w:rPr>
        <w:t>Evidence risk: fixtures, development runs, frozen observations, and confirmatory runs support different claim ceilings.</w:t>
      </w:r>
    </w:p>
    <w:p>
      <w:pPr>
        <w:pStyle w:val="ListBullet"/>
        <w:spacing w:after="50" w:line="245" w:lineRule="auto"/>
        <w:ind w:left="360" w:hanging="216"/>
      </w:pPr>
      <w:r>
        <w:rPr>
          <w:rFonts w:ascii="Noto Serif" w:hAnsi="Noto Serif"/>
          <w:color w:val="202124"/>
          <w:sz w:val="19"/>
        </w:rPr>
        <w:t>Reproducibility risk: results may depend on mutable code, local state, unpinned data, or unverifiable artifacts.</w:t>
      </w:r>
    </w:p>
    <w:p>
      <w:pPr>
        <w:pStyle w:val="ListBullet"/>
        <w:spacing w:after="50" w:line="245" w:lineRule="auto"/>
        <w:ind w:left="360" w:hanging="216"/>
      </w:pPr>
      <w:r>
        <w:rPr>
          <w:rFonts w:ascii="Noto Serif" w:hAnsi="Noto Serif"/>
          <w:color w:val="202124"/>
          <w:sz w:val="19"/>
        </w:rPr>
        <w:t>Publication and security risk: licensed text, prompts, answers, credentials, private paths, or unsupported claims may leak into public artifacts.</w:t>
      </w:r>
    </w:p>
    <w:p>
      <w:pPr>
        <w:pStyle w:val="BodyText"/>
        <w:spacing w:after="84" w:line="254" w:lineRule="auto"/>
        <w:ind w:firstLine="317"/>
        <w:jc w:val="both"/>
      </w:pPr>
      <w:r>
        <w:rPr>
          <w:rFonts w:ascii="Noto Serif" w:hAnsi="Noto Serif"/>
          <w:i w:val="0"/>
          <w:color w:val="202124"/>
          <w:sz w:val="20"/>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pPr>
        <w:pStyle w:val="Heading1"/>
        <w:spacing w:before="180" w:after="80"/>
        <w:keepNext w:val="1"/>
      </w:pPr>
      <w:r>
        <w:rPr>
          <w:rFonts w:ascii="Lato" w:hAnsi="Lato"/>
          <w:b/>
          <w:color w:val="264653"/>
          <w:sz w:val="30"/>
        </w:rPr>
        <w:t>4. RAGTune System</w:t>
      </w:r>
    </w:p>
    <w:p>
      <w:pPr>
        <w:pStyle w:val="Heading2"/>
        <w:spacing w:before="120" w:after="80"/>
        <w:keepNext w:val="1"/>
      </w:pPr>
      <w:r>
        <w:rPr>
          <w:rFonts w:ascii="Lato" w:hAnsi="Lato"/>
          <w:b/>
          <w:color w:val="2A7F86"/>
          <w:sz w:val="24"/>
        </w:rPr>
        <w:t>4.1 Policy candidates and normalized evidence</w:t>
      </w:r>
    </w:p>
    <w:p>
      <w:pPr>
        <w:pStyle w:val="BodyText"/>
        <w:spacing w:after="84" w:line="254" w:lineRule="auto"/>
        <w:ind w:firstLine="317"/>
        <w:jc w:val="both"/>
      </w:pPr>
      <w:r>
        <w:rPr>
          <w:rFonts w:ascii="Noto Serif" w:hAnsi="Noto Serif"/>
          <w:i w:val="0"/>
          <w:color w:val="202124"/>
          <w:sz w:val="20"/>
        </w:rPr>
        <w:t>A RAG policy is a named, versioned configuration that may change retrieval depth, endpoints, routing, reranking, context limits, fallback behavior, generator choice, abstention, or selector logic. Policies may be hand-authored, proposed by an optimizer, or imported from another experiment. RAGTune records behavioral parameters alongside normalized evidence such as answer correctness, faithfulness, evidence support, context recall, abstention correctness, API calls, cost, latency, failure rate, and protected-regression indicators.</w:t>
      </w:r>
    </w:p>
    <w:p>
      <w:pPr>
        <w:pStyle w:val="BodyText"/>
        <w:spacing w:after="84" w:line="254" w:lineRule="auto"/>
        <w:ind w:firstLine="317"/>
        <w:jc w:val="both"/>
      </w:pPr>
      <w:r>
        <w:rPr>
          <w:rFonts w:ascii="Noto Serif" w:hAnsi="Noto Serif"/>
          <w:i w:val="0"/>
          <w:color w:val="202124"/>
          <w:sz w:val="20"/>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pPr>
        <w:pStyle w:val="BodyText"/>
        <w:spacing w:after="84" w:line="254" w:lineRule="auto"/>
        <w:ind w:firstLine="317"/>
        <w:jc w:val="both"/>
      </w:pPr>
      <w:r>
        <w:rPr>
          <w:rFonts w:ascii="Noto Serif" w:hAnsi="Noto Serif"/>
          <w:i w:val="0"/>
          <w:color w:val="202124"/>
          <w:sz w:val="20"/>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pPr>
        <w:pStyle w:val="BodyText"/>
        <w:spacing w:after="84" w:line="254" w:lineRule="auto"/>
        <w:ind w:firstLine="317"/>
        <w:jc w:val="both"/>
      </w:pPr>
      <w:r>
        <w:rPr>
          <w:rFonts w:ascii="Noto Serif" w:hAnsi="Noto Serif"/>
          <w:i w:val="0"/>
          <w:color w:val="202124"/>
          <w:sz w:val="20"/>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pPr>
        <w:pStyle w:val="Heading2"/>
        <w:spacing w:before="120" w:after="80"/>
        <w:keepNext w:val="1"/>
      </w:pPr>
      <w:r>
        <w:rPr>
          <w:rFonts w:ascii="Lato" w:hAnsi="Lato"/>
          <w:b/>
          <w:color w:val="2A7F86"/>
          <w:sz w:val="24"/>
        </w:rPr>
        <w:t>4.2 Canonical promotion formalism</w:t>
      </w:r>
    </w:p>
    <w:p>
      <w:pPr>
        <w:pStyle w:val="BodyText"/>
        <w:spacing w:after="84" w:line="254" w:lineRule="auto"/>
        <w:ind w:firstLine="317"/>
        <w:jc w:val="both"/>
      </w:pPr>
      <w:r>
        <w:rPr>
          <w:rFonts w:ascii="Noto Serif" w:hAnsi="Noto Serif"/>
          <w:i w:val="0"/>
          <w:color w:val="202124"/>
          <w:sz w:val="20"/>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pPr>
        <w:spacing w:before="40" w:after="100"/>
        <w:jc w:val="center"/>
        <w:keepLines w:val="1"/>
      </w:pPr>
      <w:r>
        <w:rPr>
          <w:rFonts w:ascii="Cambria Math" w:hAnsi="Cambria Math"/>
          <w:i w:val="0"/>
          <w:color w:val="202124"/>
          <w:sz w:val="21"/>
        </w:rPr>
        <w:t>Delta_q = q(p) - q(b)      Delta_c = c(p) - c(b)      Delta_l = l(p) - l(b)</w:t>
      </w:r>
    </w:p>
    <w:p>
      <w:pPr>
        <w:spacing w:before="40" w:after="100"/>
        <w:jc w:val="center"/>
        <w:keepLines w:val="1"/>
      </w:pPr>
      <w:r>
        <w:rPr>
          <w:rFonts w:ascii="Cambria Math" w:hAnsi="Cambria Math"/>
          <w:i w:val="0"/>
          <w:color w:val="202124"/>
          <w:sz w:val="21"/>
        </w:rPr>
        <w:t>PROMOTE(p) iff hard_gates(p) and LCB(Delta_q) &gt;= -delta and [UCB(Delta_c) &lt; 0 or UCB(Delta_l) &lt; 0]</w:t>
      </w:r>
    </w:p>
    <w:p>
      <w:pPr>
        <w:pStyle w:val="BodyText"/>
        <w:spacing w:after="84" w:line="254" w:lineRule="auto"/>
        <w:ind w:firstLine="317"/>
        <w:jc w:val="both"/>
      </w:pPr>
      <w:r>
        <w:rPr>
          <w:rFonts w:ascii="Noto Serif" w:hAnsi="Noto Serif"/>
          <w:i w:val="0"/>
          <w:color w:val="202124"/>
          <w:sz w:val="20"/>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pPr>
        <w:spacing w:before="100" w:after="20"/>
        <w:jc w:val="center"/>
        <w:keepLines w:val="1"/>
        <w:keepNext w:val="1"/>
      </w:pPr>
      <w:r>
        <w:drawing>
          <wp:inline xmlns:a="http://schemas.openxmlformats.org/drawingml/2006/main" xmlns:pic="http://schemas.openxmlformats.org/drawingml/2006/picture">
            <wp:extent cx="3657600" cy="3014654"/>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3657600" cy="3014654"/>
                    </a:xfrm>
                    <a:prstGeom prst="rect"/>
                  </pic:spPr>
                </pic:pic>
              </a:graphicData>
            </a:graphic>
          </wp:inline>
        </w:drawing>
      </w:r>
    </w:p>
    <w:p>
      <w:pPr>
        <w:spacing w:after="120"/>
        <w:ind w:left="360" w:right="360"/>
        <w:jc w:val="center"/>
        <w:keepLines w:val="1"/>
      </w:pPr>
      <w:r>
        <w:rPr>
          <w:rFonts w:ascii="Noto Serif" w:hAnsi="Noto Serif"/>
          <w:i/>
          <w:color w:val="5B6570"/>
          <w:sz w:val="16"/>
        </w:rPr>
        <w:t>Figure 2. Canonical decision geometry. Operational improvement is promotable only when the quality-preservation condition and all hard gates pass.</w:t>
      </w:r>
    </w:p>
    <w:p>
      <w:pPr>
        <w:pStyle w:val="Heading2"/>
        <w:spacing w:before="120" w:after="80"/>
        <w:keepNext w:val="1"/>
      </w:pPr>
      <w:r>
        <w:rPr>
          <w:rFonts w:ascii="Lato" w:hAnsi="Lato"/>
          <w:b/>
          <w:color w:val="2A7F86"/>
          <w:sz w:val="24"/>
        </w:rPr>
        <w:t>4.3 Hard gates and decision taxonomy</w:t>
      </w:r>
    </w:p>
    <w:p>
      <w:pPr>
        <w:pStyle w:val="BodyText"/>
        <w:spacing w:after="84" w:line="254" w:lineRule="auto"/>
        <w:ind w:firstLine="317"/>
        <w:jc w:val="both"/>
      </w:pPr>
      <w:r>
        <w:rPr>
          <w:rFonts w:ascii="Noto Serif" w:hAnsi="Noto Serif"/>
          <w:i w:val="0"/>
          <w:color w:val="202124"/>
          <w:sz w:val="20"/>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2541"/>
        <w:gridCol w:w="2541"/>
        <w:gridCol w:w="2541"/>
        <w:gridCol w:w="2541"/>
      </w:tblGrid>
      <w:tr>
        <w:trPr>
          <w:tblHeader w:val="true"/>
        </w:trPr>
        <w:tc>
          <w:tcPr>
            <w:tcW w:type="dxa" w:w="1152"/>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Decision</w:t>
            </w:r>
          </w:p>
        </w:tc>
        <w:tc>
          <w:tcPr>
            <w:tcW w:type="dxa" w:w="2664"/>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Meaning</w:t>
            </w:r>
          </w:p>
        </w:tc>
        <w:tc>
          <w:tcPr>
            <w:tcW w:type="dxa" w:w="3528"/>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Typical trigger</w:t>
            </w:r>
          </w:p>
        </w:tc>
        <w:tc>
          <w:tcPr>
            <w:tcW w:type="dxa" w:w="2736"/>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Consequence</w:t>
            </w:r>
          </w:p>
        </w:tc>
      </w:tr>
      <w:tr>
        <w:tc>
          <w:tcPr>
            <w:tcW w:type="dxa" w:w="11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PROMOTE</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Evidence supports replacing the baseline within declared scope.</w:t>
            </w:r>
          </w:p>
        </w:tc>
        <w:tc>
          <w:tcPr>
            <w:tcW w:type="dxa" w:w="3528"/>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Quality and operational/risk objectives pass; no hard disqualifier.</w:t>
            </w:r>
          </w:p>
        </w:tc>
        <w:tc>
          <w:tcPr>
            <w:tcW w:type="dxa" w:w="273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Candidate may advance with recorded boundaries.</w:t>
            </w:r>
          </w:p>
        </w:tc>
      </w:tr>
      <w:tr>
        <w:tc>
          <w:tcPr>
            <w:tcW w:type="dxa" w:w="11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BLOCK</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Promotion cannot be evaluated safely.</w:t>
            </w:r>
          </w:p>
        </w:tc>
        <w:tc>
          <w:tcPr>
            <w:tcW w:type="dxa" w:w="3528"/>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No usable signal, leakage, missing provenance, security or hygiene failure.</w:t>
            </w:r>
          </w:p>
        </w:tc>
        <w:tc>
          <w:tcPr>
            <w:tcW w:type="dxa" w:w="273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No release claim; blocker and remediation are recorded.</w:t>
            </w:r>
          </w:p>
        </w:tc>
      </w:tr>
      <w:tr>
        <w:tc>
          <w:tcPr>
            <w:tcW w:type="dxa" w:w="11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REJECT</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Evidence favors retaining the baseline.</w:t>
            </w:r>
          </w:p>
        </w:tc>
        <w:tc>
          <w:tcPr>
            <w:tcW w:type="dxa" w:w="3528"/>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Confirmed quality loss, negative held-out result, or protected regression.</w:t>
            </w:r>
          </w:p>
        </w:tc>
        <w:tc>
          <w:tcPr>
            <w:tcW w:type="dxa" w:w="273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Candidate is not promoted; negative evidence remains append-only.</w:t>
            </w:r>
          </w:p>
        </w:tc>
      </w:tr>
      <w:tr>
        <w:tc>
          <w:tcPr>
            <w:tcW w:type="dxa" w:w="11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INCONCLUSIVE</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Available evidence does not resolve the decision.</w:t>
            </w:r>
          </w:p>
        </w:tc>
        <w:tc>
          <w:tcPr>
            <w:tcW w:type="dxa" w:w="3528"/>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Interval crosses threshold, evidence is mixed, or sample is underpowered.</w:t>
            </w:r>
          </w:p>
        </w:tc>
        <w:tc>
          <w:tcPr>
            <w:tcW w:type="dxa" w:w="2736"/>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No promotion; additional evidence may be collected.</w:t>
            </w:r>
          </w:p>
        </w:tc>
      </w:tr>
    </w:tbl>
    <w:p>
      <w:pPr>
        <w:spacing w:before="60" w:after="140"/>
        <w:jc w:val="center"/>
        <w:keepLines w:val="1"/>
      </w:pPr>
      <w:r>
        <w:rPr>
          <w:rFonts w:ascii="Noto Serif" w:hAnsi="Noto Serif"/>
          <w:i/>
          <w:color w:val="5B6570"/>
          <w:sz w:val="16"/>
        </w:rPr>
        <w:t>Table 2. Scientific decision classes used by the deployable governance job; runtime errors are represented separately in the schema.</w:t>
      </w:r>
    </w:p>
    <w:p>
      <w:pPr>
        <w:pStyle w:val="Heading2"/>
        <w:spacing w:before="120" w:after="80"/>
        <w:keepNext w:val="1"/>
      </w:pPr>
      <w:r>
        <w:rPr>
          <w:rFonts w:ascii="Lato" w:hAnsi="Lato"/>
          <w:b/>
          <w:color w:val="2A7F86"/>
          <w:sz w:val="24"/>
        </w:rPr>
        <w:t>4.4 Evidence classes and claim ceilings</w:t>
      </w:r>
    </w:p>
    <w:p>
      <w:pPr>
        <w:pStyle w:val="BodyText"/>
        <w:spacing w:after="84" w:line="254" w:lineRule="auto"/>
        <w:ind w:firstLine="317"/>
        <w:jc w:val="both"/>
      </w:pPr>
      <w:r>
        <w:rPr>
          <w:rFonts w:ascii="Noto Serif" w:hAnsi="Noto Serif"/>
          <w:i w:val="0"/>
          <w:color w:val="202124"/>
          <w:sz w:val="20"/>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pPr>
        <w:spacing w:before="100" w:after="20"/>
        <w:jc w:val="center"/>
        <w:keepLines w:val="1"/>
        <w:keepNext w:val="1"/>
      </w:pPr>
      <w:r>
        <w:drawing>
          <wp:inline xmlns:a="http://schemas.openxmlformats.org/drawingml/2006/main" xmlns:pic="http://schemas.openxmlformats.org/drawingml/2006/picture">
            <wp:extent cx="4069080" cy="2914189"/>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4069080" cy="2914189"/>
                    </a:xfrm>
                    <a:prstGeom prst="rect"/>
                  </pic:spPr>
                </pic:pic>
              </a:graphicData>
            </a:graphic>
          </wp:inline>
        </w:drawing>
      </w:r>
    </w:p>
    <w:p>
      <w:pPr>
        <w:spacing w:after="120"/>
        <w:ind w:left="360" w:right="360"/>
        <w:jc w:val="center"/>
        <w:keepLines w:val="1"/>
      </w:pPr>
      <w:r>
        <w:rPr>
          <w:rFonts w:ascii="Noto Serif" w:hAnsi="Noto Serif"/>
          <w:i/>
          <w:color w:val="5B6570"/>
          <w:sz w:val="16"/>
        </w:rPr>
        <w:t>Figure 3. Evidence classes define a claim ceiling. The release reaches bounded public and generative evidence in selected settings, not the highest evidence levels.</w:t>
      </w:r>
    </w:p>
    <w:p>
      <w:pPr>
        <w:pStyle w:val="Heading2"/>
        <w:spacing w:before="120" w:after="80"/>
        <w:keepNext w:val="1"/>
      </w:pPr>
      <w:r>
        <w:rPr>
          <w:rFonts w:ascii="Lato" w:hAnsi="Lato"/>
          <w:b/>
          <w:color w:val="2A7F86"/>
          <w:sz w:val="24"/>
        </w:rPr>
        <w:t>4.5 Claim validation, integrity, and deployment contract</w:t>
      </w:r>
    </w:p>
    <w:p>
      <w:pPr>
        <w:pStyle w:val="BodyText"/>
        <w:spacing w:after="84" w:line="254" w:lineRule="auto"/>
        <w:ind w:firstLine="317"/>
        <w:jc w:val="both"/>
      </w:pPr>
      <w:r>
        <w:rPr>
          <w:rFonts w:ascii="Noto Serif" w:hAnsi="Noto Serif"/>
          <w:i w:val="0"/>
          <w:color w:val="202124"/>
          <w:sz w:val="20"/>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pPr>
        <w:pStyle w:val="BodyText"/>
        <w:spacing w:after="84" w:line="254" w:lineRule="auto"/>
        <w:ind w:firstLine="317"/>
        <w:jc w:val="both"/>
      </w:pPr>
      <w:r>
        <w:rPr>
          <w:rFonts w:ascii="Noto Serif" w:hAnsi="Noto Serif"/>
          <w:i w:val="0"/>
          <w:color w:val="202124"/>
          <w:sz w:val="20"/>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pPr>
        <w:pStyle w:val="BodyText"/>
        <w:spacing w:after="84" w:line="254" w:lineRule="auto"/>
        <w:ind w:firstLine="317"/>
        <w:jc w:val="both"/>
      </w:pPr>
      <w:r>
        <w:rPr>
          <w:rFonts w:ascii="Noto Serif" w:hAnsi="Noto Serif"/>
          <w:i w:val="0"/>
          <w:color w:val="202124"/>
          <w:sz w:val="20"/>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pPr>
        <w:spacing w:before="100" w:after="20"/>
        <w:jc w:val="center"/>
        <w:keepLines w:val="1"/>
        <w:keepNext w:val="1"/>
      </w:pPr>
      <w:r>
        <w:drawing>
          <wp:inline xmlns:a="http://schemas.openxmlformats.org/drawingml/2006/main" xmlns:pic="http://schemas.openxmlformats.org/drawingml/2006/picture">
            <wp:extent cx="5715000" cy="3218181"/>
            <wp:docPr id="4" name="Picture 4" descr="Cloud-agnostic deployment diagram showing policy configurations, datasets, and telemetry entering a hardened RAGTune containerized governance job and producing a promotion decision, audit bundle, and claim-boundary report." title="Cloud-agnostic deployment diagram showing policy configurations, datasets, and telemetry entering a hardened RAGTune con"/>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715000" cy="3218181"/>
                    </a:xfrm>
                    <a:prstGeom prst="rect"/>
                  </pic:spPr>
                </pic:pic>
              </a:graphicData>
            </a:graphic>
          </wp:inline>
        </w:drawing>
      </w:r>
    </w:p>
    <w:p>
      <w:pPr>
        <w:spacing w:after="120"/>
        <w:ind w:left="360" w:right="360"/>
        <w:jc w:val="center"/>
        <w:keepLines w:val="1"/>
      </w:pPr>
      <w:r>
        <w:rPr>
          <w:rFonts w:ascii="Noto Serif" w:hAnsi="Noto Serif"/>
          <w:i/>
          <w:color w:val="5B6570"/>
          <w:sz w:val="16"/>
        </w:rPr>
        <w:t>Figure 4. Cloud-agnostic job contract. A finite container consumes policies and evidence, then emits a promotion decision, audit bundle, and validation report.</w:t>
      </w:r>
    </w:p>
    <w:p>
      <w:pPr>
        <w:pStyle w:val="Heading1"/>
        <w:spacing w:before="180" w:after="80"/>
        <w:keepNext w:val="1"/>
      </w:pPr>
      <w:r>
        <w:rPr>
          <w:rFonts w:ascii="Lato" w:hAnsi="Lato"/>
          <w:b/>
          <w:color w:val="264653"/>
          <w:sz w:val="30"/>
        </w:rPr>
        <w:t>5. Experimental Program</w:t>
      </w:r>
    </w:p>
    <w:p>
      <w:pPr>
        <w:pStyle w:val="BodyText"/>
        <w:spacing w:after="84" w:line="254" w:lineRule="auto"/>
        <w:ind w:firstLine="317"/>
        <w:jc w:val="both"/>
      </w:pPr>
      <w:r>
        <w:rPr>
          <w:rFonts w:ascii="Noto Serif" w:hAnsi="Noto Serif"/>
          <w:i w:val="0"/>
          <w:color w:val="202124"/>
          <w:sz w:val="20"/>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pPr>
        <w:pStyle w:val="BodyText"/>
        <w:spacing w:after="84" w:line="254" w:lineRule="auto"/>
        <w:ind w:firstLine="317"/>
        <w:jc w:val="both"/>
      </w:pPr>
      <w:r>
        <w:rPr>
          <w:rFonts w:ascii="Noto Serif" w:hAnsi="Noto Serif"/>
          <w:i w:val="0"/>
          <w:color w:val="202124"/>
          <w:sz w:val="20"/>
        </w:rPr>
        <w:t>Dataset use was constrained by licensing and by whether policies could actually change retrieval. T2-RAGBench supplied a larger development path; MultiHop-RAG provided a fresh sealed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2541"/>
        <w:gridCol w:w="2541"/>
        <w:gridCol w:w="2541"/>
        <w:gridCol w:w="2541"/>
      </w:tblGrid>
      <w:tr>
        <w:trPr>
          <w:tblHeader w:val="true"/>
        </w:trPr>
        <w:tc>
          <w:tcPr>
            <w:tcW w:type="dxa" w:w="1656"/>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Dataset / path</w:t>
            </w:r>
          </w:p>
        </w:tc>
        <w:tc>
          <w:tcPr>
            <w:tcW w:type="dxa" w:w="2088"/>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Role</w:t>
            </w:r>
          </w:p>
        </w:tc>
        <w:tc>
          <w:tcPr>
            <w:tcW w:type="dxa" w:w="3096"/>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Evidence characteristics</w:t>
            </w:r>
          </w:p>
        </w:tc>
        <w:tc>
          <w:tcPr>
            <w:tcW w:type="dxa" w:w="3240"/>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Primary limitation</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T2-RAGBench</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Public end-to-end development</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1,142-query development corpus; behaviorally variable policies</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Development evidence; deterministic extractive generation in key runs</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MultiHop-RAG</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Public confirmatory corpus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331-query sealed confirmatory test; full corpus-backed path</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Governance matched quality-only</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RAGBench HotpotQA</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Context-retrieval enablement</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Policy-dependent context assembly</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Not full source-corpus retrieval in packaged evidence</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CRAG web documents</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Full corpus-backed retrieval</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2,706 rows; 9,848 web documents; 571 confirmatory rows</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Noncommercial restriction; governance matched quality-only</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CRAG mock API</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Tool routing and generative validation</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Live and frozen paths; calls, cost, latency, evaluator mapping</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Strongest positive result bounded; generative results unstable</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HotpotQA</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Alternate corpus with answer labels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1,000 local examples; 249 confirmatory behavioral rows</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Operational gain accompanied by quality loss</w:t>
            </w:r>
          </w:p>
        </w:tc>
      </w:tr>
      <w:tr>
        <w:tc>
          <w:tcPr>
            <w:tcW w:type="dxa" w:w="165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Public mini</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Open-source reproduction</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Synthetic, deterministic, no private data or model</w:t>
            </w:r>
          </w:p>
        </w:tc>
        <w:tc>
          <w:tcPr>
            <w:tcW w:type="dxa" w:w="324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Onboarding proof, not external science</w:t>
            </w:r>
          </w:p>
        </w:tc>
      </w:tr>
    </w:tbl>
    <w:p>
      <w:pPr>
        <w:spacing w:before="60" w:after="140"/>
        <w:jc w:val="center"/>
        <w:keepLines w:val="1"/>
      </w:pPr>
      <w:r>
        <w:rPr>
          <w:rFonts w:ascii="Noto Serif" w:hAnsi="Noto Serif"/>
          <w:i/>
          <w:color w:val="5B6570"/>
          <w:sz w:val="16"/>
        </w:rPr>
        <w:t>Table 3. Principal datasets and evidence roles. Raw licensed datasets are not redistributed by the public repository.</w:t>
      </w:r>
    </w:p>
    <w:p>
      <w:pPr>
        <w:pStyle w:val="BodyText"/>
        <w:spacing w:after="84" w:line="254" w:lineRule="auto"/>
        <w:ind w:firstLine="317"/>
        <w:jc w:val="both"/>
      </w:pPr>
      <w:r>
        <w:rPr>
          <w:rFonts w:ascii="Noto Serif" w:hAnsi="Noto Serif"/>
          <w:i w:val="0"/>
          <w:color w:val="202124"/>
          <w:sz w:val="20"/>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pPr>
        <w:pStyle w:val="BodyText"/>
        <w:spacing w:after="84" w:line="254" w:lineRule="auto"/>
        <w:ind w:firstLine="317"/>
        <w:jc w:val="both"/>
      </w:pPr>
      <w:r>
        <w:rPr>
          <w:rFonts w:ascii="Noto Serif" w:hAnsi="Noto Serif"/>
          <w:i w:val="0"/>
          <w:color w:val="202124"/>
          <w:sz w:val="20"/>
        </w:rPr>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pPr>
        <w:pStyle w:val="BodyText"/>
        <w:spacing w:after="84" w:line="254" w:lineRule="auto"/>
        <w:ind w:firstLine="317"/>
        <w:jc w:val="both"/>
      </w:pPr>
      <w:r>
        <w:rPr>
          <w:rFonts w:ascii="Noto Serif" w:hAnsi="Noto Serif"/>
          <w:i w:val="0"/>
          <w:color w:val="202124"/>
          <w:sz w:val="20"/>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pPr>
        <w:pStyle w:val="BodyText"/>
        <w:spacing w:after="84" w:line="254" w:lineRule="auto"/>
        <w:ind w:firstLine="317"/>
        <w:jc w:val="both"/>
      </w:pPr>
      <w:r>
        <w:rPr>
          <w:rFonts w:ascii="Noto Serif" w:hAnsi="Noto Serif"/>
          <w:i w:val="0"/>
          <w:color w:val="202124"/>
          <w:sz w:val="20"/>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pPr>
        <w:pStyle w:val="Heading1"/>
        <w:spacing w:before="180" w:after="80"/>
        <w:keepNext w:val="1"/>
      </w:pPr>
      <w:r>
        <w:rPr>
          <w:rFonts w:ascii="Lato" w:hAnsi="Lato"/>
          <w:b/>
          <w:color w:val="264653"/>
          <w:sz w:val="30"/>
        </w:rPr>
        <w:t>6. Results</w:t>
      </w:r>
    </w:p>
    <w:p>
      <w:pPr>
        <w:pStyle w:val="BodyText"/>
        <w:spacing w:after="84" w:line="254" w:lineRule="auto"/>
        <w:ind w:firstLine="317"/>
        <w:jc w:val="both"/>
      </w:pPr>
      <w:r>
        <w:rPr>
          <w:rFonts w:ascii="Noto Serif" w:hAnsi="Noto Serif"/>
          <w:i w:val="0"/>
          <w:color w:val="202124"/>
          <w:sz w:val="20"/>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pPr>
        <w:pStyle w:val="BodyText"/>
        <w:spacing w:after="84" w:line="254" w:lineRule="auto"/>
        <w:ind w:firstLine="317"/>
        <w:jc w:val="both"/>
      </w:pPr>
      <w:r>
        <w:rPr>
          <w:rFonts w:ascii="Noto Serif" w:hAnsi="Noto Serif"/>
          <w:i w:val="0"/>
          <w:color w:val="202124"/>
          <w:sz w:val="20"/>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pPr>
        <w:spacing w:before="100" w:after="20"/>
        <w:jc w:val="center"/>
        <w:keepLines w:val="1"/>
        <w:keepNext w:val="1"/>
      </w:pPr>
      <w:r>
        <w:drawing>
          <wp:inline xmlns:a="http://schemas.openxmlformats.org/drawingml/2006/main" xmlns:pic="http://schemas.openxmlformats.org/drawingml/2006/picture">
            <wp:extent cx="6080760" cy="3379752"/>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6080760" cy="3379752"/>
                    </a:xfrm>
                    <a:prstGeom prst="rect"/>
                  </pic:spPr>
                </pic:pic>
              </a:graphicData>
            </a:graphic>
          </wp:inline>
        </w:drawing>
      </w:r>
    </w:p>
    <w:p>
      <w:pPr>
        <w:spacing w:after="120"/>
        <w:ind w:left="360" w:right="360"/>
        <w:jc w:val="center"/>
        <w:keepLines w:val="1"/>
      </w:pPr>
      <w:r>
        <w:rPr>
          <w:rFonts w:ascii="Noto Serif" w:hAnsi="Noto Serif"/>
          <w:i/>
          <w:color w:val="5B6570"/>
          <w:sz w:val="16"/>
        </w:rPr>
        <w:t>Figure 5. The evidence ledger preserves positive, bounded, mixed, negative, and fail-closed outcomes instead of collapsing them into one leaderboard.</w:t>
      </w:r>
    </w:p>
    <w:p>
      <w:pPr>
        <w:pStyle w:val="Heading2"/>
        <w:spacing w:before="120" w:after="80"/>
        <w:keepNext w:val="1"/>
      </w:pPr>
      <w:r>
        <w:rPr>
          <w:rFonts w:ascii="Lato" w:hAnsi="Lato"/>
          <w:b/>
          <w:color w:val="2A7F86"/>
          <w:sz w:val="24"/>
        </w:rPr>
        <w:t>6.1 Confirmatory outcomes: noninferiority without general superiority</w:t>
      </w:r>
    </w:p>
    <w:p>
      <w:pPr>
        <w:pStyle w:val="BodyText"/>
        <w:spacing w:after="84" w:line="254" w:lineRule="auto"/>
        <w:ind w:firstLine="317"/>
        <w:jc w:val="both"/>
      </w:pPr>
      <w:r>
        <w:rPr>
          <w:rFonts w:ascii="Noto Serif" w:hAnsi="Noto Serif"/>
          <w:i w:val="0"/>
          <w:color w:val="202124"/>
          <w:sz w:val="20"/>
        </w:rPr>
        <w:t>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retrieval, both selectors again chose the same high-retrieval policy. A larger T2-RAGBench development run was directly unfavorable to RAG Compass, reinforcing the optimizer-agnostic design.</w:t>
      </w:r>
    </w:p>
    <w:p>
      <w:pPr>
        <w:pStyle w:val="BodyText"/>
        <w:spacing w:after="84" w:line="254" w:lineRule="auto"/>
        <w:ind w:firstLine="317"/>
        <w:jc w:val="both"/>
      </w:pPr>
      <w:r>
        <w:rPr>
          <w:rFonts w:ascii="Noto Serif" w:hAnsi="Noto Serif"/>
          <w:i w:val="0"/>
          <w:color w:val="202124"/>
          <w:sz w:val="20"/>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pPr>
        <w:pStyle w:val="BodyText"/>
        <w:spacing w:after="84" w:line="254" w:lineRule="auto"/>
        <w:ind w:firstLine="317"/>
        <w:jc w:val="both"/>
      </w:pPr>
      <w:r>
        <w:rPr>
          <w:rFonts w:ascii="Noto Serif" w:hAnsi="Noto Serif"/>
          <w:i w:val="0"/>
          <w:color w:val="202124"/>
          <w:sz w:val="20"/>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pPr>
        <w:pStyle w:val="BodyText"/>
        <w:spacing w:after="84" w:line="254" w:lineRule="auto"/>
        <w:ind w:firstLine="317"/>
        <w:jc w:val="both"/>
      </w:pPr>
      <w:r>
        <w:rPr>
          <w:rFonts w:ascii="Noto Serif" w:hAnsi="Noto Serif"/>
          <w:i w:val="0"/>
          <w:color w:val="202124"/>
          <w:sz w:val="20"/>
        </w:rPr>
        <w:t>These studies also expose an important distinction between selection correctness and hindsight regret. A policy selected from validation evidence can lose to another policy on a sealed test set without implying a logic defect. RAGTune records that reversal, but it does not retroactively choose the test winner. This preserves the separation between model selection and final estimation that the governance contract is intended to enforce.</w:t>
      </w:r>
    </w:p>
    <w:p>
      <w:pPr>
        <w:pStyle w:val="Heading2"/>
        <w:spacing w:before="120" w:after="80"/>
        <w:keepNext w:val="1"/>
      </w:pPr>
      <w:r>
        <w:rPr>
          <w:rFonts w:ascii="Lato" w:hAnsi="Lato"/>
          <w:b/>
          <w:color w:val="2A7F86"/>
          <w:sz w:val="24"/>
        </w:rPr>
        <w:t>6.2 Fail-closed outcomes</w:t>
      </w:r>
    </w:p>
    <w:p>
      <w:pPr>
        <w:pStyle w:val="BodyText"/>
        <w:spacing w:after="84" w:line="254" w:lineRule="auto"/>
        <w:ind w:firstLine="317"/>
        <w:jc w:val="both"/>
      </w:pPr>
      <w:r>
        <w:rPr>
          <w:rFonts w:ascii="Noto Serif" w:hAnsi="Noto Serif"/>
          <w:i w:val="0"/>
          <w:color w:val="202124"/>
          <w:sz w:val="20"/>
        </w:rPr>
        <w:t>HotpotQA provides the clearest negative test. The governed policy reduced retrieval cost, context volume, and calls, but answer quality declined beyond the declared noninferiority margin. A conventional efficiency report could describe the run as a cost win; RAGTune classified it as operational gain with quality loss and withheld promotion.</w:t>
      </w:r>
    </w:p>
    <w:p>
      <w:pPr>
        <w:pStyle w:val="BodyText"/>
        <w:spacing w:after="84" w:line="254" w:lineRule="auto"/>
        <w:ind w:firstLine="317"/>
        <w:jc w:val="both"/>
      </w:pPr>
      <w:r>
        <w:rPr>
          <w:rFonts w:ascii="Noto Serif" w:hAnsi="Noto Serif"/>
          <w:i w:val="0"/>
          <w:color w:val="202124"/>
          <w:sz w:val="20"/>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pPr>
        <w:pStyle w:val="BodyText"/>
        <w:spacing w:after="84" w:line="254" w:lineRule="auto"/>
        <w:ind w:firstLine="317"/>
        <w:jc w:val="both"/>
      </w:pPr>
      <w:r>
        <w:rPr>
          <w:rFonts w:ascii="Noto Serif" w:hAnsi="Noto Serif"/>
          <w:i w:val="0"/>
          <w:color w:val="202124"/>
          <w:sz w:val="20"/>
        </w:rPr>
        <w:t>Fail-closed behavior is costly: a conservative controller can retain an expensive baseline or delay a useful change. The packaged artifacts therefore record blocked rate, promotion rate, and the operational savings left unrealized, not only quality loss. The current program does not prove that the chosen trade-off is optimal; it demonstrates that the trade-off is explicit, reproducible, and reviewable.</w:t>
      </w:r>
    </w:p>
    <w:p>
      <w:pPr>
        <w:pStyle w:val="Heading2"/>
        <w:spacing w:before="120" w:after="80"/>
        <w:keepNext w:val="1"/>
      </w:pPr>
      <w:r>
        <w:rPr>
          <w:rFonts w:ascii="Lato" w:hAnsi="Lato"/>
          <w:b/>
          <w:color w:val="2A7F86"/>
          <w:sz w:val="24"/>
        </w:rPr>
        <w:t>6.3 Generative feasibility without stability</w:t>
      </w:r>
    </w:p>
    <w:p>
      <w:pPr>
        <w:pStyle w:val="BodyText"/>
        <w:spacing w:after="84" w:line="254" w:lineRule="auto"/>
        <w:ind w:firstLine="317"/>
        <w:jc w:val="both"/>
      </w:pPr>
      <w:r>
        <w:rPr>
          <w:rFonts w:ascii="Noto Serif" w:hAnsi="Noto Serif"/>
          <w:i w:val="0"/>
          <w:color w:val="202124"/>
          <w:sz w:val="20"/>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pPr>
        <w:pStyle w:val="BodyText"/>
        <w:spacing w:after="84" w:line="254" w:lineRule="auto"/>
        <w:ind w:firstLine="317"/>
        <w:jc w:val="both"/>
      </w:pPr>
      <w:r>
        <w:rPr>
          <w:rFonts w:ascii="Noto Serif" w:hAnsi="Noto Serif"/>
          <w:i w:val="0"/>
          <w:color w:val="202124"/>
          <w:sz w:val="20"/>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pPr>
        <w:pStyle w:val="BodyText"/>
        <w:spacing w:after="84" w:line="254" w:lineRule="auto"/>
        <w:ind w:firstLine="317"/>
        <w:jc w:val="both"/>
      </w:pPr>
      <w:r>
        <w:rPr>
          <w:rFonts w:ascii="Noto Serif" w:hAnsi="Noto Serif"/>
          <w:i w:val="0"/>
          <w:color w:val="202124"/>
          <w:sz w:val="20"/>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pPr>
        <w:pStyle w:val="Heading2"/>
        <w:spacing w:before="120" w:after="80"/>
        <w:keepNext w:val="1"/>
      </w:pPr>
      <w:r>
        <w:rPr>
          <w:rFonts w:ascii="Lato" w:hAnsi="Lato"/>
          <w:b/>
          <w:color w:val="2A7F86"/>
          <w:sz w:val="24"/>
        </w:rPr>
        <w:t>6.4 Selector ablation and systems results</w:t>
      </w:r>
    </w:p>
    <w:p>
      <w:pPr>
        <w:pStyle w:val="BodyText"/>
        <w:spacing w:after="84" w:line="254" w:lineRule="auto"/>
        <w:ind w:firstLine="317"/>
        <w:jc w:val="both"/>
      </w:pPr>
      <w:r>
        <w:rPr>
          <w:rFonts w:ascii="Noto Serif" w:hAnsi="Noto Serif"/>
          <w:i w:val="0"/>
          <w:color w:val="202124"/>
          <w:sz w:val="20"/>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pPr>
        <w:pStyle w:val="BodyText"/>
        <w:spacing w:after="84" w:line="254" w:lineRule="auto"/>
        <w:ind w:firstLine="317"/>
        <w:jc w:val="both"/>
      </w:pPr>
      <w:r>
        <w:rPr>
          <w:rFonts w:ascii="Noto Serif" w:hAnsi="Noto Serif"/>
          <w:i w:val="0"/>
          <w:color w:val="202124"/>
          <w:sz w:val="20"/>
        </w:rPr>
        <w:t>The systems artifact also passed the practical tests expected of an open-source governance engine. A fresh Git clone installed and reproduced the public-mini workflow without private data or model credentials. The hardened Docker job ran as a fixed non-root user with a read-only filesystem, dropped capabilities, no-new-privileges, resource limits, and no network for the mini run. Verify-run confirmed hashes and schemas, external-evaluator adapters generated a promotion decision, and the release-candidate hardware report excluded hostnames, addresses, serial numbers, and private paths.</w:t>
      </w:r>
    </w:p>
    <w:p>
      <w:pPr>
        <w:pStyle w:val="BodyText"/>
        <w:spacing w:after="84" w:line="254" w:lineRule="auto"/>
        <w:ind w:firstLine="317"/>
        <w:jc w:val="both"/>
      </w:pPr>
      <w:r>
        <w:rPr>
          <w:rFonts w:ascii="Noto Serif" w:hAnsi="Noto Serif"/>
          <w:i w:val="0"/>
          <w:color w:val="202124"/>
          <w:sz w:val="20"/>
        </w:rPr>
        <w:t>Fresh-clone and container results matter because a governance decision is credible only if an independent reviewer can execute the contract that produced it. The public mini is intentionally synthetic and fail-closed: it proves installation, schemas, exit behavior, artifact generation, and claim checks without implying external efficacy. The external-adapter demonstration serves the same systems purpose by showing that RAGTune can consume declared metric exports without bundling or impersonating the upstream platforms.</w:t>
      </w:r>
    </w:p>
    <w:p>
      <w:pPr>
        <w:spacing w:before="100" w:after="20"/>
        <w:jc w:val="center"/>
        <w:keepLines w:val="1"/>
        <w:keepNext w:val="1"/>
      </w:pPr>
      <w:r>
        <w:drawing>
          <wp:inline xmlns:a="http://schemas.openxmlformats.org/drawingml/2006/main" xmlns:pic="http://schemas.openxmlformats.org/drawingml/2006/picture">
            <wp:extent cx="6035040" cy="2745623"/>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6035040" cy="2745623"/>
                    </a:xfrm>
                    <a:prstGeom prst="rect"/>
                  </pic:spPr>
                </pic:pic>
              </a:graphicData>
            </a:graphic>
          </wp:inline>
        </w:drawing>
      </w:r>
    </w:p>
    <w:p>
      <w:pPr>
        <w:spacing w:after="120"/>
        <w:ind w:left="360" w:right="360"/>
        <w:jc w:val="center"/>
        <w:keepLines w:val="1"/>
      </w:pPr>
      <w:r>
        <w:rPr>
          <w:rFonts w:ascii="Noto Serif" w:hAnsi="Noto Serif"/>
          <w:i/>
          <w:color w:val="5B6570"/>
          <w:sz w:val="16"/>
        </w:rPr>
        <w:t>Figure 6. In the packaged selector stress test, governed selectors blocked more cases and recorded no quality-loss labels; operational selectors did not block and admitted quality loss.</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2541"/>
        <w:gridCol w:w="2541"/>
        <w:gridCol w:w="2541"/>
        <w:gridCol w:w="2541"/>
      </w:tblGrid>
      <w:tr>
        <w:trPr>
          <w:tblHeader w:val="true"/>
        </w:trPr>
        <w:tc>
          <w:tcPr>
            <w:tcW w:type="dxa" w:w="1800"/>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Evaluation</w:t>
            </w:r>
          </w:p>
        </w:tc>
        <w:tc>
          <w:tcPr>
            <w:tcW w:type="dxa" w:w="1872"/>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Scope / N</w:t>
            </w:r>
          </w:p>
        </w:tc>
        <w:tc>
          <w:tcPr>
            <w:tcW w:type="dxa" w:w="3096"/>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Primary outcome</w:t>
            </w:r>
          </w:p>
        </w:tc>
        <w:tc>
          <w:tcPr>
            <w:tcW w:type="dxa" w:w="3312"/>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Interpretation</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MultiHop-RAG confirmatory</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331 queries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Governance delta 0; noninferior, not superior</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Valid confirmatory execution; no governance advantage</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CRAG web documents</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571 rows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Governed = quality-only = top_k_high</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Corpus-backed execution; no superiority</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CRAG mock API</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571 rows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Utility +0.00100254; 571/0/0 wins/ties/losses</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Strongest bounded source/retrieval signal; largely cost/latency driven</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Frozen behaviorally distinct CRAG</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571 paired observations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Quality -0.00515371; cost -2.36839; calls -1.79860</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Lower operating burden within declared proxy-quality margin; derived evidence</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HotpotQA behavioral</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249 confirmatory rows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Quality -0.0408367; F1 -0.0843373; cost -2.33014; calls -1.98394</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Operational gain with quality loss; blocked</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CRAG generative primary</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12 examples; 132 generations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Quality +0.0166534; cost -3.77900; latency -5,971.85 ms</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Positive bounded slice; repeats/models did not reproduce</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Guardrail v2</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4 held-out offsets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3 quality-loss blocks; 0 positive latency results</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Validation success failed held-out generalization</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Selector stress</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Packaged evidence families</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Governed blocked 0.66 with 0 quality loss; cost/latency/random quality loss 0.25</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Gates traded promotion rate for no observed quality-loss labels</w:t>
            </w:r>
          </w:p>
        </w:tc>
      </w:tr>
      <w:tr>
        <w:tc>
          <w:tcPr>
            <w:tcW w:type="dxa" w:w="180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Public mini + Docker</w:t>
            </w:r>
          </w:p>
        </w:tc>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Synthetic deterministic job</w:t>
            </w:r>
          </w:p>
        </w:tc>
        <w:tc>
          <w:tcPr>
            <w:tcW w:type="dxa" w:w="3096"/>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Fresh clone, hardened Docker, decision artifact, verify-run pass</w:t>
            </w:r>
          </w:p>
        </w:tc>
        <w:tc>
          <w:tcPr>
            <w:tcW w:type="dxa" w:w="331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Strong systems reproducibility; not external empirical evidence</w:t>
            </w:r>
          </w:p>
        </w:tc>
      </w:tr>
    </w:tbl>
    <w:p>
      <w:pPr>
        <w:spacing w:before="60" w:after="140"/>
        <w:jc w:val="center"/>
        <w:keepLines w:val="1"/>
      </w:pPr>
      <w:r>
        <w:rPr>
          <w:rFonts w:ascii="Noto Serif" w:hAnsi="Noto Serif"/>
          <w:i/>
          <w:color w:val="5B6570"/>
          <w:sz w:val="16"/>
        </w:rPr>
        <w:t>Table 4. Principal empirical and systems results. Full precision is retained here; negative and mixed outcomes are part of the reported evidence.</w:t>
      </w:r>
    </w:p>
    <w:p>
      <w:pPr>
        <w:pStyle w:val="Heading1"/>
        <w:spacing w:before="180" w:after="80"/>
        <w:keepNext w:val="1"/>
      </w:pPr>
      <w:r>
        <w:rPr>
          <w:rFonts w:ascii="Lato" w:hAnsi="Lato"/>
          <w:b/>
          <w:color w:val="264653"/>
          <w:sz w:val="30"/>
        </w:rPr>
        <w:t>7. Discussion</w:t>
      </w:r>
    </w:p>
    <w:p>
      <w:pPr>
        <w:pStyle w:val="BodyText"/>
        <w:spacing w:after="84" w:line="254" w:lineRule="auto"/>
        <w:ind w:firstLine="317"/>
        <w:jc w:val="both"/>
      </w:pPr>
      <w:r>
        <w:rPr>
          <w:rFonts w:ascii="Noto Serif" w:hAnsi="Noto Serif"/>
          <w:i w:val="0"/>
          <w:color w:val="202124"/>
          <w:sz w:val="20"/>
        </w:rPr>
        <w:t>RAGTune's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pPr>
        <w:pStyle w:val="BodyText"/>
        <w:spacing w:after="84" w:line="254" w:lineRule="auto"/>
        <w:ind w:firstLine="317"/>
        <w:jc w:val="both"/>
      </w:pPr>
      <w:r>
        <w:rPr>
          <w:rFonts w:ascii="Noto Serif" w:hAnsi="Noto Serif"/>
          <w:i w:val="0"/>
          <w:color w:val="202124"/>
          <w:sz w:val="20"/>
        </w:rPr>
        <w:t>This position is complementary to existing tools. A team may obtain answer correctness from one evaluator, faithfulness from another, cost and latency from traces, and a security disqualifier from a separate suite. RAGTune's role is to combine those declared inputs under one release contract. The output is not another score but a decision with reasons, limits, and traceable artifacts. This is particularly useful when a quality-only winner, a constrained optimizer, and a risk gate disagree.</w:t>
      </w:r>
    </w:p>
    <w:p>
      <w:pPr>
        <w:pStyle w:val="BodyText"/>
        <w:spacing w:after="84" w:line="254" w:lineRule="auto"/>
        <w:ind w:firstLine="317"/>
        <w:jc w:val="both"/>
      </w:pPr>
      <w:r>
        <w:rPr>
          <w:rFonts w:ascii="Noto Serif" w:hAnsi="Noto Serif"/>
          <w:i w:val="0"/>
          <w:color w:val="202124"/>
          <w:sz w:val="20"/>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pPr>
        <w:pStyle w:val="BodyText"/>
        <w:spacing w:after="84" w:line="254" w:lineRule="auto"/>
        <w:ind w:firstLine="317"/>
        <w:jc w:val="both"/>
      </w:pPr>
      <w:r>
        <w:rPr>
          <w:rFonts w:ascii="Noto Serif" w:hAnsi="Noto Serif"/>
          <w:i w:val="0"/>
          <w:color w:val="202124"/>
          <w:sz w:val="20"/>
        </w:rPr>
        <w:t>A practical governance program must eventually price false refusal as carefully as false promotion. Blocking too often can preserve a costly configuration, slow improvement, and encourage teams to bypass the process. RAGTune's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pPr>
        <w:pStyle w:val="BodyText"/>
        <w:spacing w:after="84" w:line="254" w:lineRule="auto"/>
        <w:ind w:firstLine="317"/>
        <w:jc w:val="both"/>
      </w:pPr>
      <w:r>
        <w:rPr>
          <w:rFonts w:ascii="Noto Serif" w:hAnsi="Noto Serif"/>
          <w:i w:val="0"/>
          <w:color w:val="202124"/>
          <w:sz w:val="20"/>
        </w:rPr>
        <w:t>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RAGTune can run as a finite CI/CD or monitoring job and emit an artifact suitable for change review; integration with live identity, authorization, and incident processes remains deployment-specific.</w:t>
      </w:r>
    </w:p>
    <w:p>
      <w:pPr>
        <w:pStyle w:val="BodyText"/>
        <w:spacing w:after="84" w:line="254" w:lineRule="auto"/>
        <w:ind w:firstLine="317"/>
        <w:jc w:val="both"/>
      </w:pPr>
      <w:r>
        <w:rPr>
          <w:rFonts w:ascii="Noto Serif" w:hAnsi="Noto Serif"/>
          <w:i w:val="0"/>
          <w:color w:val="202124"/>
          <w:sz w:val="20"/>
        </w:rPr>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pPr>
        <w:pStyle w:val="Heading1"/>
        <w:spacing w:before="180" w:after="80"/>
        <w:keepNext w:val="1"/>
      </w:pPr>
      <w:r>
        <w:rPr>
          <w:rFonts w:ascii="Lato" w:hAnsi="Lato"/>
          <w:b/>
          <w:color w:val="264653"/>
          <w:sz w:val="30"/>
        </w:rPr>
        <w:t>8. Limitations and Threats to Validity</w:t>
      </w:r>
    </w:p>
    <w:p>
      <w:pPr>
        <w:pStyle w:val="BodyText"/>
        <w:spacing w:after="84" w:line="254" w:lineRule="auto"/>
        <w:ind w:firstLine="317"/>
        <w:jc w:val="both"/>
      </w:pPr>
      <w:r>
        <w:rPr>
          <w:rFonts w:ascii="Noto Serif" w:hAnsi="Noto Serif"/>
          <w:i w:val="0"/>
          <w:color w:val="202124"/>
          <w:sz w:val="20"/>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pPr>
        <w:pStyle w:val="BodyText"/>
        <w:spacing w:after="84" w:line="254" w:lineRule="auto"/>
        <w:ind w:firstLine="317"/>
        <w:jc w:val="both"/>
      </w:pPr>
      <w:r>
        <w:rPr>
          <w:rFonts w:ascii="Noto Serif" w:hAnsi="Noto Serif"/>
          <w:i w:val="0"/>
          <w:color w:val="202124"/>
          <w:sz w:val="20"/>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pPr>
        <w:pStyle w:val="BodyText"/>
        <w:spacing w:after="84" w:line="254" w:lineRule="auto"/>
        <w:ind w:firstLine="317"/>
        <w:jc w:val="both"/>
      </w:pPr>
      <w:r>
        <w:rPr>
          <w:rFonts w:ascii="Noto Serif" w:hAnsi="Noto Serif"/>
          <w:i w:val="0"/>
          <w:color w:val="202124"/>
          <w:sz w:val="20"/>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pPr>
        <w:pStyle w:val="BodyText"/>
        <w:spacing w:after="84" w:line="254" w:lineRule="auto"/>
        <w:ind w:firstLine="317"/>
        <w:jc w:val="both"/>
      </w:pPr>
      <w:r>
        <w:rPr>
          <w:rFonts w:ascii="Noto Serif" w:hAnsi="Noto Serif"/>
          <w:i w:val="0"/>
          <w:color w:val="202124"/>
          <w:sz w:val="20"/>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pPr>
        <w:pStyle w:val="BodyText"/>
        <w:spacing w:after="84" w:line="254" w:lineRule="auto"/>
        <w:ind w:firstLine="317"/>
        <w:jc w:val="both"/>
      </w:pPr>
      <w:r>
        <w:rPr>
          <w:rFonts w:ascii="Noto Serif" w:hAnsi="Noto Serif"/>
          <w:i w:val="0"/>
          <w:color w:val="202124"/>
          <w:sz w:val="20"/>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pPr>
        <w:pStyle w:val="BodyText"/>
        <w:spacing w:after="84" w:line="254" w:lineRule="auto"/>
        <w:ind w:firstLine="317"/>
        <w:jc w:val="both"/>
      </w:pPr>
      <w:r>
        <w:rPr>
          <w:rFonts w:ascii="Noto Serif" w:hAnsi="Noto Serif"/>
          <w:i w:val="0"/>
          <w:color w:val="202124"/>
          <w:sz w:val="20"/>
        </w:rPr>
        <w:t>Reproducibility artifacts verify code paths, decisions, and public hygiene; they cannot independently verify licensed raw data that are excluded from the repository. Exact external replication therefore depends on acquiring the original corpora and reconstructing the declared manifests. The release tag itself is an engineering checkpoint rather than a guarantee that every historical artifact can be regenerated without those sources.</w:t>
      </w:r>
    </w:p>
    <w:p>
      <w:pPr>
        <w:pStyle w:val="Heading1"/>
        <w:spacing w:before="180" w:after="80"/>
        <w:keepNext w:val="1"/>
      </w:pPr>
      <w:r>
        <w:rPr>
          <w:rFonts w:ascii="Lato" w:hAnsi="Lato"/>
          <w:b/>
          <w:color w:val="264653"/>
          <w:sz w:val="30"/>
        </w:rPr>
        <w:t>9. Reproducibility, Availability, and Responsible Release</w:t>
      </w:r>
    </w:p>
    <w:p>
      <w:pPr>
        <w:pStyle w:val="BodyText"/>
        <w:spacing w:after="84" w:line="254" w:lineRule="auto"/>
        <w:ind w:firstLine="317"/>
        <w:jc w:val="both"/>
      </w:pPr>
      <w:r>
        <w:rPr>
          <w:rFonts w:ascii="Noto Serif" w:hAnsi="Noto Serif"/>
          <w:i w:val="0"/>
          <w:color w:val="202124"/>
          <w:sz w:val="20"/>
        </w:rPr>
        <w:t>Project code is released under Apache-2.0; third-party datasets retain their original licenses, and raw CRAG or HotpotQA text is not redistributed. The tagged v0.1.0-rc1 artifact identifies a fixed commit and includes configs, schemas, sanitized processed results, tests, Docker assets, deployment templates, claim tables, release manifests, and an evidence ledger.</w:t>
      </w:r>
    </w:p>
    <w:p>
      <w:pPr>
        <w:pStyle w:val="BodyText"/>
        <w:spacing w:after="84" w:line="254" w:lineRule="auto"/>
        <w:ind w:firstLine="317"/>
        <w:jc w:val="both"/>
      </w:pPr>
      <w:r>
        <w:rPr>
          <w:rFonts w:ascii="Noto Serif" w:hAnsi="Noto Serif"/>
          <w:i w:val="0"/>
          <w:color w:val="202124"/>
          <w:sz w:val="20"/>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pPr>
        <w:pStyle w:val="BodyText"/>
        <w:spacing w:after="84" w:line="254" w:lineRule="auto"/>
        <w:ind w:firstLine="317"/>
        <w:jc w:val="both"/>
      </w:pPr>
      <w:r>
        <w:rPr>
          <w:rFonts w:ascii="Noto Serif" w:hAnsi="Noto Serif"/>
          <w:i w:val="0"/>
          <w:color w:val="202124"/>
          <w:sz w:val="20"/>
        </w:rPr>
        <w:t>The public-mini decision is accompanied by an artifact manifest and cryptographic checksums, and the verify-run command detects missing or modified files. 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pPr>
        <w:pStyle w:val="Heading1"/>
        <w:spacing w:before="180" w:after="80"/>
        <w:keepNext w:val="1"/>
      </w:pPr>
      <w:r>
        <w:rPr>
          <w:rFonts w:ascii="Lato" w:hAnsi="Lato"/>
          <w:b/>
          <w:color w:val="264653"/>
          <w:sz w:val="30"/>
        </w:rPr>
        <w:t>10. Conclusion</w:t>
      </w:r>
    </w:p>
    <w:p>
      <w:pPr>
        <w:pStyle w:val="BodyText"/>
        <w:spacing w:after="84" w:line="254" w:lineRule="auto"/>
        <w:ind w:firstLine="317"/>
        <w:jc w:val="both"/>
      </w:pPr>
      <w:r>
        <w:rPr>
          <w:rFonts w:ascii="Noto Serif" w:hAnsi="Noto Serif"/>
          <w:i w:val="0"/>
          <w:color w:val="202124"/>
          <w:sz w:val="20"/>
        </w:rPr>
        <w:t>RAGTune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pPr>
        <w:pStyle w:val="BodyText"/>
        <w:spacing w:after="84" w:line="254" w:lineRule="auto"/>
        <w:ind w:firstLine="317"/>
        <w:jc w:val="both"/>
      </w:pPr>
      <w:r>
        <w:rPr>
          <w:rFonts w:ascii="Noto Serif" w:hAnsi="Noto Serif"/>
          <w:i w:val="0"/>
          <w:color w:val="202124"/>
          <w:sz w:val="20"/>
        </w:rPr>
        <w:t>That boundary is the paper's central proposal: measurement should inform release, but it should not silently become release authority.</w:t>
      </w:r>
    </w:p>
    <w:p>
      <w:pPr>
        <w:pStyle w:val="BodyText"/>
        <w:spacing w:after="84" w:line="254" w:lineRule="auto"/>
        <w:ind w:firstLine="317"/>
        <w:jc w:val="both"/>
      </w:pPr>
      <w:r>
        <w:rPr>
          <w:rFonts w:ascii="Noto Serif" w:hAnsi="Noto Serif"/>
          <w:i w:val="0"/>
          <w:color w:val="202124"/>
          <w:sz w:val="20"/>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r>
        <w:br w:type="page"/>
      </w:r>
    </w:p>
    <w:p>
      <w:pPr>
        <w:pStyle w:val="Heading1"/>
        <w:spacing w:before="180" w:after="80"/>
        <w:keepNext w:val="1"/>
      </w:pPr>
      <w:r>
        <w:rPr>
          <w:rFonts w:ascii="Lato" w:hAnsi="Lato"/>
          <w:b/>
          <w:color w:val="264653"/>
          <w:sz w:val="30"/>
        </w:rPr>
        <w:t>Appendix A. Decision and Evidence Taxonomy</w:t>
      </w:r>
    </w:p>
    <w:p>
      <w:pPr>
        <w:pStyle w:val="BodyText"/>
        <w:spacing w:after="84" w:line="254" w:lineRule="auto"/>
        <w:ind w:firstLine="0"/>
        <w:jc w:val="both"/>
      </w:pPr>
      <w:r>
        <w:rPr>
          <w:rFonts w:ascii="Noto Serif" w:hAnsi="Noto Serif"/>
          <w:i w:val="0"/>
          <w:color w:val="202124"/>
          <w:sz w:val="20"/>
        </w:rPr>
        <w:t>RAGTune's evidence taxonomy is deliberately asymmetric: stronger evidence may support a narrower claim, but weaker evidence cannot be relabeled upward. The categories below define the maximum defensible statement associated with each run type.</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2541"/>
        <w:gridCol w:w="2541"/>
        <w:gridCol w:w="2541"/>
        <w:gridCol w:w="2541"/>
      </w:tblGrid>
      <w:tr>
        <w:trPr>
          <w:tblHeader w:val="true"/>
        </w:trPr>
        <w:tc>
          <w:tcPr>
            <w:tcW w:type="dxa" w:w="1872"/>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Evidence class</w:t>
            </w:r>
          </w:p>
        </w:tc>
        <w:tc>
          <w:tcPr>
            <w:tcW w:type="dxa" w:w="2952"/>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What it establishes</w:t>
            </w:r>
          </w:p>
        </w:tc>
        <w:tc>
          <w:tcPr>
            <w:tcW w:type="dxa" w:w="2664"/>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Permitted claim example</w:t>
            </w:r>
          </w:p>
        </w:tc>
        <w:tc>
          <w:tcPr>
            <w:tcW w:type="dxa" w:w="2592"/>
            <w:vAlign w:val="center"/>
            <w:tcMar>
              <w:top w:w="70" w:type="dxa"/>
              <w:start w:w="90" w:type="dxa"/>
              <w:bottom w:w="70" w:type="dxa"/>
              <w:end w:w="90" w:type="dxa"/>
            </w:tcMar>
            <w:shd w:fill="DCE8EF"/>
          </w:tcPr>
          <w:p>
            <w:pPr>
              <w:spacing w:after="0" w:line="240" w:lineRule="auto"/>
              <w:jc w:val="center"/>
            </w:pPr>
            <w:r>
              <w:rPr>
                <w:rFonts w:ascii="Lato" w:hAnsi="Lato"/>
                <w:b/>
                <w:color w:val="264653"/>
                <w:sz w:val="14"/>
              </w:rPr>
              <w:t>Not permitted</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Fixture / smoke</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Code path, schema, and refusal behavior execute</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Harness runs and artifacts validate.</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Benchmark or quality superiority</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Development</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Candidate behavior on nonsealed data</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Promising development signal.</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Confirmatory or production claim</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Public confirmatory</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Held-out result under frozen configuration</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Bounded external signal on this corpus.</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Universal generalization</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Frozen-observation derived</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Ablation and counterfactual analysis</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Derived operational comparison.</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Independent replication</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Generative local</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Pinned generator and generated-answer scoring</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Bounded local generative validation.</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Human or platform validation</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Human evaluation</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Completed blinded annotations</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Human-adjudicated result.</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Production outcome without operations</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Platform-native</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Actual platform execution and run records</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Platform-executed benchmark.</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Vendor certification</w:t>
            </w:r>
          </w:p>
        </w:tc>
      </w:tr>
      <w:tr>
        <w:tc>
          <w:tcPr>
            <w:tcW w:type="dxa" w:w="18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Production</w:t>
            </w:r>
          </w:p>
        </w:tc>
        <w:tc>
          <w:tcPr>
            <w:tcW w:type="dxa" w:w="295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Monitored operational outcomes</w:t>
            </w:r>
          </w:p>
        </w:tc>
        <w:tc>
          <w:tcPr>
            <w:tcW w:type="dxa" w:w="2664"/>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Production evidence in declared environment.</w:t>
            </w:r>
          </w:p>
        </w:tc>
        <w:tc>
          <w:tcPr>
            <w:tcW w:type="dxa" w:w="259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General safety guarantee</w:t>
            </w:r>
          </w:p>
        </w:tc>
      </w:tr>
    </w:tbl>
    <w:p>
      <w:pPr>
        <w:spacing w:before="60" w:after="140"/>
        <w:jc w:val="center"/>
        <w:keepLines w:val="1"/>
      </w:pPr>
      <w:r>
        <w:rPr>
          <w:rFonts w:ascii="Noto Serif" w:hAnsi="Noto Serif"/>
          <w:i/>
          <w:color w:val="5B6570"/>
          <w:sz w:val="16"/>
        </w:rPr>
        <w:t>Table A1. Evidence classes and claim ceilings.</w:t>
      </w:r>
    </w:p>
    <w:p>
      <w:pPr>
        <w:pStyle w:val="Heading1"/>
        <w:spacing w:before="180" w:after="80"/>
        <w:keepNext w:val="1"/>
      </w:pPr>
      <w:r>
        <w:rPr>
          <w:rFonts w:ascii="Lato" w:hAnsi="Lato"/>
          <w:b/>
          <w:color w:val="264653"/>
          <w:sz w:val="30"/>
        </w:rPr>
        <w:t>Appendix B. Machine-Readable Promotion Decision</w:t>
      </w:r>
    </w:p>
    <w:p>
      <w:pPr>
        <w:pStyle w:val="BodyText"/>
        <w:spacing w:after="84" w:line="254" w:lineRule="auto"/>
        <w:ind w:firstLine="0"/>
        <w:jc w:val="both"/>
      </w:pPr>
      <w:r>
        <w:rPr>
          <w:rFonts w:ascii="Noto Serif" w:hAnsi="Noto Serif"/>
          <w:i w:val="0"/>
          <w:color w:val="202124"/>
          <w:sz w:val="20"/>
        </w:rPr>
        <w:t>The promotion_decision.json schema separates scientific outcome from runtime success. A job may execute correctly and still return BLOCK or INCONCLUSIVE. The record carries the evidence needed for review, CI/CD, change management, or artifact storage.</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3389"/>
        <w:gridCol w:w="3389"/>
        <w:gridCol w:w="3389"/>
      </w:tblGrid>
      <w:tr>
        <w:trPr>
          <w:tblHeader w:val="true"/>
        </w:trPr>
        <w:tc>
          <w:tcPr>
            <w:tcW w:type="dxa" w:w="1584"/>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Field group</w:t>
            </w:r>
          </w:p>
        </w:tc>
        <w:tc>
          <w:tcPr>
            <w:tcW w:type="dxa" w:w="3744"/>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Representative fields</w:t>
            </w:r>
          </w:p>
        </w:tc>
        <w:tc>
          <w:tcPr>
            <w:tcW w:type="dxa" w:w="4752"/>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Purpose</w:t>
            </w:r>
          </w:p>
        </w:tc>
      </w:tr>
      <w:tr>
        <w:tc>
          <w:tcPr>
            <w:tcW w:type="dxa" w:w="158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Identity</w:t>
            </w:r>
          </w:p>
        </w:tc>
        <w:tc>
          <w:tcPr>
            <w:tcW w:type="dxa" w:w="37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run_id, suite, timestamp_utc, schema_version</w:t>
            </w:r>
          </w:p>
        </w:tc>
        <w:tc>
          <w:tcPr>
            <w:tcW w:type="dxa" w:w="47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Trace the decision to code, config, and evidence.</w:t>
            </w:r>
          </w:p>
        </w:tc>
      </w:tr>
      <w:tr>
        <w:tc>
          <w:tcPr>
            <w:tcW w:type="dxa" w:w="158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Decision</w:t>
            </w:r>
          </w:p>
        </w:tc>
        <w:tc>
          <w:tcPr>
            <w:tcW w:type="dxa" w:w="37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decision, result_class, decision_reason</w:t>
            </w:r>
          </w:p>
        </w:tc>
        <w:tc>
          <w:tcPr>
            <w:tcW w:type="dxa" w:w="47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Separate runtime status from governance outcome.</w:t>
            </w:r>
          </w:p>
        </w:tc>
      </w:tr>
      <w:tr>
        <w:tc>
          <w:tcPr>
            <w:tcW w:type="dxa" w:w="158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Selection</w:t>
            </w:r>
          </w:p>
        </w:tc>
        <w:tc>
          <w:tcPr>
            <w:tcW w:type="dxa" w:w="37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selected_policy, baseline_policy</w:t>
            </w:r>
          </w:p>
        </w:tc>
        <w:tc>
          <w:tcPr>
            <w:tcW w:type="dxa" w:w="47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Record what was compared and what, if anything, advances.</w:t>
            </w:r>
          </w:p>
        </w:tc>
      </w:tr>
      <w:tr>
        <w:tc>
          <w:tcPr>
            <w:tcW w:type="dxa" w:w="158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Effects</w:t>
            </w:r>
          </w:p>
        </w:tc>
        <w:tc>
          <w:tcPr>
            <w:tcW w:type="dxa" w:w="37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quality_delta, cost_delta, latency_delta, evidence_support_delta</w:t>
            </w:r>
          </w:p>
        </w:tc>
        <w:tc>
          <w:tcPr>
            <w:tcW w:type="dxa" w:w="47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Expose the empirical basis.</w:t>
            </w:r>
          </w:p>
        </w:tc>
      </w:tr>
      <w:tr>
        <w:tc>
          <w:tcPr>
            <w:tcW w:type="dxa" w:w="158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Risk</w:t>
            </w:r>
          </w:p>
        </w:tc>
        <w:tc>
          <w:tcPr>
            <w:tcW w:type="dxa" w:w="37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risk_flags, claim_boundaries, validator_status</w:t>
            </w:r>
          </w:p>
        </w:tc>
        <w:tc>
          <w:tcPr>
            <w:tcW w:type="dxa" w:w="47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Prevent operational gains from overriding disqualifiers.</w:t>
            </w:r>
          </w:p>
        </w:tc>
      </w:tr>
      <w:tr>
        <w:tc>
          <w:tcPr>
            <w:tcW w:type="dxa" w:w="158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Artifacts</w:t>
            </w:r>
          </w:p>
        </w:tc>
        <w:tc>
          <w:tcPr>
            <w:tcW w:type="dxa" w:w="3744"/>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artifact_uris, manifest hashes</w:t>
            </w:r>
          </w:p>
        </w:tc>
        <w:tc>
          <w:tcPr>
            <w:tcW w:type="dxa" w:w="4752"/>
            <w:vAlign w:val="center"/>
            <w:tcMar>
              <w:top w:w="70" w:type="dxa"/>
              <w:start w:w="90" w:type="dxa"/>
              <w:bottom w:w="70" w:type="dxa"/>
              <w:end w:w="90" w:type="dxa"/>
            </w:tcMar>
          </w:tcPr>
          <w:p>
            <w:pPr>
              <w:spacing w:after="0" w:line="240" w:lineRule="auto"/>
              <w:jc w:val="left"/>
            </w:pPr>
            <w:r>
              <w:rPr>
                <w:rFonts w:ascii="Noto Serif" w:hAnsi="Noto Serif"/>
                <w:b w:val="0"/>
                <w:color w:val="202124"/>
                <w:sz w:val="15"/>
              </w:rPr>
              <w:t>Support independent review and tamper detection.</w:t>
            </w:r>
          </w:p>
        </w:tc>
      </w:tr>
    </w:tbl>
    <w:p>
      <w:pPr>
        <w:spacing w:before="60" w:after="140"/>
        <w:jc w:val="center"/>
        <w:keepLines w:val="1"/>
      </w:pPr>
      <w:r>
        <w:rPr>
          <w:rFonts w:ascii="Noto Serif" w:hAnsi="Noto Serif"/>
          <w:i/>
          <w:color w:val="5B6570"/>
          <w:sz w:val="16"/>
        </w:rPr>
        <w:t>Table B1. Promotion-decision schema groups.</w:t>
      </w:r>
    </w:p>
    <w:p>
      <w:pPr>
        <w:pStyle w:val="Heading1"/>
        <w:spacing w:before="180" w:after="80"/>
        <w:keepNext w:val="1"/>
      </w:pPr>
      <w:r>
        <w:rPr>
          <w:rFonts w:ascii="Lato" w:hAnsi="Lato"/>
          <w:b/>
          <w:color w:val="264653"/>
          <w:sz w:val="30"/>
        </w:rPr>
        <w:t>Appendix C. Current Claim Status</w:t>
      </w:r>
    </w:p>
    <w:p>
      <w:pPr>
        <w:pStyle w:val="BodyText"/>
        <w:spacing w:after="84" w:line="254" w:lineRule="auto"/>
        <w:ind w:firstLine="0"/>
        <w:jc w:val="both"/>
      </w:pPr>
      <w:r>
        <w:rPr>
          <w:rFonts w:ascii="Noto Serif" w:hAnsi="Noto Serif"/>
          <w:i w:val="0"/>
          <w:color w:val="202124"/>
          <w:sz w:val="20"/>
        </w:rPr>
        <w:t>The release candidate supports a bounded governance-and-systems claim. It does not support optimizer superiority, stable generative efficiency gains, human validation, official platform benchmarking, production readiness, or hallucination elimination.</w:t>
      </w:r>
    </w:p>
    <w:tbl>
      <w:tblPr>
        <w:tblW w:type="auto" w:w="0"/>
        <w:jc w:val="center"/>
        <w:tblLayout w:type="fixed"/>
        <w:tblLook w:firstColumn="1" w:firstRow="1" w:lastColumn="0" w:lastRow="0" w:noHBand="0" w:noVBand="1" w:val="04A0"/>
        <w:tblBorders>
          <w:top w:val="single" w:sz="6" w:color="8A99A6"/>
          <w:left w:val="single" w:sz="6" w:color="8A99A6"/>
          <w:bottom w:val="single" w:sz="6" w:color="8A99A6"/>
          <w:right w:val="single" w:sz="6" w:color="8A99A6"/>
          <w:insideH w:val="single" w:sz="6" w:color="8A99A6"/>
          <w:insideV w:val="single" w:sz="6" w:color="8A99A6"/>
        </w:tblBorders>
      </w:tblPr>
      <w:tblGrid>
        <w:gridCol w:w="3389"/>
        <w:gridCol w:w="3389"/>
        <w:gridCol w:w="3389"/>
      </w:tblGrid>
      <w:tr>
        <w:trPr>
          <w:tblHeader w:val="true"/>
        </w:trPr>
        <w:tc>
          <w:tcPr>
            <w:tcW w:type="dxa" w:w="2520"/>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Claim</w:t>
            </w:r>
          </w:p>
        </w:tc>
        <w:tc>
          <w:tcPr>
            <w:tcW w:type="dxa" w:w="2088"/>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Status at v0.1.0-rc1</w:t>
            </w:r>
          </w:p>
        </w:tc>
        <w:tc>
          <w:tcPr>
            <w:tcW w:type="dxa" w:w="5472"/>
            <w:vAlign w:val="center"/>
            <w:tcMar>
              <w:top w:w="70" w:type="dxa"/>
              <w:start w:w="90" w:type="dxa"/>
              <w:bottom w:w="70" w:type="dxa"/>
              <w:end w:w="90" w:type="dxa"/>
            </w:tcMar>
            <w:shd w:fill="DCE8EF"/>
          </w:tcPr>
          <w:p>
            <w:pPr>
              <w:spacing w:after="0" w:line="240" w:lineRule="auto"/>
              <w:jc w:val="center"/>
            </w:pPr>
            <w:r>
              <w:rPr>
                <w:rFonts w:ascii="Lato" w:hAnsi="Lato"/>
                <w:b/>
                <w:color w:val="264653"/>
                <w:sz w:val="15"/>
              </w:rPr>
              <w:t>Evidence boundary</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Open-source governance engine</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Fresh clone, CLI, public mini, schemas, tests, Docker job</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CRAG source/retrieval governance signal</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Supported with boundaries</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Mock-API result is cost/latency driven and uses a restricted dataset</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Selector governance blocks unsafe choices</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Supported as stress-test evidence</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Packaged cases; not a population estimate</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RAG Compass superiority</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Ranks below alternatives in multiple runs</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Stable generative cost/latency superiority</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Positive primary slice did not replicate</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Human validation</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No completed annotations</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Official platform benchmarking</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Adapters/templates only; no platform-native runs</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Production readiness</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Local hardened Docker validation is not production operation</w:t>
            </w:r>
          </w:p>
        </w:tc>
      </w:tr>
      <w:tr>
        <w:tc>
          <w:tcPr>
            <w:tcW w:type="dxa" w:w="2520"/>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Hallucination elimination</w:t>
            </w:r>
          </w:p>
        </w:tc>
        <w:tc>
          <w:tcPr>
            <w:tcW w:type="dxa" w:w="2088"/>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Unsupported</w:t>
            </w:r>
          </w:p>
        </w:tc>
        <w:tc>
          <w:tcPr>
            <w:tcW w:type="dxa" w:w="5472"/>
            <w:vAlign w:val="center"/>
            <w:tcMar>
              <w:top w:w="70" w:type="dxa"/>
              <w:start w:w="90" w:type="dxa"/>
              <w:bottom w:w="70" w:type="dxa"/>
              <w:end w:w="90" w:type="dxa"/>
            </w:tcMar>
          </w:tcPr>
          <w:p>
            <w:pPr>
              <w:spacing w:after="0" w:line="240" w:lineRule="auto"/>
              <w:jc w:val="left"/>
            </w:pPr>
            <w:r>
              <w:rPr>
                <w:rFonts w:ascii="Noto Serif" w:hAnsi="Noto Serif"/>
                <w:b w:val="0"/>
                <w:color w:val="202124"/>
                <w:sz w:val="14"/>
              </w:rPr>
              <w:t>No such guarantee is tested</w:t>
            </w:r>
          </w:p>
        </w:tc>
      </w:tr>
    </w:tbl>
    <w:p>
      <w:pPr>
        <w:spacing w:before="60" w:after="140"/>
        <w:jc w:val="center"/>
        <w:keepLines w:val="1"/>
      </w:pPr>
      <w:r>
        <w:rPr>
          <w:rFonts w:ascii="Noto Serif" w:hAnsi="Noto Serif"/>
          <w:i/>
          <w:color w:val="5B6570"/>
          <w:sz w:val="16"/>
        </w:rPr>
        <w:t>Table C1. Explicitly supported and unsupported claims.</w:t>
      </w:r>
    </w:p>
    <w:p>
      <w:pPr>
        <w:pStyle w:val="Heading1"/>
        <w:spacing w:before="180" w:after="80"/>
        <w:keepNext w:val="1"/>
      </w:pPr>
      <w:r>
        <w:rPr>
          <w:rFonts w:ascii="Lato" w:hAnsi="Lato"/>
          <w:b/>
          <w:color w:val="264653"/>
          <w:sz w:val="30"/>
        </w:rPr>
        <w:t>Appendix D. Statistical Audit History</w:t>
      </w:r>
    </w:p>
    <w:p>
      <w:pPr>
        <w:pStyle w:val="BodyText"/>
        <w:spacing w:after="84" w:line="254" w:lineRule="auto"/>
        <w:ind w:firstLine="317"/>
        <w:jc w:val="both"/>
      </w:pPr>
      <w:r>
        <w:rPr>
          <w:rFonts w:ascii="Noto Serif" w:hAnsi="Noto Serif"/>
          <w:i w:val="0"/>
          <w:color w:val="202124"/>
          <w:sz w:val="20"/>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pPr>
        <w:pStyle w:val="BodyText"/>
        <w:spacing w:after="84" w:line="254" w:lineRule="auto"/>
        <w:ind w:firstLine="317"/>
        <w:jc w:val="both"/>
      </w:pPr>
      <w:r>
        <w:rPr>
          <w:rFonts w:ascii="Noto Serif" w:hAnsi="Noto Serif"/>
          <w:i w:val="0"/>
          <w:color w:val="202124"/>
          <w:sz w:val="20"/>
        </w:rPr>
        <w:t>A row-level reconstruction found only one unique paired delta. Query, cluster, dataset-blocked, seed, and hierarchical resampling therefore repeated the same aggregate policy difference rather than exposing query-level variation. RAGTune retained the original run as descriptive candidate-output evidence but marked it inconclusive for calibrated query-level uncertainty.</w:t>
      </w:r>
    </w:p>
    <w:p>
      <w:pPr>
        <w:pStyle w:val="BodyText"/>
        <w:spacing w:after="84" w:line="254" w:lineRule="auto"/>
        <w:ind w:firstLine="317"/>
        <w:jc w:val="both"/>
      </w:pPr>
      <w:r>
        <w:rPr>
          <w:rFonts w:ascii="Noto Serif" w:hAnsi="Noto Serif"/>
          <w:i w:val="0"/>
          <w:color w:val="202124"/>
          <w:sz w:val="20"/>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r>
        <w:br w:type="page"/>
      </w:r>
    </w:p>
    <w:p>
      <w:pPr>
        <w:pStyle w:val="Heading1"/>
        <w:spacing w:before="180" w:after="80"/>
        <w:keepNext w:val="1"/>
      </w:pPr>
      <w:r>
        <w:rPr>
          <w:rFonts w:ascii="Lato" w:hAnsi="Lato"/>
          <w:b/>
          <w:color w:val="264653"/>
          <w:sz w:val="30"/>
        </w:rPr>
        <w:t>References</w:t>
      </w:r>
    </w:p>
    <w:p>
      <w:pPr>
        <w:spacing w:after="42" w:line="240" w:lineRule="auto"/>
        <w:ind w:left="331" w:hanging="331"/>
      </w:pPr>
      <w:r>
        <w:rPr>
          <w:rFonts w:ascii="Noto Serif" w:hAnsi="Noto Serif"/>
          <w:color w:val="202124"/>
          <w:sz w:val="16"/>
        </w:rPr>
        <w:t>[1] P. Lewis, E. Perez, A. Piktus, et al., 'Retrieval-Augmented Generation for Knowledge-Intensive NLP Tasks,' Advances in Neural Information Processing Systems, vol. 33, pp. 9459-9474, 2020. arXiv:2005.11401.</w:t>
      </w:r>
    </w:p>
    <w:p>
      <w:pPr>
        <w:spacing w:after="42" w:line="240" w:lineRule="auto"/>
        <w:ind w:left="331" w:hanging="331"/>
      </w:pPr>
      <w:r>
        <w:rPr>
          <w:rFonts w:ascii="Noto Serif" w:hAnsi="Noto Serif"/>
          <w:color w:val="202124"/>
          <w:sz w:val="16"/>
        </w:rPr>
        <w:t>[2] Y. Gao, Y. Xiong, X. Gao, et al., 'Retrieval-Augmented Generation for Large Language Models: A Survey,' arXiv:2312.10997, 2023; revised 2024.</w:t>
      </w:r>
    </w:p>
    <w:p>
      <w:pPr>
        <w:spacing w:after="42" w:line="240" w:lineRule="auto"/>
        <w:ind w:left="331" w:hanging="331"/>
      </w:pPr>
      <w:r>
        <w:rPr>
          <w:rFonts w:ascii="Noto Serif" w:hAnsi="Noto Serif"/>
          <w:color w:val="202124"/>
          <w:sz w:val="16"/>
        </w:rPr>
        <w:t>[3] S. Es, J. James, L. Espinosa-Anke, and S. Schockaert, 'RAGAS: Automated Evaluation of Retrieval Augmented Generation,' arXiv:2309.15217, 2023.</w:t>
      </w:r>
    </w:p>
    <w:p>
      <w:pPr>
        <w:spacing w:after="42" w:line="240" w:lineRule="auto"/>
        <w:ind w:left="331" w:hanging="331"/>
      </w:pPr>
      <w:r>
        <w:rPr>
          <w:rFonts w:ascii="Noto Serif" w:hAnsi="Noto Serif"/>
          <w:color w:val="202124"/>
          <w:sz w:val="16"/>
        </w:rPr>
        <w:t>[4] J. Saad-Falcon, O. Khattab, C. Potts, and M. Zaharia, 'ARES: An Automated Evaluation Framework for Retrieval-Augmented Generation Systems,' arXiv:2311.09476, 2023; NAACL 2024.</w:t>
      </w:r>
    </w:p>
    <w:p>
      <w:pPr>
        <w:spacing w:after="42" w:line="240" w:lineRule="auto"/>
        <w:ind w:left="331" w:hanging="331"/>
      </w:pPr>
      <w:r>
        <w:rPr>
          <w:rFonts w:ascii="Noto Serif" w:hAnsi="Noto Serif"/>
          <w:color w:val="202124"/>
          <w:sz w:val="16"/>
        </w:rPr>
        <w:t>[5] D. Ru, L. Qiu, X. Hu, et al., 'RAGChecker: A Fine-grained Framework for Diagnosing Retrieval-Augmented Generation,' arXiv:2408.08067, 2024.</w:t>
      </w:r>
    </w:p>
    <w:p>
      <w:pPr>
        <w:spacing w:after="42" w:line="240" w:lineRule="auto"/>
        <w:ind w:left="331" w:hanging="331"/>
      </w:pPr>
      <w:r>
        <w:rPr>
          <w:rFonts w:ascii="Noto Serif" w:hAnsi="Noto Serif"/>
          <w:color w:val="202124"/>
          <w:sz w:val="16"/>
        </w:rPr>
        <w:t>[6] R. Friel, M. Belyi, and A. Sanyal, 'RAGBench: Explainable Benchmark for Retrieval-Augmented Generation Systems,' arXiv:2407.11005, 2024.</w:t>
      </w:r>
    </w:p>
    <w:p>
      <w:pPr>
        <w:spacing w:after="42" w:line="240" w:lineRule="auto"/>
        <w:ind w:left="331" w:hanging="331"/>
      </w:pPr>
      <w:r>
        <w:rPr>
          <w:rFonts w:ascii="Noto Serif" w:hAnsi="Noto Serif"/>
          <w:color w:val="202124"/>
          <w:sz w:val="16"/>
        </w:rPr>
        <w:t>[7] X. Yang, K. Sun, H. Xin, et al., 'CRAG-Comprehensive RAG Benchmark,' arXiv:2406.04744, 2024.</w:t>
      </w:r>
    </w:p>
    <w:p>
      <w:pPr>
        <w:spacing w:after="42" w:line="240" w:lineRule="auto"/>
        <w:ind w:left="331" w:hanging="331"/>
      </w:pPr>
      <w:r>
        <w:rPr>
          <w:rFonts w:ascii="Noto Serif" w:hAnsi="Noto Serif"/>
          <w:color w:val="202124"/>
          <w:sz w:val="16"/>
        </w:rPr>
        <w:t>[8] Z. Yang, P. Qi, S. Zhang, et al., 'HotpotQA: A Dataset for Diverse, Explainable Multi-hop Question Answering,' Proceedings of EMNLP, pp. 2369-2380, 2018. arXiv:1809.09600.</w:t>
      </w:r>
    </w:p>
    <w:p>
      <w:pPr>
        <w:spacing w:after="42" w:line="240" w:lineRule="auto"/>
        <w:ind w:left="331" w:hanging="331"/>
      </w:pPr>
      <w:r>
        <w:rPr>
          <w:rFonts w:ascii="Noto Serif" w:hAnsi="Noto Serif"/>
          <w:color w:val="202124"/>
          <w:sz w:val="16"/>
        </w:rPr>
        <w:t>[9] O. Khattab, A. Singhvi, P. Maheshwari, et al., 'DSPy: Compiling Declarative Language Model Calls into Self-Improving Pipelines,' arXiv:2310.03714, 2023; ICLR 2024.</w:t>
      </w:r>
    </w:p>
    <w:p>
      <w:pPr>
        <w:spacing w:after="42" w:line="240" w:lineRule="auto"/>
        <w:ind w:left="331" w:hanging="331"/>
      </w:pPr>
      <w:r>
        <w:rPr>
          <w:rFonts w:ascii="Noto Serif" w:hAnsi="Noto Serif"/>
          <w:color w:val="202124"/>
          <w:sz w:val="16"/>
        </w:rPr>
        <w:t>[10] J. Chen, H. Lin, X. Han, and L. Sun, 'Benchmarking Large Language Models in Retrieval-Augmented Generation,' Proceedings of AAAI, 2024. arXiv:2309.01431.</w:t>
      </w:r>
    </w:p>
    <w:p>
      <w:pPr>
        <w:spacing w:after="42" w:line="240" w:lineRule="auto"/>
        <w:ind w:left="331" w:hanging="331"/>
      </w:pPr>
      <w:r>
        <w:rPr>
          <w:rFonts w:ascii="Noto Serif" w:hAnsi="Noto Serif"/>
          <w:color w:val="202124"/>
          <w:sz w:val="16"/>
        </w:rPr>
        <w:t>[11] E. Tabassi, Artificial Intelligence Risk Management Framework (AI RMF 1.0), NIST AI 100-1, National Institute of Standards and Technology, 2023. doi:10.6028/NIST.AI.100-1.</w:t>
      </w:r>
    </w:p>
    <w:p>
      <w:pPr>
        <w:spacing w:after="42" w:line="240" w:lineRule="auto"/>
        <w:ind w:left="331" w:hanging="331"/>
      </w:pPr>
      <w:r>
        <w:rPr>
          <w:rFonts w:ascii="Noto Serif" w:hAnsi="Noto Serif"/>
          <w:color w:val="202124"/>
          <w:sz w:val="16"/>
        </w:rPr>
        <w:t>[12] C. Autio, R. Schwartz, J. Dunietz, et al., Artificial Intelligence Risk Management Framework: Generative Artificial Intelligence Profile, NIST AI 600-1, 2024. doi:10.6028/NIST.AI.600-1.</w:t>
      </w:r>
    </w:p>
    <w:p>
      <w:pPr>
        <w:spacing w:after="42" w:line="240" w:lineRule="auto"/>
        <w:ind w:left="331" w:hanging="331"/>
      </w:pPr>
      <w:r>
        <w:rPr>
          <w:rFonts w:ascii="Noto Serif" w:hAnsi="Noto Serif"/>
          <w:color w:val="202124"/>
          <w:sz w:val="16"/>
        </w:rPr>
        <w:t>[13] International Organization for Standardization, ISO/IEC 42001:2023, Information Technology-Artificial Intelligence-Management System, 2023.</w:t>
      </w:r>
    </w:p>
    <w:p>
      <w:pPr>
        <w:spacing w:after="42" w:line="240" w:lineRule="auto"/>
        <w:ind w:left="331" w:hanging="331"/>
      </w:pPr>
      <w:r>
        <w:rPr>
          <w:rFonts w:ascii="Noto Serif" w:hAnsi="Noto Serif"/>
          <w:color w:val="202124"/>
          <w:sz w:val="16"/>
        </w:rPr>
        <w:t>[14] D. Sculley, G. Holt, D. Golovin, et al., 'Hidden Technical Debt in Machine Learning Systems,' Advances in Neural Information Processing Systems, vol. 28, pp. 2503-2511, 2015.</w:t>
      </w:r>
    </w:p>
    <w:p>
      <w:pPr>
        <w:spacing w:after="42" w:line="240" w:lineRule="auto"/>
        <w:ind w:left="331" w:hanging="331"/>
      </w:pPr>
      <w:r>
        <w:rPr>
          <w:rFonts w:ascii="Noto Serif" w:hAnsi="Noto Serif"/>
          <w:color w:val="202124"/>
          <w:sz w:val="16"/>
        </w:rPr>
        <w:t>[15] E. Breck, S. Cai, E. Nielsen, M. Salib, and D. Sculley, 'The ML Test Score: A Rubric for ML Production Readiness and Technical Debt Reduction,' IEEE International Conference on Big Data, pp. 1123-1132, 2017. doi:10.1109/BigData.2017.8258038.</w:t>
      </w:r>
    </w:p>
    <w:p>
      <w:pPr>
        <w:spacing w:after="42" w:line="240" w:lineRule="auto"/>
        <w:ind w:left="331" w:hanging="331"/>
      </w:pPr>
      <w:r>
        <w:rPr>
          <w:rFonts w:ascii="Noto Serif" w:hAnsi="Noto Serif"/>
          <w:color w:val="202124"/>
          <w:sz w:val="16"/>
        </w:rPr>
        <w:t>[16] S. Wellek, Testing Statistical Hypotheses of Equivalence and Noninferiority, 2nd ed., Chapman &amp; Hall/CRC, 2010.</w:t>
      </w:r>
    </w:p>
    <w:p>
      <w:pPr>
        <w:spacing w:after="42" w:line="240" w:lineRule="auto"/>
        <w:ind w:left="331" w:hanging="331"/>
      </w:pPr>
      <w:r>
        <w:rPr>
          <w:rFonts w:ascii="Noto Serif" w:hAnsi="Noto Serif"/>
          <w:color w:val="202124"/>
          <w:sz w:val="16"/>
        </w:rPr>
        <w:t>[17] G. Piaggio, D. R. Elbourne, S. J. Pocock, S. J. W. Evans, and D. G. Altman, 'Reporting of Noninferiority and Equivalence Randomized Trials: Extension of the CONSORT 2010 Statement,' JAMA, vol. 308, no. 24, pp. 2594-2604, 2012. doi:10.1001/jama.2012.87802.</w:t>
      </w:r>
    </w:p>
    <w:p>
      <w:pPr>
        <w:spacing w:after="42" w:line="240" w:lineRule="auto"/>
        <w:ind w:left="331" w:hanging="331"/>
      </w:pPr>
      <w:r>
        <w:rPr>
          <w:rFonts w:ascii="Noto Serif" w:hAnsi="Noto Serif"/>
          <w:color w:val="202124"/>
          <w:sz w:val="16"/>
        </w:rPr>
        <w:t>[18] LangChain, 'LangSmith Evaluation Concepts,' documentation, accessed August 2026. https://docs.langchain.com/langsmith/evaluation-concepts.</w:t>
      </w:r>
    </w:p>
    <w:p>
      <w:pPr>
        <w:spacing w:after="42" w:line="240" w:lineRule="auto"/>
        <w:ind w:left="331" w:hanging="331"/>
      </w:pPr>
      <w:r>
        <w:rPr>
          <w:rFonts w:ascii="Noto Serif" w:hAnsi="Noto Serif"/>
          <w:color w:val="202124"/>
          <w:sz w:val="16"/>
        </w:rPr>
        <w:t>[19] Arize AI, 'Phoenix: AI Observability and Evaluation,' open-source documentation, accessed August 2026. https://arize.com/docs/phoenix/.</w:t>
      </w:r>
    </w:p>
    <w:p>
      <w:pPr>
        <w:spacing w:after="42" w:line="240" w:lineRule="auto"/>
        <w:ind w:left="331" w:hanging="331"/>
      </w:pPr>
      <w:r>
        <w:rPr>
          <w:rFonts w:ascii="Noto Serif" w:hAnsi="Noto Serif"/>
          <w:color w:val="202124"/>
          <w:sz w:val="16"/>
        </w:rPr>
        <w:t>[20] AIM-RAGTune Contributors, RAGTune Governance, version 0.1.0-rc1, 2026. https://github.com/AIM-RAGTune/rag-tuning-governance-public.</w:t>
      </w:r>
    </w:p>
    <w:p>
      <w:pPr>
        <w:spacing w:before="160"/>
        <w:jc w:val="center"/>
      </w:pPr>
      <w:r>
        <w:rPr>
          <w:rFonts w:ascii="Lato" w:hAnsi="Lato"/>
          <w:i/>
          <w:color w:val="5B6570"/>
          <w:sz w:val="17"/>
        </w:rPr>
        <w:t>End of preprint draft</w:t>
      </w:r>
    </w:p>
    <w:sectPr w:rsidR="00FC693F" w:rsidRPr="0006063C" w:rsidSect="00034616">
      <w:headerReference w:type="default" r:id="rId9"/>
      <w:footerReference w:type="default" r:id="rId10"/>
      <w:pgSz w:w="12240" w:h="15840"/>
      <w:pgMar w:top="893"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color w:val="5B6570"/>
        <w:sz w:val="16"/>
      </w:rPr>
      <w:t xml:space="preserve">Preprint draft  |  v0.1.0-rc1  |  </w:t>
    </w:r>
    <w:r>
      <w:rPr>
        <w:rFonts w:ascii="Lato" w:hAnsi="Lato"/>
        <w:color w:val="5B65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ato" w:hAnsi="Lato"/>
        <w:b/>
        <w:color w:val="5B6570"/>
        <w:sz w:val="16"/>
      </w:rPr>
      <w:t>RAGTune  |  Evidence-Preserving RAG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ato" w:hAnsi="Lato"/>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w:hAnsi="Noto Serif"/>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IM-RAGTune/rag-tuning-governance-public"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Condensed arXiv preprint manuscript</dc:subject>
  <dc:creator>AIM-RAGTune Contributors</dc:creator>
  <cp:keywords>RAG, governance, promotion control, noninferiority, reproducibility, LLMOps</cp:keywords>
  <dc:description>Condensed manuscript revision based on v0.1.0-rc1 evidence.</dc:description>
  <cp:lastModifiedBy/>
  <cp:revision>1</cp:revision>
  <dcterms:created xsi:type="dcterms:W3CDTF">2013-12-23T23:15:00Z</dcterms:created>
  <dcterms:modified xsi:type="dcterms:W3CDTF">2013-12-23T23:15:00Z</dcterms:modified>
  <cp:category/>
</cp:coreProperties>
</file>