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8"/>
          <w:szCs w:val="28"/>
        </w:rPr>
        <w:t xml:space="preserve">AIM COMPOSITES MATERIALS DATABASE: AN AI-ASSISTED REPOSITORY</w:t>
      </w:r>
    </w:p>
    <w:p>
      <w:pPr>
        <w:spacing w:after="0" w:line="480"/>
        <w:jc w:val="center"/>
      </w:pPr>
      <w:r>
        <w:rPr>
          <w:rFonts w:ascii="Times New Roman" w:cs="Times New Roman" w:eastAsia="Times New Roman" w:hAnsi="Times New Roman"/>
          <w:b/>
          <w:bCs/>
          <w:sz w:val="28"/>
          <w:szCs w:val="28"/>
        </w:rPr>
        <w:t xml:space="preserve">FOR COMPOSITE THERMOPLASTIC PROPERTY DATA</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by</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Mathias Heider</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A project report submitted to the Faculty of the University of Delaware</w:t>
      </w:r>
    </w:p>
    <w:p>
      <w:pPr>
        <w:spacing w:after="0" w:line="480"/>
        <w:jc w:val="center"/>
      </w:pPr>
      <w:r>
        <w:rPr>
          <w:rFonts w:ascii="Times New Roman" w:cs="Times New Roman" w:eastAsia="Times New Roman" w:hAnsi="Times New Roman"/>
          <w:sz w:val="24"/>
          <w:szCs w:val="24"/>
        </w:rPr>
        <w:t xml:space="preserve">in partial fulfillment of the requirements for</w:t>
      </w:r>
    </w:p>
    <w:p>
      <w:pPr>
        <w:spacing w:after="0" w:line="480"/>
        <w:jc w:val="center"/>
      </w:pPr>
      <w:r>
        <w:rPr>
          <w:rFonts w:ascii="Times New Roman" w:cs="Times New Roman" w:eastAsia="Times New Roman" w:hAnsi="Times New Roman"/>
          <w:sz w:val="24"/>
          <w:szCs w:val="24"/>
        </w:rPr>
        <w:t xml:space="preserve">ME8930 — AI for Composites and Manufacturing</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Spring 2026</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 2026 Mathias Heider</w:t>
      </w:r>
    </w:p>
    <w:p>
      <w:pPr>
        <w:spacing w:after="0" w:line="480"/>
        <w:jc w:val="center"/>
      </w:pPr>
      <w:r>
        <w:rPr>
          <w:rFonts w:ascii="Times New Roman" w:cs="Times New Roman" w:eastAsia="Times New Roman" w:hAnsi="Times New Roman"/>
          <w:sz w:val="24"/>
          <w:szCs w:val="24"/>
        </w:rPr>
        <w:t xml:space="preserve">All Rights Reserved</w:t>
      </w:r>
    </w:p>
    <w:p>
      <w:r>
        <w:br w:type="page"/>
      </w:r>
    </w:p>
    <w:p>
      <w:pPr>
        <w:spacing w:after="480" w:line="480"/>
        <w:jc w:val="center"/>
      </w:pPr>
      <w:r>
        <w:rPr>
          <w:rFonts w:ascii="Times New Roman" w:cs="Times New Roman" w:eastAsia="Times New Roman" w:hAnsi="Times New Roman"/>
          <w:b/>
          <w:bCs/>
          <w:sz w:val="24"/>
          <w:szCs w:val="24"/>
        </w:rPr>
        <w:t xml:space="preserve">ABSTRACT</w:t>
      </w:r>
    </w:p>
    <w:p>
      <w:pPr>
        <w:spacing w:after="0" w:line="480"/>
        <w:ind/>
        <w:jc w:val="both"/>
      </w:pPr>
      <w:r>
        <w:rPr>
          <w:rFonts w:ascii="Times New Roman" w:cs="Times New Roman" w:eastAsia="Times New Roman" w:hAnsi="Times New Roman"/>
          <w:sz w:val="24"/>
          <w:szCs w:val="24"/>
        </w:rPr>
        <w:t xml:space="preserve">We present the AIM Composites Materials Database, an open-source repository for experimental property data on polymers, fibers, and fiber-reinforced composites. Our database currently holds over 1,500 material records spanning 445 property types across mechanical, thermal, electrical, physical, optical, rheological, and processing categories. We built the system around a PostgreSQL entity–attribute–value schema, a Streamlit frontend deployed on Hugging Face Spaces, and a Google Gemini 2.5 Flash extraction pipeline that converts PDF datasheets and research papers into structured database rows. In this report, we describe our database design, system architecture, and user workflows, and we characterize the current data quality. We also introduce a batch ingestion prototype that runs our extraction and validation pipeline on a folder of PDFs without human involvement. This work is a joint effort between Clemson University and the University of Delaware.</w:t>
      </w:r>
    </w:p>
    <w:p>
      <w:r>
        <w:br w:type="page"/>
      </w:r>
    </w:p>
    <w:p>
      <w:pPr>
        <w:spacing w:after="0" w:line="480"/>
        <w:jc w:val="center"/>
      </w:pPr>
      <w:r>
        <w:rPr>
          <w:rFonts w:ascii="Times New Roman" w:cs="Times New Roman" w:eastAsia="Times New Roman" w:hAnsi="Times New Roman"/>
          <w:b/>
          <w:bCs/>
          <w:sz w:val="24"/>
          <w:szCs w:val="24"/>
        </w:rPr>
        <w:t xml:space="preserve">Chapter 1</w:t>
      </w:r>
    </w:p>
    <w:p>
      <w:pPr>
        <w:spacing w:after="480" w:line="480"/>
        <w:jc w:val="center"/>
      </w:pPr>
      <w:r>
        <w:rPr>
          <w:rFonts w:ascii="Times New Roman" w:cs="Times New Roman" w:eastAsia="Times New Roman" w:hAnsi="Times New Roman"/>
          <w:b/>
          <w:bCs/>
          <w:sz w:val="24"/>
          <w:szCs w:val="24"/>
        </w:rPr>
        <w:t xml:space="preserve">INTRODUCTION</w:t>
      </w:r>
    </w:p>
    <w:p>
      <w:pPr>
        <w:spacing w:after="0" w:line="480"/>
        <w:ind w:firstLine="720"/>
        <w:jc w:val="both"/>
      </w:pPr>
      <w:r>
        <w:rPr>
          <w:rFonts w:ascii="Times New Roman" w:cs="Times New Roman" w:eastAsia="Times New Roman" w:hAnsi="Times New Roman"/>
          <w:sz w:val="24"/>
          <w:szCs w:val="24"/>
        </w:rPr>
        <w:t xml:space="preserve">Machine learning for composites engineering — property prediction, inverse design, and process optimization — depends on curated training data that, for thermoplastic composites, does not exist in a usable form. Property data is scattered across manufacturer datasheets and journal papers in PDF format. Existing databases such as MatWeb [19] and Ansys Granta MI [21] cover general polymer properties but offer limited coverage of continuous fiber-reinforced thermoplastic laminates and little access to processing-condition-linked data. For more than a decade, NASA, FAA, industry, and academia have worked toward a centralized composite database, but the result — the Composite Materials Handbook-17 [20] — is not freely available in queryable form and focuses largely on thermoset systems qualified for aerospace certification [22]. No widely accepted open repository for thermoplastic composite property data currently exists.</w:t>
      </w:r>
    </w:p>
    <w:p>
      <w:pPr>
        <w:spacing w:after="0" w:line="480"/>
        <w:ind w:firstLine="720"/>
        <w:jc w:val="both"/>
      </w:pPr>
      <w:r>
        <w:rPr>
          <w:rFonts w:ascii="Times New Roman" w:cs="Times New Roman" w:eastAsia="Times New Roman" w:hAnsi="Times New Roman"/>
          <w:sz w:val="24"/>
          <w:szCs w:val="24"/>
        </w:rPr>
        <w:t xml:space="preserve">The AIM Composites Materials Database addresses this gap. Our goal is twofold: to provide researchers with a curated, queryable repository of polymer, fiber, and composite property data, and to use that infrastructure to generate training datasets for downstream machine learning projects in the AIM initiative, including property prediction, process–quality modeling, and structural performance simulation.</w:t>
      </w:r>
    </w:p>
    <w:p>
      <w:pPr>
        <w:spacing w:after="0" w:line="480"/>
        <w:ind w:firstLine="720"/>
        <w:jc w:val="both"/>
      </w:pPr>
      <w:r>
        <w:rPr>
          <w:rFonts w:ascii="Times New Roman" w:cs="Times New Roman" w:eastAsia="Times New Roman" w:hAnsi="Times New Roman"/>
          <w:sz w:val="24"/>
          <w:szCs w:val="24"/>
        </w:rPr>
        <w:t xml:space="preserve">Building a database like this is not just a data management problem — it is itself a problem in AI for manufacturing. Manually extracting thousands of property values from heterogeneous PDFs is too slow to scale, and the structured data required for machine learning training needs explicit test conditions, units, and source attribution that go well beyond what a researcher reading a datasheet typically records. To solve this, we use a large language model pipeline to convert PDFs into structured database rows automatically. We begin by reviewing related work in Chapter 2. We then describe our database design in Chapter 3, our system architecture in Chapter 4, and our user workflows in Chapter 5. We characterize our current data in Chapter 6, present our autonomous ingestion prototype in Chapter 7, and discuss limitations and future work in Chapter 8.</w:t>
      </w:r>
    </w:p>
    <w:p>
      <w:r>
        <w:br w:type="page"/>
      </w:r>
    </w:p>
    <w:p>
      <w:pPr>
        <w:spacing w:after="0" w:line="480"/>
        <w:jc w:val="center"/>
      </w:pPr>
      <w:r>
        <w:rPr>
          <w:rFonts w:ascii="Times New Roman" w:cs="Times New Roman" w:eastAsia="Times New Roman" w:hAnsi="Times New Roman"/>
          <w:b/>
          <w:bCs/>
          <w:sz w:val="24"/>
          <w:szCs w:val="24"/>
        </w:rPr>
        <w:t xml:space="preserve">Chapter 2</w:t>
      </w:r>
    </w:p>
    <w:p>
      <w:pPr>
        <w:spacing w:after="480" w:line="480"/>
        <w:jc w:val="center"/>
      </w:pPr>
      <w:r>
        <w:rPr>
          <w:rFonts w:ascii="Times New Roman" w:cs="Times New Roman" w:eastAsia="Times New Roman" w:hAnsi="Times New Roman"/>
          <w:b/>
          <w:bCs/>
          <w:sz w:val="24"/>
          <w:szCs w:val="24"/>
        </w:rPr>
        <w:t xml:space="preserve">RELATED WORK</w:t>
      </w:r>
    </w:p>
    <w:p>
      <w:pPr>
        <w:spacing w:after="0" w:before="480" w:line="480"/>
        <w:jc w:val="left"/>
      </w:pPr>
      <w:r>
        <w:rPr>
          <w:rFonts w:ascii="Times New Roman" w:cs="Times New Roman" w:eastAsia="Times New Roman" w:hAnsi="Times New Roman"/>
          <w:b/>
          <w:bCs/>
          <w:sz w:val="24"/>
          <w:szCs w:val="24"/>
        </w:rPr>
        <w:t xml:space="preserve">2.1  Automated Property Extraction</w:t>
      </w:r>
    </w:p>
    <w:p>
      <w:pPr>
        <w:spacing w:after="0" w:line="480"/>
        <w:ind w:firstLine="720"/>
        <w:jc w:val="both"/>
      </w:pPr>
      <w:r>
        <w:rPr>
          <w:rFonts w:ascii="Times New Roman" w:cs="Times New Roman" w:eastAsia="Times New Roman" w:hAnsi="Times New Roman"/>
          <w:sz w:val="24"/>
          <w:szCs w:val="24"/>
        </w:rPr>
        <w:t xml:space="preserve">The problem of extracting structured data from scientific PDFs has been studied for a while. ChemDataExtractor [1], developed by Swain and Cole, was one of the first complete pipelines for this task. It uses tokenization, named entity recognition, and rule-based parsing to pull chemical entities and property values from papers, achieving F-scores of 93.4% for chemical identifiers and 91.5% for property attributes. Later versions extended the approach to autopopulated ontologies for materials science [2], and researchers have used ChemDataExtractor to automatically build large databases, including one with over 720,000 stress-strain records from the literature [2]. A similar pipeline from the Ramprasad group at Georgia Tech applied transformer-based named entity recognition to extract a broad range of polymer properties [3].</w:t>
      </w:r>
    </w:p>
    <w:p>
      <w:pPr>
        <w:spacing w:after="0" w:line="480"/>
        <w:ind w:firstLine="720"/>
        <w:jc w:val="both"/>
      </w:pPr>
      <w:r>
        <w:rPr>
          <w:rFonts w:ascii="Times New Roman" w:cs="Times New Roman" w:eastAsia="Times New Roman" w:hAnsi="Times New Roman"/>
          <w:sz w:val="24"/>
          <w:szCs w:val="24"/>
        </w:rPr>
        <w:t xml:space="preserve">More recently, large language models have changed how property extraction works. Instead of writing grammars for each property type, we can now prompt a model to extract structured data directly and it handles different table layouts, unit conventions, and caption styles on its own. PropertyExtractor [4] combines zero-shot and few-shot prompting with GPT-4 and Gemini-Pro to extract and verify material properties automatically. A benchmarking study by Liang et al. [5] found that GPT-4-class models reach an F1 of about 0.91 for thermoelectric property extraction, while Gemini models performed less consistently across different property types. Constraining the model output to a fixed JSON schema, which is what we do in our pipeline, was shown to significantly reduce hallucination compared to free-text generation [5, 6]. More recent work has moved toward full agentic pipelines: Banik et al. [7] process around 10,000 full-text papers using multiple agents with a built-in consistency checker, and Cheng et al. [8] handle multi-source extraction from text, tables, and figures using a priority-based prompting strategy.</w:t>
      </w:r>
    </w:p>
    <w:p>
      <w:pPr>
        <w:spacing w:after="0" w:before="480" w:line="480"/>
        <w:jc w:val="left"/>
      </w:pPr>
      <w:r>
        <w:rPr>
          <w:rFonts w:ascii="Times New Roman" w:cs="Times New Roman" w:eastAsia="Times New Roman" w:hAnsi="Times New Roman"/>
          <w:b/>
          <w:bCs/>
          <w:sz w:val="24"/>
          <w:szCs w:val="24"/>
        </w:rPr>
        <w:t xml:space="preserve">2.2  Machine Learning for Composite Property Prediction</w:t>
      </w:r>
    </w:p>
    <w:p>
      <w:pPr>
        <w:spacing w:after="0" w:line="480"/>
        <w:ind w:firstLine="720"/>
        <w:jc w:val="both"/>
      </w:pPr>
      <w:r>
        <w:rPr>
          <w:rFonts w:ascii="Times New Roman" w:cs="Times New Roman" w:eastAsia="Times New Roman" w:hAnsi="Times New Roman"/>
          <w:sz w:val="24"/>
          <w:szCs w:val="24"/>
        </w:rPr>
        <w:t xml:space="preserve">Our database exists to support machine learning models that predict composite properties from composition, architecture, and process parameters. This field is growing quickly. For thermoplastic composites specifically, Liu et al. [15] used Gradient Boosted Decision Trees to predict tensile strength of 3D-printed CF/PEEK composites from printing parameters and achieved R² above 0.8. Fang et al. [16] applied neural networks to multilayer thermoplastic composite design with feature importance analysis. More broadly, XGBoost has become a standard baseline for tabular composite property data [13, 14]. A consistent finding across these studies is that training set size is the main bottleneck — most models rely on hundreds to a few thousand data points collected manually from a small number of papers [13, 14]. Our database is designed to address exactly this.</w:t>
      </w:r>
    </w:p>
    <w:p>
      <w:pPr>
        <w:spacing w:after="0" w:before="480" w:line="480"/>
        <w:jc w:val="left"/>
      </w:pPr>
      <w:r>
        <w:rPr>
          <w:rFonts w:ascii="Times New Roman" w:cs="Times New Roman" w:eastAsia="Times New Roman" w:hAnsi="Times New Roman"/>
          <w:b/>
          <w:bCs/>
          <w:sz w:val="24"/>
          <w:szCs w:val="24"/>
        </w:rPr>
        <w:t xml:space="preserve">2.3  Database Schema Design</w:t>
      </w:r>
    </w:p>
    <w:p>
      <w:pPr>
        <w:spacing w:after="0" w:line="480"/>
        <w:ind w:firstLine="720"/>
        <w:jc w:val="both"/>
      </w:pPr>
      <w:r>
        <w:rPr>
          <w:rFonts w:ascii="Times New Roman" w:cs="Times New Roman" w:eastAsia="Times New Roman" w:hAnsi="Times New Roman"/>
          <w:sz w:val="24"/>
          <w:szCs w:val="24"/>
        </w:rPr>
        <w:t xml:space="preserve">We chose an entity–attribute–value (EAV) schema for our database. EAV stores each property observation as a separate row rather than as a column in a wide table. This approach is well established in medical informatics, where similar challenges arise with sparse and heterogeneous data [17, 18]. Nadkarni et al. [17] show that EAV works well when the attribute set is open and evolving and when each observation carries its own metadata — both of which are true for composite material data. Dinu and Nadkarni [18] analyze performance characteristics of EAV databases at scale and identify indexing strategies that keep queries fast, which we apply to our schema.</w:t>
      </w:r>
    </w:p>
    <w:p>
      <w:r>
        <w:br w:type="page"/>
      </w:r>
    </w:p>
    <w:p>
      <w:pPr>
        <w:spacing w:after="0" w:line="480"/>
        <w:jc w:val="center"/>
      </w:pPr>
      <w:r>
        <w:rPr>
          <w:rFonts w:ascii="Times New Roman" w:cs="Times New Roman" w:eastAsia="Times New Roman" w:hAnsi="Times New Roman"/>
          <w:b/>
          <w:bCs/>
          <w:sz w:val="24"/>
          <w:szCs w:val="24"/>
        </w:rPr>
        <w:t xml:space="preserve">Chapter 3</w:t>
      </w:r>
    </w:p>
    <w:p>
      <w:pPr>
        <w:spacing w:after="480" w:line="480"/>
        <w:jc w:val="center"/>
      </w:pPr>
      <w:r>
        <w:rPr>
          <w:rFonts w:ascii="Times New Roman" w:cs="Times New Roman" w:eastAsia="Times New Roman" w:hAnsi="Times New Roman"/>
          <w:b/>
          <w:bCs/>
          <w:sz w:val="24"/>
          <w:szCs w:val="24"/>
        </w:rPr>
        <w:t xml:space="preserve">DATABASE DESIGN</w:t>
      </w:r>
    </w:p>
    <w:p>
      <w:pPr>
        <w:spacing w:after="0" w:before="480" w:line="480"/>
        <w:jc w:val="left"/>
      </w:pPr>
      <w:r>
        <w:rPr>
          <w:rFonts w:ascii="Times New Roman" w:cs="Times New Roman" w:eastAsia="Times New Roman" w:hAnsi="Times New Roman"/>
          <w:b/>
          <w:bCs/>
          <w:sz w:val="24"/>
          <w:szCs w:val="24"/>
        </w:rPr>
        <w:t xml:space="preserve">3.1  Material Taxonomy</w:t>
      </w:r>
    </w:p>
    <w:p>
      <w:pPr>
        <w:spacing w:after="0" w:line="480"/>
        <w:ind w:firstLine="720"/>
        <w:jc w:val="both"/>
      </w:pPr>
      <w:r>
        <w:rPr>
          <w:rFonts w:ascii="Times New Roman" w:cs="Times New Roman" w:eastAsia="Times New Roman" w:hAnsi="Times New Roman"/>
          <w:sz w:val="24"/>
          <w:szCs w:val="24"/>
        </w:rPr>
        <w:t xml:space="preserve">We organize the database around three material classes. Polymers covers neat thermoplastic and thermoset matrix materials such as PEEK, PEI, PA66, ABS, PTFE, and PEKK. Fibers covers reinforcement constituents including carbon fiber, E-glass, S-glass, aramid, basalt, and natural fibers. Composites covers fiber-reinforced laminates and molding compounds, characterized by their matrix, fiber type, fiber volume fraction, layup architecture, and processing route. Within each class, we group properties into sections — Mechanical, Thermal, Electrical, Physical, Optical, Rheological, Processing, and Descriptive, with Composition/Reinforcement and Architecture/Structure added for composites. Each section has a curated list of canonical property names plus a free-text option for anything outside the list. This keeps property names consistent across materials and makes cross-material queries possible. Across all three classes, we currently track 445 distinct property types.</w:t>
      </w:r>
    </w:p>
    <w:p>
      <w:pPr>
        <w:spacing w:after="0" w:before="480" w:line="480"/>
        <w:jc w:val="left"/>
      </w:pPr>
      <w:r>
        <w:rPr>
          <w:rFonts w:ascii="Times New Roman" w:cs="Times New Roman" w:eastAsia="Times New Roman" w:hAnsi="Times New Roman"/>
          <w:b/>
          <w:bCs/>
          <w:sz w:val="24"/>
          <w:szCs w:val="24"/>
        </w:rPr>
        <w:t xml:space="preserve">3.2  Schema: Entity–Attribute–Value</w:t>
      </w:r>
    </w:p>
    <w:p>
      <w:pPr>
        <w:spacing w:after="0" w:line="480"/>
        <w:ind w:firstLine="720"/>
        <w:jc w:val="both"/>
      </w:pPr>
      <w:r>
        <w:rPr>
          <w:rFonts w:ascii="Times New Roman" w:cs="Times New Roman" w:eastAsia="Times New Roman" w:hAnsi="Times New Roman"/>
          <w:sz w:val="24"/>
          <w:szCs w:val="24"/>
        </w:rPr>
        <w:t xml:space="preserve">We store each property observation as a single row. The schema is the same across all three material-class tables, as shown in Table 3.1. We chose this EAV layout over a wide table — one row per material, one column per property — for three reasons. First, composite data is sparse: any given datasheet reports only a small fraction of all possible properties, so a wide table would be mostly empty. Second, our property taxonomy is open; new properties come up regularly in the literature, and adding one to a wide-table design requires a schema migration. Third, each property observation has its own test conditions, and storing those alongside the value keeps everything together without a separate metadata table. The tradeoff is that queries like "give me the tensile modulus for every PEEK grade" need to filter on property_name instead of just selecting a column, but this is manageable at our current scale with proper indexing [17, 18].</w:t>
      </w:r>
    </w:p>
    <w:p>
      <w:pPr>
        <w:spacing w:after="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Column</w:t>
            </w:r>
          </w:p>
        </w:tc>
        <w:tc>
          <w:tcPr>
            <w:tcW w:type="dxa" w:w="67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Description</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material_name</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Generic material name (e.g., "Polyetheretherketone")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material_abbreviation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Short identifier used as a join key (e.g., "PEEK")</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section</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Property category (Mechanical, Thermal, Electrical, etc.)</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property_name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Canonical or free-text property name</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value</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Measured value or range, stored as text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unit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SI unit string (e.g., "GPa", "°C", "g/cm³")</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english</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Imperial equivalent if reported in the source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test_condition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Test temperature, strain rate, standard, sample geometry</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comments</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Notes, footnotes, and standard references</w:t>
            </w:r>
          </w:p>
        </w:tc>
      </w:tr>
    </w:tbl>
    <w:p>
      <w:pPr>
        <w:spacing w:after="0" w:line="480"/>
        <w:jc w:val="center"/>
      </w:pPr>
      <w:r>
        <w:rPr>
          <w:rFonts w:ascii="Times New Roman" w:cs="Times New Roman" w:eastAsia="Times New Roman" w:hAnsi="Times New Roman"/>
          <w:i/>
          <w:iCs/>
          <w:sz w:val="20"/>
          <w:szCs w:val="20"/>
        </w:rPr>
        <w:t xml:space="preserve">Table 3.1: EAV schema columns, shared across all three material-class tables.</w:t>
      </w:r>
    </w:p>
    <w:p>
      <w:pPr>
        <w:spacing w:after="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3.3  Provenance</w:t>
      </w:r>
    </w:p>
    <w:p>
      <w:pPr>
        <w:spacing w:after="0" w:line="480"/>
        <w:ind w:firstLine="720"/>
        <w:jc w:val="both"/>
      </w:pPr>
      <w:r>
        <w:rPr>
          <w:rFonts w:ascii="Times New Roman" w:cs="Times New Roman" w:eastAsia="Times New Roman" w:hAnsi="Times New Roman"/>
          <w:sz w:val="24"/>
          <w:szCs w:val="24"/>
        </w:rPr>
        <w:t xml:space="preserve">Right now, our schema does not have a dedicated field for source attribution — no DOI, no PDF filename, no page number stored as a structured column. Provenance is sometimes captured in the comments field when our extraction pipeline includes it, but it is absent for most manually entered rows. This is the biggest limitation of our current design. Without structured source attribution, we cannot trace individual property values back to their origin, which undermines reproducibility. Adding a sources table with a foreign key on every property row is our top engineering priority, and we discuss this further in Chapter 8.</w:t>
      </w:r>
    </w:p>
    <w:p>
      <w:r>
        <w:br w:type="page"/>
      </w:r>
    </w:p>
    <w:p>
      <w:pPr>
        <w:spacing w:after="0" w:line="480"/>
        <w:jc w:val="center"/>
      </w:pPr>
      <w:r>
        <w:rPr>
          <w:rFonts w:ascii="Times New Roman" w:cs="Times New Roman" w:eastAsia="Times New Roman" w:hAnsi="Times New Roman"/>
          <w:b/>
          <w:bCs/>
          <w:sz w:val="24"/>
          <w:szCs w:val="24"/>
        </w:rPr>
        <w:t xml:space="preserve">Chapter 4</w:t>
      </w:r>
    </w:p>
    <w:p>
      <w:pPr>
        <w:spacing w:after="480" w:line="480"/>
        <w:jc w:val="center"/>
      </w:pPr>
      <w:r>
        <w:rPr>
          <w:rFonts w:ascii="Times New Roman" w:cs="Times New Roman" w:eastAsia="Times New Roman" w:hAnsi="Times New Roman"/>
          <w:b/>
          <w:bCs/>
          <w:sz w:val="24"/>
          <w:szCs w:val="24"/>
        </w:rPr>
        <w:t xml:space="preserve">SYSTEM ARCHITECTURE</w:t>
      </w:r>
    </w:p>
    <w:p>
      <w:pPr>
        <w:spacing w:after="0" w:before="480" w:line="480"/>
        <w:jc w:val="left"/>
      </w:pPr>
      <w:r>
        <w:rPr>
          <w:rFonts w:ascii="Times New Roman" w:cs="Times New Roman" w:eastAsia="Times New Roman" w:hAnsi="Times New Roman"/>
          <w:b/>
          <w:bCs/>
          <w:sz w:val="24"/>
          <w:szCs w:val="24"/>
        </w:rPr>
        <w:t xml:space="preserve">4.1  Overview</w:t>
      </w:r>
    </w:p>
    <w:p>
      <w:pPr>
        <w:spacing w:after="0" w:line="480"/>
        <w:ind w:firstLine="720"/>
        <w:jc w:val="both"/>
      </w:pPr>
      <w:r>
        <w:rPr>
          <w:rFonts w:ascii="Times New Roman" w:cs="Times New Roman" w:eastAsia="Times New Roman" w:hAnsi="Times New Roman"/>
          <w:sz w:val="24"/>
          <w:szCs w:val="24"/>
        </w:rPr>
        <w:t xml:space="preserve">Our system has three layers. For storage, we use a PostgreSQL database hosted externally; we pass connection parameters to the application through environment variables so credentials stay out of the codebase. The application is a Streamlit web app with four pages — Home, Categorized Search, Upload Data, and Contact Team. We deploy it on Hugging Face Spaces in a Docker container based on python:3.11-slim, running on port 7860. Both the live application and the source code are publicly available at huggingface.co/spaces/aim4composites/MaterialsDatabase and github.com/AIM-for-Composites/InDesDatabaseTool.</w:t>
      </w:r>
    </w:p>
    <w:p>
      <w:pPr>
        <w:spacing w:after="0" w:before="480" w:line="480"/>
        <w:jc w:val="left"/>
      </w:pPr>
      <w:r>
        <w:rPr>
          <w:rFonts w:ascii="Times New Roman" w:cs="Times New Roman" w:eastAsia="Times New Roman" w:hAnsi="Times New Roman"/>
          <w:b/>
          <w:bCs/>
          <w:sz w:val="24"/>
          <w:szCs w:val="24"/>
        </w:rPr>
        <w:t xml:space="preserve">4.2  Gemini Extraction Pipeline</w:t>
      </w:r>
    </w:p>
    <w:p>
      <w:pPr>
        <w:spacing w:after="0" w:line="480"/>
        <w:ind w:firstLine="720"/>
        <w:jc w:val="both"/>
      </w:pPr>
      <w:r>
        <w:rPr>
          <w:rFonts w:ascii="Times New Roman" w:cs="Times New Roman" w:eastAsia="Times New Roman" w:hAnsi="Times New Roman"/>
          <w:sz w:val="24"/>
          <w:szCs w:val="24"/>
        </w:rPr>
        <w:t xml:space="preserve">Our PDF ingestion pipeline is built around Gemini 2.5 Flash. To extract properties from a PDF, we base64-encode the file and send it inline to the Gemini API. We set temperature to zero for deterministic output and use a fixed JSON response schema that specifies the exact fields we want: material_name, material_abbreviation, trade_grade, and manufacturer at the top level, and an array of property objects each containing section, property_name, value, unit, english, test_condition, and comments. We prompt the model as an expert materials scientist and ask it to extract all properties across categories — Mechanical, Thermal, Electrical, Physical, Optical, and Rheological — into a single flat list. We also include an english field to capture imperial-equivalent values, since many US aerospace datasheets report both unit systems. The pipeline returns a pandas DataFrame that matches our EAV schema, or None if the API call fails.</w:t>
      </w:r>
    </w:p>
    <w:p>
      <w:pPr>
        <w:spacing w:after="0" w:line="480"/>
        <w:ind w:firstLine="720"/>
        <w:jc w:val="both"/>
      </w:pPr>
      <w:r>
        <w:rPr>
          <w:rFonts w:ascii="Times New Roman" w:cs="Times New Roman" w:eastAsia="Times New Roman" w:hAnsi="Times New Roman"/>
          <w:sz w:val="24"/>
          <w:szCs w:val="24"/>
        </w:rPr>
        <w:t xml:space="preserve">We also run a parallel pipeline to extract figures from each PDF using PyMuPDF and OpenCV. We rasterize each page at 300 DPI, apply thresholding and dilation, find contours, and filter them by size and geometry to isolate plot-like regions. We then match each detected figure to a nearby caption using a regex on "Fig." and "Figure" patterns. For property-name matching, we use the all-MiniLM-L6-v2 sentence transformer [9] to embed candidate property names and rank them by cosine similarity to the extracted name, then verify the top matches with a Gemini yes/no prompt. This hybrid retrieve-then-verify approach is consistent with recent high-accuracy extraction systems [5, 6].</w:t>
      </w:r>
    </w:p>
    <w:p>
      <w:r>
        <w:br w:type="page"/>
      </w:r>
    </w:p>
    <w:p>
      <w:pPr>
        <w:spacing w:after="0" w:line="480"/>
        <w:jc w:val="center"/>
      </w:pPr>
      <w:r>
        <w:rPr>
          <w:rFonts w:ascii="Times New Roman" w:cs="Times New Roman" w:eastAsia="Times New Roman" w:hAnsi="Times New Roman"/>
          <w:b/>
          <w:bCs/>
          <w:sz w:val="24"/>
          <w:szCs w:val="24"/>
        </w:rPr>
        <w:t xml:space="preserve">Chapter 5</w:t>
      </w:r>
    </w:p>
    <w:p>
      <w:pPr>
        <w:spacing w:after="480" w:line="480"/>
        <w:jc w:val="center"/>
      </w:pPr>
      <w:r>
        <w:rPr>
          <w:rFonts w:ascii="Times New Roman" w:cs="Times New Roman" w:eastAsia="Times New Roman" w:hAnsi="Times New Roman"/>
          <w:b/>
          <w:bCs/>
          <w:sz w:val="24"/>
          <w:szCs w:val="24"/>
        </w:rPr>
        <w:t xml:space="preserve">USER-FACING WORKFLOWS</w:t>
      </w:r>
    </w:p>
    <w:p>
      <w:pPr>
        <w:spacing w:after="0" w:line="480"/>
        <w:ind/>
        <w:jc w:val="both"/>
      </w:pPr>
      <w:r>
        <w:rPr>
          <w:rFonts w:ascii="Times New Roman" w:cs="Times New Roman" w:eastAsia="Times New Roman" w:hAnsi="Times New Roman"/>
          <w:sz w:val="24"/>
          <w:szCs w:val="24"/>
        </w:rPr>
        <w:t xml:space="preserve">Our application supports three main workflows. The first is browsing through the Categorized Search page. Users select a material class, optionally filter by matrix or fiber type, and search by name or abbreviation. Results appear in a paginated table of 50 rows. Clicking a row opens an Inspect tab that shows the full property data and any associated plot image. The second workflow is manual entry, where users fill out a form to add a single property row — useful for targeted entries or data that the PDF pipeline cannot reliably parse. The third workflow is PDF-assisted upload. Users drag in a datasheet or paper; our backend calls the Gemini pipeline, displays the extracted rows for review, and lets the user assign a material class before inserting. In parallel, our plot-extraction pipeline runs and lets the user map detected figures to property rows in a second tab. Both the class assignment and the row review are currently done by a human — this is what our autonomous prototype in Chapter 7 aims to replace.</w:t>
      </w:r>
    </w:p>
    <w:p>
      <w:r>
        <w:br w:type="page"/>
      </w:r>
    </w:p>
    <w:p>
      <w:pPr>
        <w:spacing w:after="0" w:line="480"/>
        <w:jc w:val="center"/>
      </w:pPr>
      <w:r>
        <w:rPr>
          <w:rFonts w:ascii="Times New Roman" w:cs="Times New Roman" w:eastAsia="Times New Roman" w:hAnsi="Times New Roman"/>
          <w:b/>
          <w:bCs/>
          <w:sz w:val="24"/>
          <w:szCs w:val="24"/>
        </w:rPr>
        <w:t xml:space="preserve">Chapter 6</w:t>
      </w:r>
    </w:p>
    <w:p>
      <w:pPr>
        <w:spacing w:after="480" w:line="480"/>
        <w:jc w:val="center"/>
      </w:pPr>
      <w:r>
        <w:rPr>
          <w:rFonts w:ascii="Times New Roman" w:cs="Times New Roman" w:eastAsia="Times New Roman" w:hAnsi="Times New Roman"/>
          <w:b/>
          <w:bCs/>
          <w:sz w:val="24"/>
          <w:szCs w:val="24"/>
        </w:rPr>
        <w:t xml:space="preserve">CURRENT DATA AND QUALITY</w:t>
      </w:r>
    </w:p>
    <w:p>
      <w:pPr>
        <w:spacing w:after="0" w:before="480" w:line="480"/>
        <w:jc w:val="left"/>
      </w:pPr>
      <w:r>
        <w:rPr>
          <w:rFonts w:ascii="Times New Roman" w:cs="Times New Roman" w:eastAsia="Times New Roman" w:hAnsi="Times New Roman"/>
          <w:b/>
          <w:bCs/>
          <w:sz w:val="24"/>
          <w:szCs w:val="24"/>
        </w:rPr>
        <w:t xml:space="preserve">6.1  Corpus</w:t>
      </w:r>
    </w:p>
    <w:p>
      <w:pPr>
        <w:spacing w:after="0" w:line="480"/>
        <w:ind w:firstLine="720"/>
        <w:jc w:val="both"/>
      </w:pPr>
      <w:r>
        <w:rPr>
          <w:rFonts w:ascii="Times New Roman" w:cs="Times New Roman" w:eastAsia="Times New Roman" w:hAnsi="Times New Roman"/>
          <w:sz w:val="24"/>
          <w:szCs w:val="24"/>
        </w:rPr>
        <w:t xml:space="preserve">Our database currently holds over 1,500 material records tracking 445 distinct property types. The corpus spans all three material classes and has been populated through manual entry, PDF-assisted upload, and batch ingestion from manufacturer datasheets.</w:t>
      </w:r>
    </w:p>
    <w:p>
      <w:pPr>
        <w:spacing w:after="0" w:before="480" w:line="480"/>
        <w:jc w:val="left"/>
      </w:pPr>
      <w:r>
        <w:rPr>
          <w:rFonts w:ascii="Times New Roman" w:cs="Times New Roman" w:eastAsia="Times New Roman" w:hAnsi="Times New Roman"/>
          <w:b/>
          <w:bCs/>
          <w:sz w:val="24"/>
          <w:szCs w:val="24"/>
        </w:rPr>
        <w:t xml:space="preserve">6.2  Data Quality</w:t>
      </w:r>
    </w:p>
    <w:p>
      <w:pPr>
        <w:spacing w:after="0" w:line="480"/>
        <w:ind w:firstLine="720"/>
        <w:jc w:val="both"/>
      </w:pPr>
      <w:r>
        <w:rPr>
          <w:rFonts w:ascii="Times New Roman" w:cs="Times New Roman" w:eastAsia="Times New Roman" w:hAnsi="Times New Roman"/>
          <w:sz w:val="24"/>
          <w:szCs w:val="24"/>
        </w:rPr>
        <w:t xml:space="preserve">Going through our loaded data, we found five recurring quality issues. The first is unit inconsistency: some rows use an empty unit string for dimensionless quantities like Shore D hardness, while others omit the unit key entirely. Some value strings also embed units inline, which breaks numeric parsing. The second is mixed unit systems — the value field is supposed to hold SI values with the imperial equivalent in english, but a small number of records mix the two in one string. The third is that the same property under different test conditions appears as multiple rows, which is correct behavior but prevents a simple uniqueness constraint on (material, property). The fourth is that some entries store structured information like average values and grade counts as free text in comments instead of dedicated fields. The fifth and most important is that we have no structured source attribution. These issues motivated the validation layer we built into the autonomous prototype in Chapter 7.</w:t>
      </w:r>
    </w:p>
    <w:p>
      <w:r>
        <w:br w:type="page"/>
      </w:r>
    </w:p>
    <w:p>
      <w:pPr>
        <w:spacing w:after="0" w:line="480"/>
        <w:jc w:val="center"/>
      </w:pPr>
      <w:r>
        <w:rPr>
          <w:rFonts w:ascii="Times New Roman" w:cs="Times New Roman" w:eastAsia="Times New Roman" w:hAnsi="Times New Roman"/>
          <w:b/>
          <w:bCs/>
          <w:sz w:val="24"/>
          <w:szCs w:val="24"/>
        </w:rPr>
        <w:t xml:space="preserve">Chapter 7</w:t>
      </w:r>
    </w:p>
    <w:p>
      <w:pPr>
        <w:spacing w:after="480" w:line="480"/>
        <w:jc w:val="center"/>
      </w:pPr>
      <w:r>
        <w:rPr>
          <w:rFonts w:ascii="Times New Roman" w:cs="Times New Roman" w:eastAsia="Times New Roman" w:hAnsi="Times New Roman"/>
          <w:b/>
          <w:bCs/>
          <w:sz w:val="24"/>
          <w:szCs w:val="24"/>
        </w:rPr>
        <w:t xml:space="preserve">TOWARD AUTONOMOUS POPULATION</w:t>
      </w:r>
    </w:p>
    <w:p>
      <w:pPr>
        <w:spacing w:after="0" w:line="480"/>
        <w:ind/>
        <w:jc w:val="both"/>
      </w:pPr>
      <w:r>
        <w:rPr>
          <w:rFonts w:ascii="Times New Roman" w:cs="Times New Roman" w:eastAsia="Times New Roman" w:hAnsi="Times New Roman"/>
          <w:sz w:val="24"/>
          <w:szCs w:val="24"/>
        </w:rPr>
        <w:t xml:space="preserve">Right now our ingestion pipeline is semi-autonomous: a human supplies each PDF, picks the material class, and reviews the extracted rows before they go into the database. Our goal is to close this loop — a system that finds papers to ingest, extracts and validates the data, and inserts it directly or flags edge cases for review.</w:t>
      </w:r>
    </w:p>
    <w:p>
      <w:pPr>
        <w:spacing w:after="0" w:before="480" w:line="480"/>
        <w:jc w:val="left"/>
      </w:pPr>
      <w:r>
        <w:rPr>
          <w:rFonts w:ascii="Times New Roman" w:cs="Times New Roman" w:eastAsia="Times New Roman" w:hAnsi="Times New Roman"/>
          <w:b/>
          <w:bCs/>
          <w:sz w:val="24"/>
          <w:szCs w:val="24"/>
        </w:rPr>
        <w:t xml:space="preserve">7.1  Target Architecture</w:t>
      </w:r>
    </w:p>
    <w:p>
      <w:pPr>
        <w:spacing w:after="0" w:line="480"/>
        <w:ind w:firstLine="720"/>
        <w:jc w:val="both"/>
      </w:pPr>
      <w:r>
        <w:rPr>
          <w:rFonts w:ascii="Times New Roman" w:cs="Times New Roman" w:eastAsia="Times New Roman" w:hAnsi="Times New Roman"/>
          <w:sz w:val="24"/>
          <w:szCs w:val="24"/>
        </w:rPr>
        <w:t xml:space="preserve">We break the target autonomous system into four steps. The first is source discovery: given a search intent like "PEEK-CF unidirectional tensile data," an agent queries Semantic Scholar, OpenAlex, and arXiv, ranks results by relevance, and downloads the top papers. The second is extraction: each PDF goes through our existing Gemini pipeline, which already works well without human input for text-native PDFs. The third is validation: each extracted row is checked for unit consistency, plausibility ranges per property type, and duplication against existing rows keyed on (material_abbreviation, property_name, test_condition). Rows that fail go to a review queue with a reason code. The fourth is insertion: rows that pass validation go into the database, and each one will carry a foreign key to a sources table recording the PDF hash, DOI if available, and ingest timestamp.</w:t>
      </w:r>
    </w:p>
    <w:p>
      <w:pPr>
        <w:spacing w:after="0" w:before="480" w:line="480"/>
        <w:jc w:val="left"/>
      </w:pPr>
      <w:r>
        <w:rPr>
          <w:rFonts w:ascii="Times New Roman" w:cs="Times New Roman" w:eastAsia="Times New Roman" w:hAnsi="Times New Roman"/>
          <w:b/>
          <w:bCs/>
          <w:sz w:val="24"/>
          <w:szCs w:val="24"/>
        </w:rPr>
        <w:t xml:space="preserve">7.2  Prototype: batch_ingest.py</w:t>
      </w:r>
    </w:p>
    <w:p>
      <w:pPr>
        <w:spacing w:after="0" w:line="480"/>
        <w:ind w:firstLine="720"/>
        <w:jc w:val="both"/>
      </w:pPr>
      <w:r>
        <w:rPr>
          <w:rFonts w:ascii="Times New Roman" w:cs="Times New Roman" w:eastAsia="Times New Roman" w:hAnsi="Times New Roman"/>
          <w:sz w:val="24"/>
          <w:szCs w:val="24"/>
        </w:rPr>
        <w:t xml:space="preserve">We implemented a batch ingestion script — batch_ingest.py — that covers steps two through four on a fixed folder of PDFs without any human involvement. The script walks the folder in order, calls our Gemini extractor on each file, assigns a material class by keyword-matching the extracted material name, and runs each row through our validation pipeline. Validated rows go into a SQLite mirror of our production schema so we can test offline without touching the live database. Flagged rows are written to a CSV review queue with reason codes. We intentionally left out source discovery and the plot-extraction pipeline for this prototype — our goal was to characterize the extraction-plus-validation loop and find where it breaks.</w:t>
      </w:r>
    </w:p>
    <w:p>
      <w:pPr>
        <w:spacing w:after="0" w:before="480" w:line="480"/>
        <w:jc w:val="left"/>
      </w:pPr>
      <w:r>
        <w:rPr>
          <w:rFonts w:ascii="Times New Roman" w:cs="Times New Roman" w:eastAsia="Times New Roman" w:hAnsi="Times New Roman"/>
          <w:b/>
          <w:bCs/>
          <w:sz w:val="24"/>
          <w:szCs w:val="24"/>
        </w:rPr>
        <w:t xml:space="preserve">7.3  Results</w:t>
      </w:r>
    </w:p>
    <w:p>
      <w:pPr>
        <w:spacing w:after="0" w:line="480"/>
        <w:ind w:firstLine="720"/>
        <w:jc w:val="both"/>
      </w:pPr>
      <w:r>
        <w:rPr>
          <w:rFonts w:ascii="Times New Roman" w:cs="Times New Roman" w:eastAsia="Times New Roman" w:hAnsi="Times New Roman"/>
          <w:sz w:val="24"/>
          <w:szCs w:val="24"/>
        </w:rPr>
        <w:t xml:space="preserve">We tested the prototype on a corpus of polymer datasheets. End-to-end runtime is dominated by Gemini API latency, averaging 10 to 25 seconds per PDF. Our validation flags fell into three categories. About 15% of rows were flagged for missing units, but most of these were false positives for correctly dimensionless quantities like Shore D hardness. Around 5 to 10% of rows had units embedded inside the value string, which is a real inconsistency introduced by Gemini. A small number of rows had out-of-range numeric values, usually caused by the model misreading scientific notation or unit prefixes. Deduplication worked correctly — re-ingesting a previously processed PDF inserted zero new rows. These results show that the pipeline can run unattended at a reasonable cost and that the main failure modes are manageable with better validation rules. A hand-labeled ground-truth evaluation to measure extraction precision and recall is our next step.</w:t>
      </w:r>
    </w:p>
    <w:p>
      <w:pPr>
        <w:spacing w:after="0" w:before="480" w:line="480"/>
        <w:jc w:val="left"/>
      </w:pPr>
      <w:r>
        <w:rPr>
          <w:rFonts w:ascii="Times New Roman" w:cs="Times New Roman" w:eastAsia="Times New Roman" w:hAnsi="Times New Roman"/>
          <w:b/>
          <w:bCs/>
          <w:sz w:val="24"/>
          <w:szCs w:val="24"/>
        </w:rPr>
        <w:t xml:space="preserve">7.4  Next Steps</w:t>
      </w:r>
    </w:p>
    <w:p>
      <w:pPr>
        <w:spacing w:after="0" w:line="480"/>
        <w:ind w:firstLine="720"/>
        <w:jc w:val="both"/>
      </w:pPr>
      <w:r>
        <w:rPr>
          <w:rFonts w:ascii="Times New Roman" w:cs="Times New Roman" w:eastAsia="Times New Roman" w:hAnsi="Times New Roman"/>
          <w:sz w:val="24"/>
          <w:szCs w:val="24"/>
        </w:rPr>
        <w:t xml:space="preserve">There are five concrete things we want to do next. First, we need to add a sources table and give every inserted row a structured provenance record. Second, we want to build a hand-labeled ground-truth set of 50 to 100 rows and measure our extraction accuracy against it. Third, we want to replace the keyword-based class assignment with a small trained classifier. Fourth, we plan to add source discovery through OpenAlex, Semantic Scholar, and arXiv with relevance scoring. Fifth, we want to move our validation rules into a configuration file so domain experts can adjust plausibility ranges without touching code.</w:t>
      </w:r>
    </w:p>
    <w:p>
      <w:r>
        <w:br w:type="page"/>
      </w:r>
    </w:p>
    <w:p>
      <w:pPr>
        <w:spacing w:after="0" w:line="480"/>
        <w:jc w:val="center"/>
      </w:pPr>
      <w:r>
        <w:rPr>
          <w:rFonts w:ascii="Times New Roman" w:cs="Times New Roman" w:eastAsia="Times New Roman" w:hAnsi="Times New Roman"/>
          <w:b/>
          <w:bCs/>
          <w:sz w:val="24"/>
          <w:szCs w:val="24"/>
        </w:rPr>
        <w:t xml:space="preserve">Chapter 8</w:t>
      </w:r>
    </w:p>
    <w:p>
      <w:pPr>
        <w:spacing w:after="480" w:line="480"/>
        <w:jc w:val="center"/>
      </w:pPr>
      <w:r>
        <w:rPr>
          <w:rFonts w:ascii="Times New Roman" w:cs="Times New Roman" w:eastAsia="Times New Roman" w:hAnsi="Times New Roman"/>
          <w:b/>
          <w:bCs/>
          <w:sz w:val="24"/>
          <w:szCs w:val="24"/>
        </w:rPr>
        <w:t xml:space="preserve">LIMITATIONS AND FUTURE WORK</w:t>
      </w:r>
    </w:p>
    <w:p>
      <w:pPr>
        <w:spacing w:after="0" w:line="480"/>
        <w:ind/>
        <w:jc w:val="both"/>
      </w:pPr>
      <w:r>
        <w:rPr>
          <w:rFonts w:ascii="Times New Roman" w:cs="Times New Roman" w:eastAsia="Times New Roman" w:hAnsi="Times New Roman"/>
          <w:sz w:val="24"/>
          <w:szCs w:val="24"/>
        </w:rPr>
        <w:t xml:space="preserve">Our system has several known limitations. The most important is that we do not have structured source attribution. Until we add a sources table, individual property values cannot be traced back to their origin, which limits the database's usefulness for reproducible research and means we do not yet meet FAIR data standards [10]. This is our top priority going forward.</w:t>
      </w:r>
    </w:p>
    <w:p>
      <w:pPr>
        <w:spacing w:after="0" w:line="480"/>
        <w:ind w:firstLine="720"/>
        <w:jc w:val="both"/>
      </w:pPr>
      <w:r>
        <w:rPr>
          <w:rFonts w:ascii="Times New Roman" w:cs="Times New Roman" w:eastAsia="Times New Roman" w:hAnsi="Times New Roman"/>
          <w:sz w:val="24"/>
          <w:szCs w:val="24"/>
        </w:rPr>
        <w:t xml:space="preserve">Our value column is a text string, which lets us store ranges, qualifiers like "NB" for non-break, and multi-condition expressions, but makes numeric querying and aggregation hard without a custom parsing step. We plan to add a parsed numeric column alongside the raw text. We also do not have versioning or access control — correcting a record overwrites it, and any user can write to the database without review. This will become a problem as our user base grows.</w:t>
      </w:r>
    </w:p>
    <w:p>
      <w:pPr>
        <w:spacing w:after="0" w:line="480"/>
        <w:ind w:firstLine="720"/>
        <w:jc w:val="both"/>
      </w:pPr>
      <w:r>
        <w:rPr>
          <w:rFonts w:ascii="Times New Roman" w:cs="Times New Roman" w:eastAsia="Times New Roman" w:hAnsi="Times New Roman"/>
          <w:sz w:val="24"/>
          <w:szCs w:val="24"/>
        </w:rPr>
        <w:t xml:space="preserve">Gemini extraction gets noticeably worse on scanned PDFs, complex multi-axis plots, and proprietary table layouts. These are the hardest cases in our corpus and will need either OCR preprocessing or better prompting to handle reliably. Finally, our material identity key — the abbreviation string — is fragile at scale. Two entries for the same material from different sources might use different abbreviations, creating duplicates that a string-equality lookup cannot catch. As the database grows, we will need a more robust identity system.</w:t>
      </w:r>
    </w:p>
    <w:p>
      <w:pPr>
        <w:spacing w:after="0" w:line="480"/>
        <w:ind w:firstLine="720"/>
        <w:jc w:val="both"/>
      </w:pPr>
      <w:r>
        <w:rPr>
          <w:rFonts w:ascii="Times New Roman" w:cs="Times New Roman" w:eastAsia="Times New Roman" w:hAnsi="Times New Roman"/>
          <w:sz w:val="24"/>
          <w:szCs w:val="24"/>
        </w:rPr>
        <w:t xml:space="preserve">Looking forward, we want to close the autonomous ingestion loop, build the provenance layer, add numeric value parsing, and implement a reviewer approval step for new data. Most importantly, we want to use the database to train and evaluate the downstream machine learning models it was designed to support — lamina property prediction, inverse design, and process–quality modeling.</w:t>
      </w:r>
    </w:p>
    <w:p>
      <w:r>
        <w:br w:type="page"/>
      </w:r>
    </w:p>
    <w:p>
      <w:pPr>
        <w:spacing w:after="480" w:line="480"/>
        <w:jc w:val="center"/>
      </w:pPr>
      <w:r>
        <w:rPr>
          <w:rFonts w:ascii="Times New Roman" w:cs="Times New Roman" w:eastAsia="Times New Roman" w:hAnsi="Times New Roman"/>
          <w:b/>
          <w:bCs/>
          <w:sz w:val="24"/>
          <w:szCs w:val="24"/>
        </w:rPr>
        <w:t xml:space="preserve">REFERENCES</w:t>
      </w:r>
    </w:p>
    <w:p>
      <w:pPr>
        <w:spacing w:after="0" w:line="480"/>
        <w:ind w:left="720" w:hanging="720"/>
        <w:jc w:val="both"/>
      </w:pPr>
      <w:r>
        <w:rPr>
          <w:rFonts w:ascii="Times New Roman" w:cs="Times New Roman" w:eastAsia="Times New Roman" w:hAnsi="Times New Roman"/>
          <w:sz w:val="24"/>
          <w:szCs w:val="24"/>
        </w:rPr>
        <w:t xml:space="preserve">[1]  M. C. Swain and J. M. Cole, "ChemDataExtractor: A toolkit for automated extraction of chemical information from the scientific literature," J. Chem. Inf. Model., vol. 56, no. 10, pp. 1894–1904, 2016. doi: 10.1021/acs.jcim.6b00207</w:t>
      </w:r>
    </w:p>
    <w:p>
      <w:pPr>
        <w:spacing w:after="0" w:line="480"/>
        <w:ind w:left="720" w:hanging="720"/>
        <w:jc w:val="both"/>
      </w:pPr>
      <w:r>
        <w:rPr>
          <w:rFonts w:ascii="Times New Roman" w:cs="Times New Roman" w:eastAsia="Times New Roman" w:hAnsi="Times New Roman"/>
          <w:sz w:val="24"/>
          <w:szCs w:val="24"/>
        </w:rPr>
        <w:t xml:space="preserve">[2]  J. Mavračić, C. J. Court, T. Isazawa, S. R. Elliott, and J. M. Cole, "ChemDataExtractor 2.0: Autopopulated ontologies for materials science," J. Chem. Inf. Model., vol. 61, no. 9, pp. 4280–4289, 2021. doi: 10.1021/acs.jcim.1c00446</w:t>
      </w:r>
    </w:p>
    <w:p>
      <w:pPr>
        <w:spacing w:after="0" w:line="480"/>
        <w:ind w:left="720" w:hanging="720"/>
        <w:jc w:val="both"/>
      </w:pPr>
      <w:r>
        <w:rPr>
          <w:rFonts w:ascii="Times New Roman" w:cs="Times New Roman" w:eastAsia="Times New Roman" w:hAnsi="Times New Roman"/>
          <w:sz w:val="24"/>
          <w:szCs w:val="24"/>
        </w:rPr>
        <w:t xml:space="preserve">[3]  P. Shetty, A. C. Rajan, C. Kuenneth, S. Gupta, L. P. Panchumarti, L. Holm, C. Zhang, and R. Ramprasad, "A general-purpose material property data extraction pipeline from large polymer corpora using NLP," npj Comput. Mater., vol. 9, p. 52, 2023. doi: 10.1038/s41524-023-01003-w</w:t>
      </w:r>
    </w:p>
    <w:p>
      <w:pPr>
        <w:spacing w:after="0" w:line="480"/>
        <w:ind w:left="720" w:hanging="720"/>
        <w:jc w:val="both"/>
      </w:pPr>
      <w:r>
        <w:rPr>
          <w:rFonts w:ascii="Times New Roman" w:cs="Times New Roman" w:eastAsia="Times New Roman" w:hAnsi="Times New Roman"/>
          <w:sz w:val="24"/>
          <w:szCs w:val="24"/>
        </w:rPr>
        <w:t xml:space="preserve">[4]  A. Gupta, R. Hoover, and J. Brgoch, "Dynamic in-context learning with conversational models for data extraction and materials property prediction," arXiv:2405.10448, 2024.</w:t>
      </w:r>
    </w:p>
    <w:p>
      <w:pPr>
        <w:spacing w:after="0" w:line="480"/>
        <w:ind w:left="720" w:hanging="720"/>
        <w:jc w:val="both"/>
      </w:pPr>
      <w:r>
        <w:rPr>
          <w:rFonts w:ascii="Times New Roman" w:cs="Times New Roman" w:eastAsia="Times New Roman" w:hAnsi="Times New Roman"/>
          <w:sz w:val="24"/>
          <w:szCs w:val="24"/>
        </w:rPr>
        <w:t xml:space="preserve">[5]  Q. Liang, A. E. Gongora, Z. Ren, A. Abdel-Latif, K. G. Reyes, P. R. Brown, S. Srinivasan, and T. Buonassisi, "From text to insight: Large language models for materials science data extraction," arXiv:2407.16867, 2024.</w:t>
      </w:r>
    </w:p>
    <w:p>
      <w:pPr>
        <w:spacing w:after="0" w:line="480"/>
        <w:ind w:left="720" w:hanging="720"/>
        <w:jc w:val="both"/>
      </w:pPr>
      <w:r>
        <w:rPr>
          <w:rFonts w:ascii="Times New Roman" w:cs="Times New Roman" w:eastAsia="Times New Roman" w:hAnsi="Times New Roman"/>
          <w:sz w:val="24"/>
          <w:szCs w:val="24"/>
        </w:rPr>
        <w:t xml:space="preserve">[6]  J. Dagdelen, A. Dunn, S. Lee, N. Walker, A. S. Rosen, G. Ceder, K. A. Persson, and A. Jain, "Structured information extraction from scientific text with large language models," Nat. Commun., vol. 15, p. 1418, 2024. doi: 10.1038/s41467-024-45563-x</w:t>
      </w:r>
    </w:p>
    <w:p>
      <w:pPr>
        <w:spacing w:after="0" w:line="480"/>
        <w:ind w:left="720" w:hanging="720"/>
        <w:jc w:val="both"/>
      </w:pPr>
      <w:r>
        <w:rPr>
          <w:rFonts w:ascii="Times New Roman" w:cs="Times New Roman" w:eastAsia="Times New Roman" w:hAnsi="Times New Roman"/>
          <w:sz w:val="24"/>
          <w:szCs w:val="24"/>
        </w:rPr>
        <w:t xml:space="preserve">[7]  S. Banik, W. Chen, K. Choudhary, and F. Tavazza, "Automated extraction of material properties using LLM-based AI agents," arXiv:2510.01235, 2025.</w:t>
      </w:r>
    </w:p>
    <w:p>
      <w:pPr>
        <w:spacing w:after="0" w:line="480"/>
        <w:ind w:left="720" w:hanging="720"/>
        <w:jc w:val="both"/>
      </w:pPr>
      <w:r>
        <w:rPr>
          <w:rFonts w:ascii="Times New Roman" w:cs="Times New Roman" w:eastAsia="Times New Roman" w:hAnsi="Times New Roman"/>
          <w:sz w:val="24"/>
          <w:szCs w:val="24"/>
        </w:rPr>
        <w:t xml:space="preserve">[8]  Y. Cheng, H. Zhang, and Y. Sun, "From papers to property tables: A priority-based LLM workflow for materials data extraction," arXiv:2604.07584, 2025.</w:t>
      </w:r>
    </w:p>
    <w:p>
      <w:pPr>
        <w:spacing w:after="0" w:line="480"/>
        <w:ind w:left="720" w:hanging="720"/>
        <w:jc w:val="both"/>
      </w:pPr>
      <w:r>
        <w:rPr>
          <w:rFonts w:ascii="Times New Roman" w:cs="Times New Roman" w:eastAsia="Times New Roman" w:hAnsi="Times New Roman"/>
          <w:sz w:val="24"/>
          <w:szCs w:val="24"/>
        </w:rPr>
        <w:t xml:space="preserve">[9]  N. Reimers and I. Gurevych, "Sentence-BERT: Sentence embeddings using Siamese BERT-networks," in Proc. EMNLP, 2019. doi: 10.18653/v1/D19-1410</w:t>
      </w:r>
    </w:p>
    <w:p>
      <w:pPr>
        <w:spacing w:after="0" w:line="480"/>
        <w:ind w:left="720" w:hanging="720"/>
        <w:jc w:val="both"/>
      </w:pPr>
      <w:r>
        <w:rPr>
          <w:rFonts w:ascii="Times New Roman" w:cs="Times New Roman" w:eastAsia="Times New Roman" w:hAnsi="Times New Roman"/>
          <w:sz w:val="24"/>
          <w:szCs w:val="24"/>
        </w:rPr>
        <w:t xml:space="preserve">[10] M. Scheffler et al., "Community action on FAIR data will fuel a revolution in materials research," MRS Bull., vol. 48, pp. 1024–1040, 2024. doi: 10.1557/s43577-023-00498-4</w:t>
      </w:r>
    </w:p>
    <w:p>
      <w:pPr>
        <w:spacing w:after="0" w:line="480"/>
        <w:ind w:left="720" w:hanging="720"/>
        <w:jc w:val="both"/>
      </w:pPr>
      <w:r>
        <w:rPr>
          <w:rFonts w:ascii="Times New Roman" w:cs="Times New Roman" w:eastAsia="Times New Roman" w:hAnsi="Times New Roman"/>
          <w:sz w:val="24"/>
          <w:szCs w:val="24"/>
        </w:rPr>
        <w:t xml:space="preserve">[11] National Science and Technology Council, "Materials Genome Initiative Strategic Plan," 2021. Available: https://www.nist.gov/system/files/documents/2021/11/17/MGI-2021-Strategic-Plan.pdf</w:t>
      </w:r>
    </w:p>
    <w:p>
      <w:pPr>
        <w:spacing w:after="0" w:line="480"/>
        <w:ind w:left="720" w:hanging="720"/>
        <w:jc w:val="both"/>
      </w:pPr>
      <w:r>
        <w:rPr>
          <w:rFonts w:ascii="Times New Roman" w:cs="Times New Roman" w:eastAsia="Times New Roman" w:hAnsi="Times New Roman"/>
          <w:sz w:val="24"/>
          <w:szCs w:val="24"/>
        </w:rPr>
        <w:t xml:space="preserve">[12] C. H. Ward, "Materials Genome Initiative: Materials data," NISTIR 8038, NIST, 2014. doi: 10.6028/NIST.IR.8038</w:t>
      </w:r>
    </w:p>
    <w:p>
      <w:pPr>
        <w:spacing w:after="0" w:line="480"/>
        <w:ind w:left="720" w:hanging="720"/>
        <w:jc w:val="both"/>
      </w:pPr>
      <w:r>
        <w:rPr>
          <w:rFonts w:ascii="Times New Roman" w:cs="Times New Roman" w:eastAsia="Times New Roman" w:hAnsi="Times New Roman"/>
          <w:sz w:val="24"/>
          <w:szCs w:val="24"/>
        </w:rPr>
        <w:t xml:space="preserve">[13] A. Dima et al., "Machine learning-driven prediction of composite materials properties based on experimental testing data," Polymers, vol. 17, no. 5, p. 694, 2025. doi: 10.3390/polym17050694</w:t>
      </w:r>
    </w:p>
    <w:p>
      <w:pPr>
        <w:spacing w:after="0" w:line="480"/>
        <w:ind w:left="720" w:hanging="720"/>
        <w:jc w:val="both"/>
      </w:pPr>
      <w:r>
        <w:rPr>
          <w:rFonts w:ascii="Times New Roman" w:cs="Times New Roman" w:eastAsia="Times New Roman" w:hAnsi="Times New Roman"/>
          <w:sz w:val="24"/>
          <w:szCs w:val="24"/>
        </w:rPr>
        <w:t xml:space="preserve">[14] S. Han, H. Zhang, and J. Chen, "Toward accurate machine learning-driven prediction of polymeric composites properties," Mater. Genome Eng. Adv., 2025. doi: 10.1002/mgea.70027</w:t>
      </w:r>
    </w:p>
    <w:p>
      <w:pPr>
        <w:spacing w:after="0" w:line="480"/>
        <w:ind w:left="720" w:hanging="720"/>
        <w:jc w:val="both"/>
      </w:pPr>
      <w:r>
        <w:rPr>
          <w:rFonts w:ascii="Times New Roman" w:cs="Times New Roman" w:eastAsia="Times New Roman" w:hAnsi="Times New Roman"/>
          <w:sz w:val="24"/>
          <w:szCs w:val="24"/>
        </w:rPr>
        <w:t xml:space="preserve">[15] P. Liu, B. Chang, C. Xu, W. Zhang, T. Yang, and T. Wu, "Optimizing 3D printed continuous CF/PEEK composites: A machine learning approach to strength prediction," J. Reinf. Plast. Compos., 2025. doi: 10.1177/07316844251356346</w:t>
      </w:r>
    </w:p>
    <w:p>
      <w:pPr>
        <w:spacing w:after="0" w:line="480"/>
        <w:ind w:left="720" w:hanging="720"/>
        <w:jc w:val="both"/>
      </w:pPr>
      <w:r>
        <w:rPr>
          <w:rFonts w:ascii="Times New Roman" w:cs="Times New Roman" w:eastAsia="Times New Roman" w:hAnsi="Times New Roman"/>
          <w:sz w:val="24"/>
          <w:szCs w:val="24"/>
        </w:rPr>
        <w:t xml:space="preserve">[16] R. Fang, L. Wu, and Z. Sun, "Machine learning-assisted design of multilayer thermoplastic composites," Macromol. Mater. Eng., 2025. doi: 10.1002/mame.202500093</w:t>
      </w:r>
    </w:p>
    <w:p>
      <w:pPr>
        <w:spacing w:after="0" w:line="480"/>
        <w:ind w:left="720" w:hanging="720"/>
        <w:jc w:val="both"/>
      </w:pPr>
      <w:r>
        <w:rPr>
          <w:rFonts w:ascii="Times New Roman" w:cs="Times New Roman" w:eastAsia="Times New Roman" w:hAnsi="Times New Roman"/>
          <w:sz w:val="24"/>
          <w:szCs w:val="24"/>
        </w:rPr>
        <w:t xml:space="preserve">[17] P. M. Nadkarni, L. Marenco, R. Chen, E. Skoufos, G. Shepherd, and P. Miller, "Organization of heterogeneous scientific data using the EAV/CR representation," J. Am. Med. Inform. Assoc., vol. 6, no. 6, pp. 478–493, 2009.</w:t>
      </w:r>
    </w:p>
    <w:p>
      <w:pPr>
        <w:spacing w:after="0" w:line="480"/>
        <w:ind w:left="720" w:hanging="720"/>
        <w:jc w:val="both"/>
      </w:pPr>
      <w:r>
        <w:rPr>
          <w:rFonts w:ascii="Times New Roman" w:cs="Times New Roman" w:eastAsia="Times New Roman" w:hAnsi="Times New Roman"/>
          <w:sz w:val="24"/>
          <w:szCs w:val="24"/>
        </w:rPr>
        <w:t xml:space="preserve">[18] V. Dinu and P. M. Nadkarni, "Exploring performance issues for a clinical database organized using an entity-attribute-value representation," J. Am. Med. Inform. Assoc., vol. 14, no. 1, pp. 60–65, 2007.</w:t>
      </w:r>
    </w:p>
    <w:p>
      <w:pPr>
        <w:spacing w:after="0" w:line="480"/>
        <w:ind w:left="720" w:hanging="720"/>
        <w:jc w:val="both"/>
      </w:pPr>
      <w:r>
        <w:rPr>
          <w:rFonts w:ascii="Times New Roman" w:cs="Times New Roman" w:eastAsia="Times New Roman" w:hAnsi="Times New Roman"/>
          <w:sz w:val="24"/>
          <w:szCs w:val="24"/>
        </w:rPr>
        <w:t xml:space="preserve">[19] MatWeb LLC, "MatWeb material property data," 2024. Available: https://www.matweb.com/</w:t>
      </w:r>
    </w:p>
    <w:p>
      <w:pPr>
        <w:spacing w:after="0" w:line="480"/>
        <w:ind w:left="720" w:hanging="720"/>
        <w:jc w:val="both"/>
      </w:pPr>
      <w:r>
        <w:rPr>
          <w:rFonts w:ascii="Times New Roman" w:cs="Times New Roman" w:eastAsia="Times New Roman" w:hAnsi="Times New Roman"/>
          <w:sz w:val="24"/>
          <w:szCs w:val="24"/>
        </w:rPr>
        <w:t xml:space="preserve">[20] CMH-17 Coordination Group, "Composite Materials Handbook-17," SAE International, 2024. Available: https://www.cmh17.org/</w:t>
      </w:r>
    </w:p>
    <w:p>
      <w:pPr>
        <w:spacing w:after="0" w:line="480"/>
        <w:ind w:left="720" w:hanging="720"/>
        <w:jc w:val="both"/>
      </w:pPr>
      <w:r>
        <w:rPr>
          <w:rFonts w:ascii="Times New Roman" w:cs="Times New Roman" w:eastAsia="Times New Roman" w:hAnsi="Times New Roman"/>
          <w:sz w:val="24"/>
          <w:szCs w:val="24"/>
        </w:rPr>
        <w:t xml:space="preserve">[21] Ansys Inc., "Ansys Granta materials data," 2024. Available: https://www.ansys.com/products/materials</w:t>
      </w:r>
    </w:p>
    <w:p>
      <w:pPr>
        <w:spacing w:after="0" w:line="480"/>
        <w:ind w:left="720" w:hanging="720"/>
        <w:jc w:val="both"/>
      </w:pPr>
      <w:r>
        <w:rPr>
          <w:rFonts w:ascii="Times New Roman" w:cs="Times New Roman" w:eastAsia="Times New Roman" w:hAnsi="Times New Roman"/>
          <w:sz w:val="24"/>
          <w:szCs w:val="24"/>
        </w:rPr>
        <w:t xml:space="preserve">[22] CompositesWorld, "Shared composite material property databases," 2024. Available: https://www.compositesworld.com/columns/shared-composite-material-property-databases</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line="480"/>
      <w:outlineLvl w:val="0"/>
    </w:pPr>
    <w:rPr>
      <w:rFonts w:ascii="Times New Roman" w:cs="Times New Roman" w:eastAsia="Times New Roman" w:hAnsi="Times New Roman"/>
      <w:b/>
      <w:bCs/>
      <w:sz w:val="24"/>
      <w:szCs w:val="24"/>
    </w:rPr>
  </w:style>
  <w:style w:type="paragraph" w:styleId="Heading2">
    <w:name w:val="Heading 2"/>
    <w:basedOn w:val="Normal"/>
    <w:next w:val="Normal"/>
    <w:pPr>
      <w:spacing w:after="0" w:before="480" w:line="4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 Composites Materials Database</dc:title>
  <dc:creator>Mathias Heider</dc:creator>
  <cp:lastModifiedBy>Un-named</cp:lastModifiedBy>
  <cp:revision>1</cp:revision>
  <dcterms:created xsi:type="dcterms:W3CDTF">2026-05-19T04:51:31.523Z</dcterms:created>
  <dcterms:modified xsi:type="dcterms:W3CDTF">2026-05-19T04:51:31.523Z</dcterms:modified>
</cp:coreProperties>
</file>

<file path=docProps/custom.xml><?xml version="1.0" encoding="utf-8"?>
<Properties xmlns="http://schemas.openxmlformats.org/officeDocument/2006/custom-properties" xmlns:vt="http://schemas.openxmlformats.org/officeDocument/2006/docPropsVTypes"/>
</file>