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027DC">
      <w:pPr>
        <w:spacing w:line="240" w:lineRule="auto"/>
        <w:jc w:val="center"/>
        <w:rPr>
          <w:rFonts w:hint="eastAsia" w:ascii="方正小标宋简体" w:hAnsi="方正小标宋简体" w:eastAsia="方正小标宋简体"/>
          <w:sz w:val="44"/>
        </w:rPr>
      </w:pPr>
      <w:r>
        <w:rPr>
          <w:rFonts w:hint="eastAsia" w:ascii="方正小标宋简体" w:hAnsi="方正小标宋简体" w:eastAsia="方正小标宋简体"/>
          <w:sz w:val="44"/>
        </w:rPr>
        <w:drawing>
          <wp:inline distT="0" distB="0" distL="114300" distR="114300">
            <wp:extent cx="5766435" cy="8650605"/>
            <wp:effectExtent l="0" t="0" r="12065" b="10795"/>
            <wp:docPr id="1" name="图片 1"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封面"/>
                    <pic:cNvPicPr>
                      <a:picLocks noChangeAspect="1"/>
                    </pic:cNvPicPr>
                  </pic:nvPicPr>
                  <pic:blipFill>
                    <a:blip r:embed="rId6"/>
                    <a:stretch>
                      <a:fillRect/>
                    </a:stretch>
                  </pic:blipFill>
                  <pic:spPr>
                    <a:xfrm>
                      <a:off x="0" y="0"/>
                      <a:ext cx="5766435" cy="8650605"/>
                    </a:xfrm>
                    <a:prstGeom prst="rect">
                      <a:avLst/>
                    </a:prstGeom>
                  </pic:spPr>
                </pic:pic>
              </a:graphicData>
            </a:graphic>
          </wp:inline>
        </w:drawing>
      </w:r>
      <w:r>
        <w:rPr>
          <w:rFonts w:hint="eastAsia" w:ascii="方正小标宋简体" w:hAnsi="方正小标宋简体" w:eastAsia="方正小标宋简体"/>
          <w:sz w:val="44"/>
        </w:rPr>
        <w:t>华中科技大学班团集体建设系列活动</w:t>
      </w:r>
    </w:p>
    <w:p w14:paraId="666602FB">
      <w:pPr>
        <w:spacing w:line="560" w:lineRule="exact"/>
        <w:jc w:val="center"/>
        <w:rPr>
          <w:rFonts w:hint="eastAsia" w:ascii="方正小标宋简体" w:hAnsi="方正小标宋简体" w:eastAsia="方正小标宋简体"/>
          <w:sz w:val="44"/>
        </w:rPr>
      </w:pPr>
      <w:r>
        <w:rPr>
          <w:rFonts w:hint="eastAsia" w:ascii="方正小标宋简体" w:hAnsi="方正小标宋简体" w:eastAsia="方正小标宋简体"/>
          <w:sz w:val="44"/>
        </w:rPr>
        <w:t>——</w:t>
      </w:r>
      <w:r>
        <w:rPr>
          <w:rFonts w:ascii="Times New Roman" w:hAnsi="Times New Roman" w:eastAsia="方正小标宋简体" w:cs="Times New Roman"/>
          <w:sz w:val="44"/>
        </w:rPr>
        <w:t>2025-2026</w:t>
      </w:r>
      <w:r>
        <w:rPr>
          <w:rFonts w:hint="eastAsia" w:ascii="方正小标宋简体" w:hAnsi="方正小标宋简体" w:eastAsia="方正小标宋简体"/>
          <w:sz w:val="44"/>
        </w:rPr>
        <w:t>学年度特色团日活动</w:t>
      </w:r>
    </w:p>
    <w:p w14:paraId="728D42C7">
      <w:pPr>
        <w:spacing w:line="560" w:lineRule="exact"/>
        <w:jc w:val="center"/>
        <w:rPr>
          <w:rFonts w:hint="eastAsia" w:ascii="方正小标宋简体" w:hAnsi="方正小标宋简体" w:eastAsia="方正小标宋简体"/>
          <w:sz w:val="44"/>
        </w:rPr>
      </w:pPr>
      <w:r>
        <w:rPr>
          <w:rFonts w:hint="eastAsia" w:ascii="方正小标宋简体" w:hAnsi="方正小标宋简体" w:eastAsia="方正小标宋简体"/>
          <w:sz w:val="44"/>
        </w:rPr>
        <w:t>（本科生组）计划书</w:t>
      </w:r>
    </w:p>
    <w:tbl>
      <w:tblPr>
        <w:tblStyle w:val="4"/>
        <w:tblpPr w:leftFromText="180" w:rightFromText="180" w:vertAnchor="page" w:horzAnchor="margin" w:tblpX="1" w:tblpY="4005"/>
        <w:tblOverlap w:val="never"/>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
        <w:gridCol w:w="794"/>
        <w:gridCol w:w="2339"/>
        <w:gridCol w:w="1560"/>
        <w:gridCol w:w="2693"/>
      </w:tblGrid>
      <w:tr w14:paraId="1ED7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625" w:type="dxa"/>
            <w:gridSpan w:val="2"/>
          </w:tcPr>
          <w:p w14:paraId="3047C634">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参赛赛区</w:t>
            </w:r>
          </w:p>
        </w:tc>
        <w:tc>
          <w:tcPr>
            <w:tcW w:w="6592" w:type="dxa"/>
            <w:gridSpan w:val="3"/>
            <w:vAlign w:val="center"/>
          </w:tcPr>
          <w:p w14:paraId="4C8B80BF">
            <w:pPr>
              <w:spacing w:line="560" w:lineRule="exact"/>
              <w:jc w:val="center"/>
              <w:rPr>
                <w:rFonts w:hint="eastAsia" w:ascii="仿宋_GB2312" w:eastAsia="仿宋_GB2312"/>
                <w:color w:val="000000"/>
                <w:sz w:val="28"/>
                <w:szCs w:val="28"/>
              </w:rPr>
            </w:pPr>
            <w:r>
              <w:rPr>
                <w:rFonts w:hint="eastAsia" w:ascii="仿宋" w:hAnsi="仿宋" w:eastAsia="仿宋" w:cs="仿宋"/>
                <w:sz w:val="28"/>
                <w:szCs w:val="28"/>
              </w:rPr>
              <w:t>第六赛区</w:t>
            </w:r>
          </w:p>
        </w:tc>
      </w:tr>
      <w:tr w14:paraId="4C666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25" w:type="dxa"/>
            <w:gridSpan w:val="2"/>
            <w:tcBorders>
              <w:bottom w:val="single" w:color="auto" w:sz="4" w:space="0"/>
            </w:tcBorders>
          </w:tcPr>
          <w:p w14:paraId="39408AF1">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lang w:eastAsia="zh-Hans"/>
              </w:rPr>
              <w:t>支部名称</w:t>
            </w:r>
          </w:p>
        </w:tc>
        <w:tc>
          <w:tcPr>
            <w:tcW w:w="6592" w:type="dxa"/>
            <w:gridSpan w:val="3"/>
            <w:tcBorders>
              <w:bottom w:val="single" w:color="auto" w:sz="4" w:space="0"/>
            </w:tcBorders>
            <w:vAlign w:val="center"/>
          </w:tcPr>
          <w:p w14:paraId="7C1F0096">
            <w:pPr>
              <w:spacing w:line="560" w:lineRule="exact"/>
              <w:jc w:val="center"/>
              <w:rPr>
                <w:rFonts w:hint="eastAsia" w:ascii="仿宋_GB2312" w:eastAsia="仿宋_GB2312"/>
                <w:color w:val="000000"/>
                <w:sz w:val="28"/>
                <w:szCs w:val="28"/>
              </w:rPr>
            </w:pPr>
            <w:r>
              <w:rPr>
                <w:rFonts w:hint="eastAsia" w:ascii="仿宋" w:hAnsi="仿宋" w:eastAsia="仿宋" w:cs="仿宋"/>
                <w:sz w:val="28"/>
                <w:szCs w:val="28"/>
              </w:rPr>
              <w:t>药学（中外合作办学）2503、光电2506、基础医学（强基计划实验班）2501班团支部</w:t>
            </w:r>
          </w:p>
        </w:tc>
      </w:tr>
      <w:tr w14:paraId="533E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625" w:type="dxa"/>
            <w:gridSpan w:val="2"/>
            <w:vMerge w:val="restart"/>
            <w:tcBorders>
              <w:top w:val="single" w:color="auto" w:sz="4" w:space="0"/>
            </w:tcBorders>
            <w:vAlign w:val="center"/>
          </w:tcPr>
          <w:p w14:paraId="108F66A8">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团 支 书（学院、班级、姓名）</w:t>
            </w:r>
          </w:p>
        </w:tc>
        <w:tc>
          <w:tcPr>
            <w:tcW w:w="2339" w:type="dxa"/>
            <w:tcBorders>
              <w:top w:val="single" w:color="auto" w:sz="4" w:space="0"/>
            </w:tcBorders>
            <w:vAlign w:val="center"/>
          </w:tcPr>
          <w:p w14:paraId="6862074E">
            <w:pPr>
              <w:spacing w:line="560" w:lineRule="exact"/>
              <w:jc w:val="center"/>
              <w:rPr>
                <w:rFonts w:hint="eastAsia" w:ascii="仿宋" w:hAnsi="仿宋" w:eastAsia="仿宋" w:cs="仿宋"/>
                <w:color w:val="000000"/>
                <w:sz w:val="28"/>
                <w:szCs w:val="28"/>
              </w:rPr>
            </w:pPr>
            <w:r>
              <w:rPr>
                <w:rFonts w:hint="eastAsia" w:ascii="仿宋" w:hAnsi="仿宋" w:eastAsia="仿宋" w:cs="仿宋"/>
                <w:color w:val="000000"/>
                <w:sz w:val="28"/>
                <w:szCs w:val="28"/>
              </w:rPr>
              <w:t>药学中外2503班艾宇杭</w:t>
            </w:r>
          </w:p>
        </w:tc>
        <w:tc>
          <w:tcPr>
            <w:tcW w:w="1560" w:type="dxa"/>
            <w:vMerge w:val="restart"/>
            <w:tcBorders>
              <w:top w:val="single" w:color="auto" w:sz="4" w:space="0"/>
            </w:tcBorders>
            <w:vAlign w:val="center"/>
          </w:tcPr>
          <w:p w14:paraId="13BF3818">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联系方式</w:t>
            </w:r>
          </w:p>
        </w:tc>
        <w:tc>
          <w:tcPr>
            <w:tcW w:w="2693" w:type="dxa"/>
            <w:tcBorders>
              <w:top w:val="single" w:color="auto" w:sz="4" w:space="0"/>
            </w:tcBorders>
            <w:vAlign w:val="center"/>
          </w:tcPr>
          <w:p w14:paraId="29D7B4C1">
            <w:pPr>
              <w:spacing w:line="560" w:lineRule="exact"/>
              <w:jc w:val="center"/>
              <w:rPr>
                <w:rFonts w:hint="eastAsia" w:ascii="仿宋" w:hAnsi="仿宋" w:eastAsia="仿宋" w:cs="仿宋"/>
                <w:color w:val="000000"/>
                <w:sz w:val="28"/>
                <w:szCs w:val="28"/>
              </w:rPr>
            </w:pPr>
            <w:r>
              <w:rPr>
                <w:rFonts w:hint="eastAsia" w:ascii="仿宋" w:hAnsi="仿宋" w:eastAsia="仿宋" w:cs="仿宋"/>
                <w:color w:val="000000"/>
                <w:sz w:val="28"/>
                <w:szCs w:val="28"/>
              </w:rPr>
              <w:t>15827190081</w:t>
            </w:r>
          </w:p>
        </w:tc>
      </w:tr>
      <w:tr w14:paraId="5E2E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625" w:type="dxa"/>
            <w:gridSpan w:val="2"/>
            <w:vMerge w:val="continue"/>
            <w:vAlign w:val="center"/>
          </w:tcPr>
          <w:p w14:paraId="1274CBF9">
            <w:pPr>
              <w:spacing w:line="560" w:lineRule="exact"/>
              <w:jc w:val="center"/>
              <w:rPr>
                <w:rFonts w:hint="eastAsia"/>
              </w:rPr>
            </w:pPr>
          </w:p>
        </w:tc>
        <w:tc>
          <w:tcPr>
            <w:tcW w:w="2339" w:type="dxa"/>
            <w:vAlign w:val="center"/>
          </w:tcPr>
          <w:p w14:paraId="25C1BD64">
            <w:pPr>
              <w:spacing w:line="560" w:lineRule="exact"/>
              <w:jc w:val="center"/>
              <w:rPr>
                <w:rFonts w:hint="eastAsia" w:ascii="仿宋" w:hAnsi="仿宋" w:eastAsia="仿宋" w:cs="仿宋"/>
                <w:color w:val="000000"/>
                <w:sz w:val="28"/>
                <w:szCs w:val="28"/>
              </w:rPr>
            </w:pPr>
            <w:r>
              <w:rPr>
                <w:rFonts w:hint="eastAsia" w:ascii="仿宋" w:hAnsi="仿宋" w:eastAsia="仿宋" w:cs="仿宋"/>
                <w:color w:val="000000"/>
                <w:sz w:val="28"/>
                <w:szCs w:val="28"/>
              </w:rPr>
              <w:t>光电2506班张子栋</w:t>
            </w:r>
          </w:p>
        </w:tc>
        <w:tc>
          <w:tcPr>
            <w:tcW w:w="1560" w:type="dxa"/>
            <w:vMerge w:val="continue"/>
            <w:vAlign w:val="center"/>
          </w:tcPr>
          <w:p w14:paraId="148B6612">
            <w:pPr>
              <w:spacing w:line="560" w:lineRule="exact"/>
              <w:jc w:val="center"/>
              <w:rPr>
                <w:rFonts w:hint="eastAsia" w:ascii="仿宋_GB2312" w:eastAsia="仿宋_GB2312"/>
                <w:color w:val="000000"/>
                <w:sz w:val="28"/>
                <w:szCs w:val="28"/>
              </w:rPr>
            </w:pPr>
          </w:p>
        </w:tc>
        <w:tc>
          <w:tcPr>
            <w:tcW w:w="2693" w:type="dxa"/>
            <w:vAlign w:val="center"/>
          </w:tcPr>
          <w:p w14:paraId="42D7719E">
            <w:pPr>
              <w:spacing w:line="560" w:lineRule="exact"/>
              <w:jc w:val="center"/>
              <w:rPr>
                <w:rFonts w:hint="eastAsia" w:ascii="仿宋" w:hAnsi="仿宋" w:eastAsia="仿宋" w:cs="仿宋"/>
                <w:color w:val="000000"/>
                <w:sz w:val="28"/>
                <w:szCs w:val="28"/>
              </w:rPr>
            </w:pPr>
            <w:r>
              <w:rPr>
                <w:rFonts w:hint="eastAsia" w:ascii="仿宋" w:hAnsi="仿宋" w:eastAsia="仿宋" w:cs="仿宋"/>
                <w:color w:val="000000"/>
                <w:sz w:val="28"/>
                <w:szCs w:val="28"/>
                <w:lang w:val="en-US" w:eastAsia="zh-CN"/>
              </w:rPr>
              <w:t>1</w:t>
            </w:r>
            <w:r>
              <w:rPr>
                <w:rFonts w:hint="eastAsia" w:ascii="仿宋" w:hAnsi="仿宋" w:eastAsia="仿宋" w:cs="仿宋"/>
                <w:color w:val="000000"/>
                <w:sz w:val="28"/>
                <w:szCs w:val="28"/>
              </w:rPr>
              <w:t>8921667323</w:t>
            </w:r>
          </w:p>
        </w:tc>
      </w:tr>
      <w:tr w14:paraId="549C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625" w:type="dxa"/>
            <w:gridSpan w:val="2"/>
            <w:vMerge w:val="continue"/>
            <w:vAlign w:val="center"/>
          </w:tcPr>
          <w:p w14:paraId="3BD45B84">
            <w:pPr>
              <w:spacing w:line="560" w:lineRule="exact"/>
              <w:jc w:val="center"/>
              <w:rPr>
                <w:rFonts w:hint="eastAsia" w:ascii="仿宋_GB2312" w:eastAsia="仿宋_GB2312"/>
                <w:color w:val="000000"/>
                <w:sz w:val="28"/>
                <w:szCs w:val="28"/>
              </w:rPr>
            </w:pPr>
          </w:p>
        </w:tc>
        <w:tc>
          <w:tcPr>
            <w:tcW w:w="2339" w:type="dxa"/>
            <w:vAlign w:val="center"/>
          </w:tcPr>
          <w:p w14:paraId="5CC79930">
            <w:pPr>
              <w:spacing w:line="560" w:lineRule="exact"/>
              <w:jc w:val="center"/>
              <w:rPr>
                <w:rFonts w:hint="eastAsia" w:ascii="仿宋" w:hAnsi="仿宋" w:eastAsia="仿宋" w:cs="仿宋"/>
                <w:color w:val="000000"/>
                <w:sz w:val="28"/>
                <w:szCs w:val="28"/>
              </w:rPr>
            </w:pPr>
            <w:r>
              <w:rPr>
                <w:rFonts w:hint="eastAsia" w:ascii="仿宋" w:hAnsi="仿宋" w:eastAsia="仿宋" w:cs="仿宋"/>
                <w:color w:val="000000"/>
                <w:sz w:val="28"/>
                <w:szCs w:val="28"/>
              </w:rPr>
              <w:t>基医强基2501班高雨佳</w:t>
            </w:r>
          </w:p>
        </w:tc>
        <w:tc>
          <w:tcPr>
            <w:tcW w:w="1560" w:type="dxa"/>
            <w:vMerge w:val="continue"/>
            <w:vAlign w:val="center"/>
          </w:tcPr>
          <w:p w14:paraId="704CB627">
            <w:pPr>
              <w:spacing w:line="560" w:lineRule="exact"/>
              <w:jc w:val="center"/>
              <w:rPr>
                <w:rFonts w:hint="eastAsia" w:ascii="仿宋_GB2312" w:eastAsia="仿宋_GB2312"/>
                <w:color w:val="000000"/>
                <w:sz w:val="28"/>
                <w:szCs w:val="28"/>
              </w:rPr>
            </w:pPr>
          </w:p>
        </w:tc>
        <w:tc>
          <w:tcPr>
            <w:tcW w:w="2693" w:type="dxa"/>
            <w:vAlign w:val="center"/>
          </w:tcPr>
          <w:p w14:paraId="49F4EFB4">
            <w:pPr>
              <w:spacing w:line="560" w:lineRule="exact"/>
              <w:jc w:val="center"/>
              <w:rPr>
                <w:rFonts w:hint="eastAsia" w:ascii="仿宋" w:hAnsi="仿宋" w:eastAsia="仿宋" w:cs="仿宋"/>
                <w:color w:val="000000"/>
                <w:sz w:val="28"/>
                <w:szCs w:val="28"/>
              </w:rPr>
            </w:pPr>
            <w:r>
              <w:rPr>
                <w:rFonts w:hint="eastAsia" w:ascii="仿宋" w:hAnsi="仿宋" w:eastAsia="仿宋" w:cs="仿宋"/>
                <w:color w:val="000000"/>
                <w:sz w:val="28"/>
                <w:szCs w:val="28"/>
              </w:rPr>
              <w:t>15290074535</w:t>
            </w:r>
          </w:p>
        </w:tc>
      </w:tr>
      <w:tr w14:paraId="2C7F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25" w:type="dxa"/>
            <w:gridSpan w:val="2"/>
          </w:tcPr>
          <w:p w14:paraId="167A0FF0">
            <w:pPr>
              <w:spacing w:line="560" w:lineRule="exact"/>
              <w:jc w:val="center"/>
              <w:rPr>
                <w:rFonts w:hint="eastAsia" w:ascii="仿宋_GB2312" w:eastAsia="仿宋_GB2312"/>
                <w:color w:val="000000"/>
                <w:sz w:val="28"/>
                <w:szCs w:val="28"/>
                <w:lang w:eastAsia="zh-Hans"/>
              </w:rPr>
            </w:pPr>
            <w:r>
              <w:rPr>
                <w:rFonts w:hint="eastAsia" w:ascii="仿宋_GB2312" w:eastAsia="仿宋_GB2312"/>
                <w:color w:val="000000"/>
                <w:sz w:val="28"/>
                <w:szCs w:val="28"/>
                <w:lang w:eastAsia="zh-Hans"/>
              </w:rPr>
              <w:t>所选方向</w:t>
            </w:r>
          </w:p>
        </w:tc>
        <w:tc>
          <w:tcPr>
            <w:tcW w:w="6592" w:type="dxa"/>
            <w:gridSpan w:val="3"/>
            <w:vAlign w:val="center"/>
          </w:tcPr>
          <w:p w14:paraId="63C23530">
            <w:pPr>
              <w:spacing w:line="560" w:lineRule="exact"/>
              <w:jc w:val="center"/>
              <w:rPr>
                <w:rFonts w:hint="eastAsia" w:ascii="仿宋" w:hAnsi="仿宋" w:eastAsia="仿宋" w:cs="仿宋"/>
                <w:color w:val="FF0000"/>
                <w:sz w:val="22"/>
              </w:rPr>
            </w:pPr>
            <w:r>
              <w:rPr>
                <w:rFonts w:hint="eastAsia" w:ascii="仿宋" w:hAnsi="仿宋" w:eastAsia="仿宋" w:cs="仿宋"/>
                <w:sz w:val="28"/>
                <w:szCs w:val="28"/>
              </w:rPr>
              <w:t>筑牢文化根基，涵育时代新人。</w:t>
            </w:r>
          </w:p>
        </w:tc>
      </w:tr>
      <w:tr w14:paraId="4746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1625" w:type="dxa"/>
            <w:gridSpan w:val="2"/>
            <w:vAlign w:val="center"/>
          </w:tcPr>
          <w:p w14:paraId="2F583B05">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活动主题</w:t>
            </w:r>
          </w:p>
        </w:tc>
        <w:tc>
          <w:tcPr>
            <w:tcW w:w="6592" w:type="dxa"/>
            <w:gridSpan w:val="3"/>
            <w:vAlign w:val="center"/>
          </w:tcPr>
          <w:p w14:paraId="66DCFF96">
            <w:pPr>
              <w:spacing w:line="560" w:lineRule="exact"/>
              <w:jc w:val="center"/>
              <w:rPr>
                <w:rFonts w:hint="eastAsia" w:ascii="仿宋" w:hAnsi="仿宋" w:eastAsia="仿宋" w:cs="仿宋"/>
                <w:color w:val="FF0000"/>
                <w:sz w:val="22"/>
              </w:rPr>
            </w:pPr>
            <w:r>
              <w:rPr>
                <w:rFonts w:hint="eastAsia" w:ascii="仿宋" w:hAnsi="仿宋" w:eastAsia="仿宋" w:cs="仿宋"/>
                <w:sz w:val="28"/>
                <w:szCs w:val="28"/>
              </w:rPr>
              <w:t>金光青黛同济兴，本草杏林华夏清</w:t>
            </w:r>
          </w:p>
        </w:tc>
      </w:tr>
      <w:tr w14:paraId="1DE1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2" w:hRule="atLeast"/>
        </w:trPr>
        <w:tc>
          <w:tcPr>
            <w:tcW w:w="831" w:type="dxa"/>
            <w:tcBorders/>
            <w:vAlign w:val="center"/>
          </w:tcPr>
          <w:p w14:paraId="66D45402">
            <w:pPr>
              <w:spacing w:before="240"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主</w:t>
            </w:r>
          </w:p>
          <w:p w14:paraId="7AA7BE58">
            <w:pPr>
              <w:spacing w:before="240"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题</w:t>
            </w:r>
          </w:p>
          <w:p w14:paraId="103E2C35">
            <w:pPr>
              <w:spacing w:before="240"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阐</w:t>
            </w:r>
          </w:p>
          <w:p w14:paraId="3C32B902">
            <w:pPr>
              <w:spacing w:before="240"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释</w:t>
            </w:r>
          </w:p>
        </w:tc>
        <w:tc>
          <w:tcPr>
            <w:tcW w:w="7386" w:type="dxa"/>
            <w:gridSpan w:val="4"/>
          </w:tcPr>
          <w:p w14:paraId="16D70767">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1.中医药是我国重要的卫生、经济、科技、文化和生态资源，传承创新发展中医药是新时代中国特色社会主义事业的重要内容，是中华民族伟大复兴的大事。中医药是我国传统文化灿烂宝库中的重要组成部分，是现今世界上保留最完整的传统医学体系，从神话中的神农尝百草，到明朝李时珍著《本</w:t>
            </w:r>
          </w:p>
          <w:p w14:paraId="00F04DB5">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草纲目》，无一不体现着一代代华夏儿女的智慧。进入新时</w:t>
            </w:r>
          </w:p>
          <w:p w14:paraId="3149449A">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代，党和国家对中医药行业的发展给予了相当重视：2015年4月27日，国务院办公厅转发工业和信息化部、国家中医药管理局等部门《中药材保护和发展规划（2015—2020年）》，这是中国第一个关于中药材保护和发展的国家级规划；2023年4月19日，国家中医药局等8部门发布《“十四五”中医药文化弘扬工程实施方案》。习近平总书记强调，要遵循中医药发展规律，传承精华，守正创新，加快推进中医药现代化、产业化。</w:t>
            </w:r>
          </w:p>
          <w:p w14:paraId="3B187A70">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2.中医药发展切实关系人民群众的健康利益。中医药从遵循“辨证求因”理念对症调理日常感冒咳嗽，到秉持“缓则治本”原则开展慢性病长期养护，从以“扶正祛邪”思路辅助疑难病症治疗、按“扶正固本”理念助力产后术后康复，再到践行“治未病”思想推进养生保健与健康管理，全方位覆盖生命周期的各类健康场景。它既精准缓解常见病痛困扰，又为重大疾病治疗提供补充支撑，更在提升全民健康素养、降低医疗负担等方面发挥着不可替代的作用，真正成为守护人民群众身心健康的重要力量。</w:t>
            </w:r>
          </w:p>
          <w:p w14:paraId="6AA0D8E1">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3.光电技术为中医药现代化赋能。中药质量管控中，近红外光谱、拉曼光谱等技术可快速鉴别药材真伪、分析有效成分及重金属残留，保障药效与用药安全；中药研发与生产中，光电分离技术高效提纯有效成分，为创新药研发、经典方剂改造提供支持，光电自动化设备推动制剂标准化规模化，提升质量稳定性；光电成像技术还助力经络可视化、药材微观观察，为中医药教学与传统知识传承提供直观支撑。</w:t>
            </w:r>
          </w:p>
          <w:p w14:paraId="3D2851F3">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4.中医药文化是我国文化出海与国际文化交流的重要桥梁，其蕴含的“整体观念”“辨证施治”“天人合一”等智慧，不仅为全球健康治理提供了独特的东方方案，更向世界传递了中华文化的哲学思想与价值理念。作为兼具医学价值与文化内涵的独特载体，中医药文化通过海外中医诊疗机构、国际医学交流会议、传统医药非遗展示等多元形式走向世界，既让各国人民感受到中医药调理养生、治病救人的实际功效，增进对中华文化的直观认知与情感认同，促进了跨文化交流的深度与广度。</w:t>
            </w:r>
          </w:p>
          <w:p w14:paraId="6738F0CD">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5.中医药文化与绿色发展观在核心理念与实践路径上深度契合、相辅相成。中医药注重顺应自然规律开展药材种植，倡导生态化培育模式，避免过度开采与环境污染，实现药材资源</w:t>
            </w:r>
            <w:r>
              <w:rPr>
                <w:rFonts w:hint="eastAsia" w:ascii="仿宋" w:hAnsi="仿宋" w:eastAsia="仿宋" w:cs="仿宋"/>
                <w:color w:val="000000"/>
                <w:sz w:val="28"/>
                <w:szCs w:val="28"/>
                <w:lang w:val="en-US" w:eastAsia="zh-CN"/>
              </w:rPr>
              <w:t>持续</w:t>
            </w:r>
            <w:r>
              <w:rPr>
                <w:rFonts w:hint="eastAsia" w:ascii="仿宋" w:hAnsi="仿宋" w:eastAsia="仿宋" w:cs="仿宋"/>
                <w:color w:val="000000"/>
                <w:sz w:val="28"/>
                <w:szCs w:val="28"/>
              </w:rPr>
              <w:t>发展；中医药推动健康服务向预防为主、绿色温和转型，减少了过度医疗带来的资源浪费与环境负担</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绿色发展观为中医药产业现代化升级提供了方向指引，推动其在种植、生产、流通、服务全链条践行生态保护要求。</w:t>
            </w:r>
          </w:p>
          <w:p w14:paraId="6239788A">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6.青年人能在学习中医药的过程中深入感受“天人合一”“辨证施治”的哲学思想，拓宽文化视野，增强对中华优秀传统文化的认同感与自豪感；同时，中医药文化中“医者仁心”的职业操守、精益求精的工匠精神，能滋养青年人的品德修养，培养责任担当；在中医药产业快速现代化、国际化的当下，把握行业发展机遇，积累跨领域知识储备，为未来职业发展开辟多元路径。</w:t>
            </w:r>
          </w:p>
        </w:tc>
      </w:tr>
      <w:tr w14:paraId="26AC1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831" w:type="dxa"/>
            <w:vAlign w:val="center"/>
          </w:tcPr>
          <w:p w14:paraId="11A57A1B">
            <w:pPr>
              <w:spacing w:line="560" w:lineRule="exact"/>
              <w:jc w:val="center"/>
              <w:rPr>
                <w:rFonts w:hint="eastAsia" w:ascii="仿宋_GB2312" w:eastAsia="仿宋_GB2312"/>
                <w:color w:val="000000"/>
                <w:sz w:val="28"/>
                <w:szCs w:val="28"/>
              </w:rPr>
            </w:pPr>
            <w:bookmarkStart w:id="0" w:name="_GoBack" w:colFirst="0" w:colLast="0"/>
            <w:r>
              <w:rPr>
                <w:rFonts w:hint="eastAsia" w:ascii="仿宋_GB2312" w:eastAsia="仿宋_GB2312"/>
                <w:color w:val="000000"/>
                <w:sz w:val="28"/>
                <w:szCs w:val="28"/>
              </w:rPr>
              <w:t>可</w:t>
            </w:r>
          </w:p>
          <w:p w14:paraId="144A0BF8">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行</w:t>
            </w:r>
          </w:p>
          <w:p w14:paraId="77B9D85F">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性</w:t>
            </w:r>
          </w:p>
          <w:p w14:paraId="2FAEA5F4">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分</w:t>
            </w:r>
          </w:p>
          <w:p w14:paraId="5A215BC7">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析</w:t>
            </w:r>
          </w:p>
        </w:tc>
        <w:tc>
          <w:tcPr>
            <w:tcW w:w="7386" w:type="dxa"/>
            <w:gridSpan w:val="4"/>
          </w:tcPr>
          <w:p w14:paraId="4CCACED6">
            <w:pPr>
              <w:spacing w:line="560" w:lineRule="exact"/>
              <w:jc w:val="left"/>
              <w:rPr>
                <w:rFonts w:hint="eastAsia" w:ascii="仿宋" w:eastAsia="仿宋" w:cs="仿宋"/>
                <w:sz w:val="28"/>
                <w:szCs w:val="28"/>
                <w:shd w:val="clear" w:color="auto" w:fill="FFFFFF"/>
              </w:rPr>
            </w:pPr>
            <w:r>
              <w:rPr>
                <w:rFonts w:hint="eastAsia" w:ascii="仿宋" w:eastAsia="仿宋" w:cs="仿宋"/>
                <w:sz w:val="28"/>
                <w:szCs w:val="28"/>
                <w:shd w:val="clear" w:color="auto" w:fill="FFFFFF"/>
              </w:rPr>
              <w:t>1.</w:t>
            </w:r>
            <w:r>
              <w:rPr>
                <w:rFonts w:hint="eastAsia" w:ascii="仿宋" w:eastAsia="仿宋" w:cs="仿宋"/>
                <w:color w:val="000000"/>
                <w:sz w:val="28"/>
                <w:szCs w:val="28"/>
              </w:rPr>
              <w:t>主题选定：中医药</w:t>
            </w:r>
            <w:r>
              <w:rPr>
                <w:rFonts w:hint="eastAsia" w:ascii="仿宋" w:eastAsia="仿宋" w:cs="仿宋"/>
                <w:sz w:val="28"/>
                <w:szCs w:val="28"/>
                <w:shd w:val="clear" w:color="auto" w:fill="FFFFFF"/>
              </w:rPr>
              <w:t>具有丰富的文化内涵，是中华民族传统文化的重要部分，涵盖多方面内容可传承与挖掘。中医药文化中的养生智慧、哲学思想，既能满足青年人关注健康、提升生活品质的现实需求，又能增强团队凝聚力与文化认同感，同时契合团日活动“立德树人、文化育人”的核心目标，让青年人在互动体验中直观感受传统中医药的魅力，实现文化传承与思想引领的双重效果，兼具教育意义与可操作性。</w:t>
            </w:r>
          </w:p>
          <w:p w14:paraId="1B6DD703">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2.</w:t>
            </w:r>
            <w:r>
              <w:rPr>
                <w:rFonts w:hint="eastAsia" w:ascii="仿宋" w:eastAsia="仿宋" w:cs="仿宋"/>
                <w:sz w:val="28"/>
                <w:szCs w:val="28"/>
                <w:shd w:val="clear" w:color="auto" w:fill="FFFFFF"/>
              </w:rPr>
              <w:t>成员合作：由来自不同学科的支部合作，药学、基医、光电各有所长，发挥各自学科优势——药学与基础医学可在治疗诊断中应用中医药，推广中医药；光电技术被广泛应用于中医药成分研究，新药开发的进程中，形成“1+1+1&gt;3”的合力；不仅如此，核心成员提前破冰，不仅有助于在各支部内的动员，还在打团建中带领各位同学互相认识，加快同学间友好联系的建立；</w:t>
            </w:r>
          </w:p>
          <w:p w14:paraId="5FDE5DD0">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3.</w:t>
            </w:r>
            <w:r>
              <w:rPr>
                <w:rFonts w:hint="eastAsia" w:ascii="仿宋" w:eastAsia="仿宋" w:cs="仿宋"/>
                <w:sz w:val="28"/>
                <w:szCs w:val="28"/>
                <w:shd w:val="clear" w:color="auto" w:fill="FFFFFF"/>
              </w:rPr>
              <w:t>活动设计：活动围绕青年人关注的健康需求与文化兴趣，设计中药标本辨识、简易推拿手法教学、养生茶制作、中医科普短视频拍摄等轻量化互动环节，无需复杂场地与专业设备，校园内的教室、社团活动室或户外场地均可开展，物料可选用常见中药材、养生食材及基础工具，成本可控且易获取。同时，可依托高校中医专业师资、本地中医院资源或线上科普平台获取专业支持，既保障活动的科学性，又能通过“动手实践+知识分享”的模式调动青年参与积极性。</w:t>
            </w:r>
          </w:p>
          <w:p w14:paraId="70C1D897">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4.</w:t>
            </w:r>
            <w:r>
              <w:rPr>
                <w:rFonts w:hint="eastAsia" w:ascii="仿宋" w:eastAsia="仿宋" w:cs="仿宋"/>
                <w:color w:val="000000"/>
                <w:sz w:val="28"/>
                <w:szCs w:val="28"/>
              </w:rPr>
              <w:t>群众基础:中医药作为扎根民间的传统健康智慧，早已融入百姓日常生活，从日常养生茶、食疗配方到感冒调理、关节养护的常用方剂，广大群众对其实用价值有着深切体会和普遍认同，这种源于生活的熟悉感和信赖感，让不同年龄、职业的群体都能对活动产生天然共鸣。加之近年来中医药在公共卫生事件中发挥的重要作用，进一步提升了其在群众中的认可度，广大人民群众对中医药文化的了解意愿和参与热情持续高涨，让活动更易获得群众的支持与响应。</w:t>
            </w:r>
          </w:p>
          <w:p w14:paraId="579F0580">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5.</w:t>
            </w:r>
            <w:r>
              <w:rPr>
                <w:rFonts w:hint="eastAsia" w:ascii="仿宋" w:eastAsia="仿宋" w:cs="仿宋"/>
                <w:color w:val="000000"/>
                <w:sz w:val="28"/>
                <w:szCs w:val="28"/>
              </w:rPr>
              <w:t>团队合作：生活在中医药的国度之中，团队已经具备了对中医药文化的基本素养与了解，有利于在传统文化之上添枝加叶，进而产生丰富多彩的中医药文化，团队合作的方式因而可以更加容易，团队要注意对于中医药文化不同方面的阐释，进而迸发出不同的文化内涵。</w:t>
            </w:r>
          </w:p>
          <w:p w14:paraId="0AA2E807">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6.</w:t>
            </w:r>
            <w:r>
              <w:rPr>
                <w:rFonts w:hint="eastAsia" w:ascii="仿宋" w:eastAsia="仿宋" w:cs="仿宋"/>
                <w:color w:val="000000"/>
                <w:sz w:val="28"/>
                <w:szCs w:val="28"/>
              </w:rPr>
              <w:t>地域分布：中医药在全国各地有着深厚的地域基础与蓬勃的创新生态，道地药材产区与特色研发企业遍布全域：广东的广藿香、陈皮滋养了广州白云山等企业在糖尿病药物等领域的研发突破，湖北健民传承“叶开泰”老字号开展古方新研与数字化智造，湖南谷医堂深耕“互联网+中医药”构建智慧健康服务体系，甘肃和盛堂制药则让特色中药产品走向国际。这种依托地域资源禀赋形成的药材分布与企业创新布局，既能快速吸引各地人群关注，又为不同地域中医药技术、产品与文化的交流互鉴搭建了桥梁，助力传统技艺与现代创新的碰撞融合，推动中医药产业在守正创新中实现高质量发展。</w:t>
            </w:r>
          </w:p>
        </w:tc>
      </w:tr>
      <w:bookmarkEnd w:id="0"/>
    </w:tbl>
    <w:p w14:paraId="32F87FC1">
      <w:pPr>
        <w:spacing w:line="560" w:lineRule="exact"/>
        <w:rPr>
          <w:rFonts w:hint="eastAsia"/>
        </w:rPr>
      </w:pPr>
      <w:r>
        <w:br w:type="page"/>
      </w:r>
    </w:p>
    <w:tbl>
      <w:tblPr>
        <w:tblStyle w:val="4"/>
        <w:tblpPr w:leftFromText="180" w:rightFromText="180" w:vertAnchor="page" w:horzAnchor="margin" w:tblpX="59" w:tblpY="1582"/>
        <w:tblOverlap w:val="never"/>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
        <w:gridCol w:w="1574"/>
        <w:gridCol w:w="1559"/>
        <w:gridCol w:w="1560"/>
        <w:gridCol w:w="2693"/>
      </w:tblGrid>
      <w:tr w14:paraId="03A6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31" w:type="dxa"/>
            <w:vMerge w:val="restart"/>
            <w:vAlign w:val="center"/>
          </w:tcPr>
          <w:p w14:paraId="0249DA0C">
            <w:pPr>
              <w:spacing w:line="560" w:lineRule="exact"/>
              <w:jc w:val="center"/>
              <w:rPr>
                <w:rFonts w:hint="eastAsia" w:ascii="仿宋_GB2312" w:eastAsia="仿宋_GB2312"/>
                <w:color w:val="000000"/>
                <w:sz w:val="28"/>
                <w:szCs w:val="28"/>
              </w:rPr>
            </w:pPr>
          </w:p>
        </w:tc>
        <w:tc>
          <w:tcPr>
            <w:tcW w:w="1574" w:type="dxa"/>
          </w:tcPr>
          <w:p w14:paraId="663EA40C">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活动主题</w:t>
            </w:r>
          </w:p>
        </w:tc>
        <w:tc>
          <w:tcPr>
            <w:tcW w:w="1559" w:type="dxa"/>
          </w:tcPr>
          <w:p w14:paraId="0C284837">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时 间</w:t>
            </w:r>
          </w:p>
        </w:tc>
        <w:tc>
          <w:tcPr>
            <w:tcW w:w="1560" w:type="dxa"/>
          </w:tcPr>
          <w:p w14:paraId="00672706">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地 点</w:t>
            </w:r>
          </w:p>
        </w:tc>
        <w:tc>
          <w:tcPr>
            <w:tcW w:w="2693" w:type="dxa"/>
          </w:tcPr>
          <w:p w14:paraId="1050B7C5">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活动形式</w:t>
            </w:r>
          </w:p>
        </w:tc>
      </w:tr>
      <w:tr w14:paraId="4EEC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3077E5F4">
            <w:pPr>
              <w:spacing w:line="560" w:lineRule="exact"/>
              <w:jc w:val="center"/>
              <w:rPr>
                <w:rFonts w:hint="eastAsia" w:ascii="仿宋_GB2312" w:eastAsia="仿宋_GB2312"/>
                <w:color w:val="000000"/>
                <w:sz w:val="28"/>
                <w:szCs w:val="28"/>
              </w:rPr>
            </w:pPr>
          </w:p>
        </w:tc>
        <w:tc>
          <w:tcPr>
            <w:tcW w:w="1574" w:type="dxa"/>
          </w:tcPr>
          <w:p w14:paraId="02BD9F36">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“医”路同行，“药”向“光”明——破冰活动</w:t>
            </w:r>
          </w:p>
        </w:tc>
        <w:tc>
          <w:tcPr>
            <w:tcW w:w="1559" w:type="dxa"/>
          </w:tcPr>
          <w:p w14:paraId="3F9190F1">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12月7日</w:t>
            </w:r>
          </w:p>
        </w:tc>
        <w:tc>
          <w:tcPr>
            <w:tcW w:w="1560" w:type="dxa"/>
          </w:tcPr>
          <w:p w14:paraId="4E723B7A">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韵苑活动中心</w:t>
            </w:r>
          </w:p>
        </w:tc>
        <w:tc>
          <w:tcPr>
            <w:tcW w:w="2693" w:type="dxa"/>
          </w:tcPr>
          <w:p w14:paraId="0F60A492">
            <w:pPr>
              <w:pStyle w:val="10"/>
              <w:numPr>
                <w:ilvl w:val="0"/>
                <w:numId w:val="1"/>
              </w:numPr>
              <w:ind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自我介绍、破冰</w:t>
            </w:r>
          </w:p>
          <w:p w14:paraId="09962213">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负责人讲解特色团日的主题、活动内容</w:t>
            </w:r>
          </w:p>
          <w:p w14:paraId="5FA5ECBF">
            <w:pPr>
              <w:pStyle w:val="10"/>
              <w:numPr>
                <w:ilvl w:val="0"/>
                <w:numId w:val="1"/>
              </w:numPr>
              <w:ind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进行特色团日的分组与工作布置</w:t>
            </w:r>
          </w:p>
          <w:p w14:paraId="7B783DEA">
            <w:pPr>
              <w:pStyle w:val="10"/>
              <w:numPr>
                <w:ilvl w:val="0"/>
                <w:numId w:val="1"/>
              </w:numPr>
              <w:ind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玩小游戏，加快彼此熟悉</w:t>
            </w:r>
          </w:p>
        </w:tc>
      </w:tr>
      <w:tr w14:paraId="0E20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56B024E1">
            <w:pPr>
              <w:spacing w:line="560" w:lineRule="exact"/>
              <w:jc w:val="center"/>
              <w:rPr>
                <w:rFonts w:hint="eastAsia"/>
              </w:rPr>
            </w:pPr>
          </w:p>
        </w:tc>
        <w:tc>
          <w:tcPr>
            <w:tcW w:w="1574" w:type="dxa"/>
          </w:tcPr>
          <w:p w14:paraId="3E83ACFF">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建立多方位宣传体系</w:t>
            </w:r>
          </w:p>
        </w:tc>
        <w:tc>
          <w:tcPr>
            <w:tcW w:w="1559" w:type="dxa"/>
          </w:tcPr>
          <w:p w14:paraId="5C9083A2">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长期</w:t>
            </w:r>
          </w:p>
        </w:tc>
        <w:tc>
          <w:tcPr>
            <w:tcW w:w="1560" w:type="dxa"/>
          </w:tcPr>
          <w:p w14:paraId="2F16C541">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线上</w:t>
            </w:r>
          </w:p>
        </w:tc>
        <w:tc>
          <w:tcPr>
            <w:tcW w:w="2693" w:type="dxa"/>
          </w:tcPr>
          <w:p w14:paraId="179A1B91">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开通微信公众号、QQ空间、抖音、b站等主流媒体，向更广大群体宣传中医药文化</w:t>
            </w:r>
          </w:p>
        </w:tc>
      </w:tr>
      <w:tr w14:paraId="3B89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08F8CEC3">
            <w:pPr>
              <w:spacing w:line="560" w:lineRule="exact"/>
              <w:jc w:val="center"/>
              <w:rPr>
                <w:rFonts w:hint="eastAsia" w:ascii="仿宋_GB2312" w:eastAsia="仿宋_GB2312"/>
                <w:color w:val="000000"/>
                <w:sz w:val="28"/>
                <w:szCs w:val="28"/>
              </w:rPr>
            </w:pPr>
          </w:p>
        </w:tc>
        <w:tc>
          <w:tcPr>
            <w:tcW w:w="1574" w:type="dxa"/>
          </w:tcPr>
          <w:p w14:paraId="4C20C2FD">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“医”见匠心，“药”定传承，“光”启新篇——参观中医药博物馆</w:t>
            </w:r>
          </w:p>
        </w:tc>
        <w:tc>
          <w:tcPr>
            <w:tcW w:w="1559" w:type="dxa"/>
          </w:tcPr>
          <w:p w14:paraId="1FE54DF0">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暂定</w:t>
            </w:r>
          </w:p>
        </w:tc>
        <w:tc>
          <w:tcPr>
            <w:tcW w:w="1560" w:type="dxa"/>
          </w:tcPr>
          <w:p w14:paraId="3AEBA47D">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博物馆</w:t>
            </w:r>
          </w:p>
        </w:tc>
        <w:tc>
          <w:tcPr>
            <w:tcW w:w="2693" w:type="dxa"/>
          </w:tcPr>
          <w:p w14:paraId="7D122101">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学习中医药的起源与发展脉络，增强文化自信</w:t>
            </w:r>
          </w:p>
        </w:tc>
      </w:tr>
      <w:tr w14:paraId="0899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1609B027">
            <w:pPr>
              <w:spacing w:line="560" w:lineRule="exact"/>
              <w:jc w:val="center"/>
              <w:rPr>
                <w:rFonts w:hint="eastAsia" w:ascii="仿宋_GB2312" w:eastAsia="仿宋_GB2312"/>
                <w:color w:val="000000"/>
                <w:sz w:val="28"/>
                <w:szCs w:val="28"/>
              </w:rPr>
            </w:pPr>
          </w:p>
        </w:tc>
        <w:tc>
          <w:tcPr>
            <w:tcW w:w="1574" w:type="dxa"/>
          </w:tcPr>
          <w:p w14:paraId="0CB7938D">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多渠道采访调查</w:t>
            </w:r>
          </w:p>
        </w:tc>
        <w:tc>
          <w:tcPr>
            <w:tcW w:w="1559" w:type="dxa"/>
          </w:tcPr>
          <w:p w14:paraId="79A4315B">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2025年12月</w:t>
            </w:r>
          </w:p>
        </w:tc>
        <w:tc>
          <w:tcPr>
            <w:tcW w:w="1560" w:type="dxa"/>
          </w:tcPr>
          <w:p w14:paraId="2B06658C">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线上线下</w:t>
            </w:r>
          </w:p>
          <w:p w14:paraId="2F727E82">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校内校外</w:t>
            </w:r>
          </w:p>
        </w:tc>
        <w:tc>
          <w:tcPr>
            <w:tcW w:w="2693" w:type="dxa"/>
          </w:tcPr>
          <w:p w14:paraId="566C021D">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了解各类群体对于中医药文化和现代中医药发展的了解程度，提高后续活动的针对性</w:t>
            </w:r>
          </w:p>
        </w:tc>
      </w:tr>
      <w:tr w14:paraId="6B44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15C89CA2">
            <w:pPr>
              <w:spacing w:line="560" w:lineRule="exact"/>
              <w:jc w:val="center"/>
              <w:rPr>
                <w:rFonts w:hint="eastAsia" w:ascii="仿宋_GB2312" w:eastAsia="仿宋_GB2312"/>
                <w:color w:val="000000"/>
                <w:sz w:val="28"/>
                <w:szCs w:val="28"/>
              </w:rPr>
            </w:pPr>
          </w:p>
        </w:tc>
        <w:tc>
          <w:tcPr>
            <w:tcW w:w="1574" w:type="dxa"/>
          </w:tcPr>
          <w:p w14:paraId="4C2DB769">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特团风采嘉年华（路演）</w:t>
            </w:r>
          </w:p>
        </w:tc>
        <w:tc>
          <w:tcPr>
            <w:tcW w:w="1559" w:type="dxa"/>
          </w:tcPr>
          <w:p w14:paraId="10E218B4">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2025年12月中旬</w:t>
            </w:r>
          </w:p>
        </w:tc>
        <w:tc>
          <w:tcPr>
            <w:tcW w:w="1560" w:type="dxa"/>
          </w:tcPr>
          <w:p w14:paraId="4CDA77E6">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按照学校安排</w:t>
            </w:r>
          </w:p>
        </w:tc>
        <w:tc>
          <w:tcPr>
            <w:tcW w:w="2693" w:type="dxa"/>
          </w:tcPr>
          <w:p w14:paraId="74368978">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线上线下共同宣传，创新形式提高宣传活动的趣味性和效果</w:t>
            </w:r>
          </w:p>
        </w:tc>
      </w:tr>
      <w:tr w14:paraId="76E0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45F03783">
            <w:pPr>
              <w:spacing w:line="560" w:lineRule="exact"/>
              <w:jc w:val="center"/>
              <w:rPr>
                <w:rFonts w:hint="eastAsia" w:ascii="仿宋_GB2312" w:eastAsia="仿宋_GB2312"/>
                <w:color w:val="000000"/>
                <w:sz w:val="28"/>
                <w:szCs w:val="28"/>
              </w:rPr>
            </w:pPr>
          </w:p>
        </w:tc>
        <w:tc>
          <w:tcPr>
            <w:tcW w:w="1574" w:type="dxa"/>
          </w:tcPr>
          <w:p w14:paraId="2B8E899D">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专家领航</w:t>
            </w:r>
          </w:p>
        </w:tc>
        <w:tc>
          <w:tcPr>
            <w:tcW w:w="1559" w:type="dxa"/>
          </w:tcPr>
          <w:p w14:paraId="16420A87">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2025年12月-2026年1月</w:t>
            </w:r>
          </w:p>
        </w:tc>
        <w:tc>
          <w:tcPr>
            <w:tcW w:w="1560" w:type="dxa"/>
          </w:tcPr>
          <w:p w14:paraId="7E9AA33F">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华中科技大学</w:t>
            </w:r>
          </w:p>
        </w:tc>
        <w:tc>
          <w:tcPr>
            <w:tcW w:w="2693" w:type="dxa"/>
          </w:tcPr>
          <w:p w14:paraId="0D75AFA9">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邀请中医药领域的专家讲述该领域近些年来的发展成果以及未来的发展方向</w:t>
            </w:r>
          </w:p>
        </w:tc>
      </w:tr>
      <w:tr w14:paraId="04F3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223F48E4">
            <w:pPr>
              <w:spacing w:line="560" w:lineRule="exact"/>
              <w:jc w:val="center"/>
              <w:rPr>
                <w:rFonts w:hint="eastAsia" w:ascii="仿宋_GB2312" w:eastAsia="仿宋_GB2312"/>
                <w:color w:val="000000"/>
                <w:sz w:val="28"/>
                <w:szCs w:val="28"/>
              </w:rPr>
            </w:pPr>
          </w:p>
        </w:tc>
        <w:tc>
          <w:tcPr>
            <w:tcW w:w="1574" w:type="dxa"/>
          </w:tcPr>
          <w:p w14:paraId="70DC20AD">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特团分享交流会</w:t>
            </w:r>
          </w:p>
        </w:tc>
        <w:tc>
          <w:tcPr>
            <w:tcW w:w="1559" w:type="dxa"/>
          </w:tcPr>
          <w:p w14:paraId="47DE827C">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2025年底</w:t>
            </w:r>
          </w:p>
        </w:tc>
        <w:tc>
          <w:tcPr>
            <w:tcW w:w="1560" w:type="dxa"/>
          </w:tcPr>
          <w:p w14:paraId="3E40AFC8">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按学校安排</w:t>
            </w:r>
          </w:p>
        </w:tc>
        <w:tc>
          <w:tcPr>
            <w:tcW w:w="2693" w:type="dxa"/>
          </w:tcPr>
          <w:p w14:paraId="52A4523D">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分享已经开展的活动</w:t>
            </w:r>
          </w:p>
        </w:tc>
      </w:tr>
      <w:tr w14:paraId="1884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17E7B2B1">
            <w:pPr>
              <w:spacing w:line="560" w:lineRule="exact"/>
              <w:jc w:val="center"/>
              <w:rPr>
                <w:rFonts w:hint="eastAsia" w:ascii="仿宋_GB2312" w:eastAsia="仿宋_GB2312"/>
                <w:color w:val="000000"/>
                <w:sz w:val="28"/>
                <w:szCs w:val="28"/>
              </w:rPr>
            </w:pPr>
          </w:p>
        </w:tc>
        <w:tc>
          <w:tcPr>
            <w:tcW w:w="1574" w:type="dxa"/>
          </w:tcPr>
          <w:p w14:paraId="2EBEEAF9">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集体观影</w:t>
            </w:r>
          </w:p>
        </w:tc>
        <w:tc>
          <w:tcPr>
            <w:tcW w:w="1559" w:type="dxa"/>
          </w:tcPr>
          <w:p w14:paraId="6D490E8C">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2025年12月</w:t>
            </w:r>
          </w:p>
        </w:tc>
        <w:tc>
          <w:tcPr>
            <w:tcW w:w="1560" w:type="dxa"/>
          </w:tcPr>
          <w:p w14:paraId="26C004A0">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华中科技大学</w:t>
            </w:r>
          </w:p>
        </w:tc>
        <w:tc>
          <w:tcPr>
            <w:tcW w:w="2693" w:type="dxa"/>
          </w:tcPr>
          <w:p w14:paraId="2F7E3A07">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集体观看中医药为主题的电影或纪录片</w:t>
            </w:r>
          </w:p>
        </w:tc>
      </w:tr>
      <w:tr w14:paraId="26E4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403C7925">
            <w:pPr>
              <w:spacing w:line="560" w:lineRule="exact"/>
              <w:jc w:val="center"/>
              <w:rPr>
                <w:rFonts w:hint="eastAsia" w:ascii="仿宋_GB2312" w:eastAsia="仿宋_GB2312"/>
                <w:color w:val="000000"/>
                <w:sz w:val="28"/>
                <w:szCs w:val="28"/>
              </w:rPr>
            </w:pPr>
          </w:p>
        </w:tc>
        <w:tc>
          <w:tcPr>
            <w:tcW w:w="1574" w:type="dxa"/>
          </w:tcPr>
          <w:p w14:paraId="6B0055B5">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基地实践</w:t>
            </w:r>
          </w:p>
        </w:tc>
        <w:tc>
          <w:tcPr>
            <w:tcW w:w="1559" w:type="dxa"/>
          </w:tcPr>
          <w:p w14:paraId="06E4F5B9">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寒假期间</w:t>
            </w:r>
          </w:p>
        </w:tc>
        <w:tc>
          <w:tcPr>
            <w:tcW w:w="1560" w:type="dxa"/>
          </w:tcPr>
          <w:p w14:paraId="18B35C27">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中医药种植基地</w:t>
            </w:r>
          </w:p>
        </w:tc>
        <w:tc>
          <w:tcPr>
            <w:tcW w:w="2693" w:type="dxa"/>
          </w:tcPr>
          <w:p w14:paraId="33E30282">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亲身感受并了解现代化中医药生产，学习相关种植经验</w:t>
            </w:r>
          </w:p>
        </w:tc>
      </w:tr>
      <w:tr w14:paraId="695B5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16DAC893">
            <w:pPr>
              <w:spacing w:line="560" w:lineRule="exact"/>
              <w:jc w:val="center"/>
              <w:rPr>
                <w:rFonts w:hint="eastAsia" w:ascii="仿宋_GB2312" w:eastAsia="仿宋_GB2312"/>
                <w:color w:val="000000"/>
                <w:sz w:val="28"/>
                <w:szCs w:val="28"/>
              </w:rPr>
            </w:pPr>
          </w:p>
        </w:tc>
        <w:tc>
          <w:tcPr>
            <w:tcW w:w="1574" w:type="dxa"/>
          </w:tcPr>
          <w:p w14:paraId="624D6739">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青暖冬日</w:t>
            </w:r>
          </w:p>
        </w:tc>
        <w:tc>
          <w:tcPr>
            <w:tcW w:w="1559" w:type="dxa"/>
          </w:tcPr>
          <w:p w14:paraId="4E7DDBE9">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寒假期间</w:t>
            </w:r>
          </w:p>
        </w:tc>
        <w:tc>
          <w:tcPr>
            <w:tcW w:w="1560" w:type="dxa"/>
          </w:tcPr>
          <w:p w14:paraId="4D6A4A31">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支部成员家乡</w:t>
            </w:r>
          </w:p>
        </w:tc>
        <w:tc>
          <w:tcPr>
            <w:tcW w:w="2693" w:type="dxa"/>
          </w:tcPr>
          <w:p w14:paraId="01AD1DC2">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了解当地的特色中医药历史、产业、文化等</w:t>
            </w:r>
          </w:p>
        </w:tc>
      </w:tr>
      <w:tr w14:paraId="0AF1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70B6E3E1">
            <w:pPr>
              <w:spacing w:line="560" w:lineRule="exact"/>
              <w:jc w:val="center"/>
              <w:rPr>
                <w:rFonts w:hint="eastAsia" w:ascii="仿宋_GB2312" w:eastAsia="仿宋_GB2312"/>
                <w:color w:val="000000"/>
                <w:sz w:val="28"/>
                <w:szCs w:val="28"/>
              </w:rPr>
            </w:pPr>
          </w:p>
        </w:tc>
        <w:tc>
          <w:tcPr>
            <w:tcW w:w="1574" w:type="dxa"/>
          </w:tcPr>
          <w:p w14:paraId="3351202E">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岐黄之医，草木之药，文明之光——社区开展中医药科普</w:t>
            </w:r>
          </w:p>
        </w:tc>
        <w:tc>
          <w:tcPr>
            <w:tcW w:w="1559" w:type="dxa"/>
          </w:tcPr>
          <w:p w14:paraId="4A4C5ED9">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2026年1-2月</w:t>
            </w:r>
          </w:p>
        </w:tc>
        <w:tc>
          <w:tcPr>
            <w:tcW w:w="1560" w:type="dxa"/>
          </w:tcPr>
          <w:p w14:paraId="6EDF9860">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社区</w:t>
            </w:r>
          </w:p>
        </w:tc>
        <w:tc>
          <w:tcPr>
            <w:tcW w:w="2693" w:type="dxa"/>
          </w:tcPr>
          <w:p w14:paraId="12E58A26">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向中老年群体科普各类中草药的功效以及如何正确科学地养生</w:t>
            </w:r>
          </w:p>
        </w:tc>
      </w:tr>
      <w:tr w14:paraId="3A2B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6D5E7828">
            <w:pPr>
              <w:spacing w:line="560" w:lineRule="exact"/>
              <w:jc w:val="center"/>
              <w:rPr>
                <w:rFonts w:hint="eastAsia" w:ascii="仿宋_GB2312" w:eastAsia="仿宋_GB2312"/>
                <w:color w:val="000000"/>
                <w:sz w:val="28"/>
                <w:szCs w:val="28"/>
              </w:rPr>
            </w:pPr>
          </w:p>
        </w:tc>
        <w:tc>
          <w:tcPr>
            <w:tcW w:w="1574" w:type="dxa"/>
          </w:tcPr>
          <w:p w14:paraId="5C347F0E">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企业参观</w:t>
            </w:r>
          </w:p>
        </w:tc>
        <w:tc>
          <w:tcPr>
            <w:tcW w:w="1559" w:type="dxa"/>
          </w:tcPr>
          <w:p w14:paraId="64FB24E9">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2026年1月</w:t>
            </w:r>
          </w:p>
        </w:tc>
        <w:tc>
          <w:tcPr>
            <w:tcW w:w="1560" w:type="dxa"/>
          </w:tcPr>
          <w:p w14:paraId="11C3DCE8">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中医药企业</w:t>
            </w:r>
          </w:p>
        </w:tc>
        <w:tc>
          <w:tcPr>
            <w:tcW w:w="2693" w:type="dxa"/>
          </w:tcPr>
          <w:p w14:paraId="21FE7717">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实地参观现代中医药企业，了解生产流程</w:t>
            </w:r>
          </w:p>
        </w:tc>
      </w:tr>
      <w:tr w14:paraId="3D63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30EBD1FD">
            <w:pPr>
              <w:spacing w:line="560" w:lineRule="exact"/>
              <w:jc w:val="center"/>
              <w:rPr>
                <w:rFonts w:hint="eastAsia" w:ascii="仿宋_GB2312" w:eastAsia="仿宋_GB2312"/>
                <w:color w:val="000000"/>
                <w:sz w:val="28"/>
                <w:szCs w:val="28"/>
              </w:rPr>
            </w:pPr>
          </w:p>
        </w:tc>
        <w:tc>
          <w:tcPr>
            <w:tcW w:w="1574" w:type="dxa"/>
          </w:tcPr>
          <w:p w14:paraId="61E392B4">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科研科创</w:t>
            </w:r>
          </w:p>
        </w:tc>
        <w:tc>
          <w:tcPr>
            <w:tcW w:w="1559" w:type="dxa"/>
          </w:tcPr>
          <w:p w14:paraId="727FDB47">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长期</w:t>
            </w:r>
          </w:p>
        </w:tc>
        <w:tc>
          <w:tcPr>
            <w:tcW w:w="1560" w:type="dxa"/>
          </w:tcPr>
          <w:p w14:paraId="2E0C3578">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科创组</w:t>
            </w:r>
          </w:p>
        </w:tc>
        <w:tc>
          <w:tcPr>
            <w:tcW w:w="2693" w:type="dxa"/>
          </w:tcPr>
          <w:p w14:paraId="256C0E0B">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围绕“如何弘扬中医药文化，促进中医药创新性发展”进行研讨</w:t>
            </w:r>
          </w:p>
        </w:tc>
      </w:tr>
      <w:tr w14:paraId="3EE4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2D44C946">
            <w:pPr>
              <w:spacing w:line="560" w:lineRule="exact"/>
              <w:jc w:val="center"/>
              <w:rPr>
                <w:rFonts w:hint="eastAsia" w:ascii="仿宋_GB2312" w:eastAsia="仿宋_GB2312"/>
                <w:color w:val="000000"/>
                <w:sz w:val="28"/>
                <w:szCs w:val="28"/>
              </w:rPr>
            </w:pPr>
          </w:p>
        </w:tc>
        <w:tc>
          <w:tcPr>
            <w:tcW w:w="1574" w:type="dxa"/>
          </w:tcPr>
          <w:p w14:paraId="42EA4D0F">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走向世界</w:t>
            </w:r>
          </w:p>
        </w:tc>
        <w:tc>
          <w:tcPr>
            <w:tcW w:w="1559" w:type="dxa"/>
          </w:tcPr>
          <w:p w14:paraId="319B0EFE">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2026年3月</w:t>
            </w:r>
          </w:p>
        </w:tc>
        <w:tc>
          <w:tcPr>
            <w:tcW w:w="1560" w:type="dxa"/>
          </w:tcPr>
          <w:p w14:paraId="249AF83F">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华中科技大学、线上</w:t>
            </w:r>
          </w:p>
        </w:tc>
        <w:tc>
          <w:tcPr>
            <w:tcW w:w="2693" w:type="dxa"/>
          </w:tcPr>
          <w:p w14:paraId="683257C9">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1.邀请校内的留学生或外教参加，向他们科普中国的中医药</w:t>
            </w:r>
          </w:p>
          <w:p w14:paraId="6E5E9E1F">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2.制作外语科普视频线上传播</w:t>
            </w:r>
          </w:p>
        </w:tc>
      </w:tr>
      <w:tr w14:paraId="3BB5A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7212BBB4">
            <w:pPr>
              <w:spacing w:line="560" w:lineRule="exact"/>
              <w:jc w:val="center"/>
              <w:rPr>
                <w:rFonts w:hint="eastAsia" w:ascii="仿宋_GB2312" w:eastAsia="仿宋_GB2312"/>
                <w:color w:val="000000"/>
                <w:sz w:val="28"/>
                <w:szCs w:val="28"/>
              </w:rPr>
            </w:pPr>
          </w:p>
        </w:tc>
        <w:tc>
          <w:tcPr>
            <w:tcW w:w="1574" w:type="dxa"/>
          </w:tcPr>
          <w:p w14:paraId="53B7CA8C">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科研报告会</w:t>
            </w:r>
          </w:p>
        </w:tc>
        <w:tc>
          <w:tcPr>
            <w:tcW w:w="1559" w:type="dxa"/>
          </w:tcPr>
          <w:p w14:paraId="4CE234E6">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2025年3月</w:t>
            </w:r>
          </w:p>
        </w:tc>
        <w:tc>
          <w:tcPr>
            <w:tcW w:w="1560" w:type="dxa"/>
          </w:tcPr>
          <w:p w14:paraId="1D1445CE">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光电大楼</w:t>
            </w:r>
          </w:p>
        </w:tc>
        <w:tc>
          <w:tcPr>
            <w:tcW w:w="2693" w:type="dxa"/>
          </w:tcPr>
          <w:p w14:paraId="2DC6B90B">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共同汇报科创研究成果——中医药的现代化发展</w:t>
            </w:r>
          </w:p>
        </w:tc>
      </w:tr>
      <w:tr w14:paraId="6AD87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41D0CAFB">
            <w:pPr>
              <w:spacing w:line="560" w:lineRule="exact"/>
              <w:jc w:val="center"/>
              <w:rPr>
                <w:rFonts w:hint="eastAsia" w:ascii="仿宋_GB2312" w:eastAsia="仿宋_GB2312"/>
                <w:color w:val="000000"/>
                <w:sz w:val="28"/>
                <w:szCs w:val="28"/>
              </w:rPr>
            </w:pPr>
          </w:p>
        </w:tc>
        <w:tc>
          <w:tcPr>
            <w:tcW w:w="1574" w:type="dxa"/>
          </w:tcPr>
          <w:p w14:paraId="0207C6F8">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总结大会</w:t>
            </w:r>
          </w:p>
        </w:tc>
        <w:tc>
          <w:tcPr>
            <w:tcW w:w="1559" w:type="dxa"/>
          </w:tcPr>
          <w:p w14:paraId="7F68CC04">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2026年4月</w:t>
            </w:r>
          </w:p>
        </w:tc>
        <w:tc>
          <w:tcPr>
            <w:tcW w:w="1560" w:type="dxa"/>
          </w:tcPr>
          <w:p w14:paraId="7267B0EF">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光电大楼</w:t>
            </w:r>
          </w:p>
        </w:tc>
        <w:tc>
          <w:tcPr>
            <w:tcW w:w="2693" w:type="dxa"/>
          </w:tcPr>
          <w:p w14:paraId="0EFBBEEF">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各位团支书总结特团的活动与成果</w:t>
            </w:r>
          </w:p>
        </w:tc>
      </w:tr>
      <w:tr w14:paraId="3A47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0E89914E">
            <w:pPr>
              <w:spacing w:line="560" w:lineRule="exact"/>
              <w:jc w:val="center"/>
              <w:rPr>
                <w:rFonts w:hint="eastAsia" w:ascii="仿宋_GB2312" w:eastAsia="仿宋_GB2312"/>
                <w:color w:val="000000"/>
                <w:sz w:val="28"/>
                <w:szCs w:val="28"/>
              </w:rPr>
            </w:pPr>
          </w:p>
        </w:tc>
        <w:tc>
          <w:tcPr>
            <w:tcW w:w="1574" w:type="dxa"/>
          </w:tcPr>
          <w:p w14:paraId="4E981D19">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总结书撰写</w:t>
            </w:r>
          </w:p>
        </w:tc>
        <w:tc>
          <w:tcPr>
            <w:tcW w:w="1559" w:type="dxa"/>
          </w:tcPr>
          <w:p w14:paraId="3CA13807">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2025年4月</w:t>
            </w:r>
          </w:p>
        </w:tc>
        <w:tc>
          <w:tcPr>
            <w:tcW w:w="1560" w:type="dxa"/>
          </w:tcPr>
          <w:p w14:paraId="0FEF2642">
            <w:pPr>
              <w:jc w:val="center"/>
              <w:rPr>
                <w:rFonts w:hint="eastAsia" w:ascii="仿宋" w:hAnsi="仿宋" w:eastAsia="仿宋" w:cs="仿宋"/>
                <w:color w:val="000000"/>
                <w:sz w:val="28"/>
                <w:szCs w:val="28"/>
              </w:rPr>
            </w:pPr>
          </w:p>
        </w:tc>
        <w:tc>
          <w:tcPr>
            <w:tcW w:w="2693" w:type="dxa"/>
          </w:tcPr>
          <w:p w14:paraId="649B70EA">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撰写特团总结书</w:t>
            </w:r>
          </w:p>
        </w:tc>
      </w:tr>
      <w:tr w14:paraId="3CA8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31" w:type="dxa"/>
            <w:vMerge w:val="continue"/>
          </w:tcPr>
          <w:p w14:paraId="6B5F2239">
            <w:pPr>
              <w:spacing w:line="560" w:lineRule="exact"/>
              <w:jc w:val="center"/>
              <w:rPr>
                <w:rFonts w:hint="eastAsia" w:ascii="仿宋_GB2312" w:eastAsia="仿宋_GB2312"/>
                <w:color w:val="000000"/>
                <w:sz w:val="28"/>
                <w:szCs w:val="28"/>
              </w:rPr>
            </w:pPr>
          </w:p>
        </w:tc>
        <w:tc>
          <w:tcPr>
            <w:tcW w:w="1574" w:type="dxa"/>
          </w:tcPr>
          <w:p w14:paraId="3BB0C5E4">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汇报演出、答辩</w:t>
            </w:r>
          </w:p>
        </w:tc>
        <w:tc>
          <w:tcPr>
            <w:tcW w:w="1559" w:type="dxa"/>
          </w:tcPr>
          <w:p w14:paraId="07A485F0">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2025年5月</w:t>
            </w:r>
          </w:p>
        </w:tc>
        <w:tc>
          <w:tcPr>
            <w:tcW w:w="1560" w:type="dxa"/>
          </w:tcPr>
          <w:p w14:paraId="4DB2EDF3">
            <w:pPr>
              <w:jc w:val="center"/>
              <w:rPr>
                <w:rFonts w:hint="eastAsia" w:ascii="仿宋" w:hAnsi="仿宋" w:eastAsia="仿宋" w:cs="仿宋"/>
                <w:color w:val="000000"/>
                <w:sz w:val="28"/>
                <w:szCs w:val="28"/>
              </w:rPr>
            </w:pPr>
          </w:p>
        </w:tc>
        <w:tc>
          <w:tcPr>
            <w:tcW w:w="2693" w:type="dxa"/>
          </w:tcPr>
          <w:p w14:paraId="645F7218">
            <w:pPr>
              <w:jc w:val="center"/>
              <w:rPr>
                <w:rFonts w:hint="eastAsia" w:ascii="仿宋" w:hAnsi="仿宋" w:eastAsia="仿宋" w:cs="仿宋"/>
                <w:color w:val="000000"/>
                <w:sz w:val="28"/>
                <w:szCs w:val="28"/>
              </w:rPr>
            </w:pPr>
            <w:r>
              <w:rPr>
                <w:rFonts w:hint="eastAsia" w:ascii="仿宋" w:hAnsi="仿宋" w:eastAsia="仿宋" w:cs="仿宋"/>
                <w:color w:val="000000"/>
                <w:sz w:val="28"/>
                <w:szCs w:val="28"/>
              </w:rPr>
              <w:t>情景剧、朗诵等形式</w:t>
            </w:r>
          </w:p>
        </w:tc>
      </w:tr>
    </w:tbl>
    <w:p w14:paraId="38D9A0D1">
      <w:pPr>
        <w:spacing w:line="560" w:lineRule="exact"/>
        <w:rPr>
          <w:rFonts w:hint="eastAsia"/>
        </w:rPr>
      </w:pPr>
      <w:r>
        <w:br w:type="page"/>
      </w:r>
    </w:p>
    <w:tbl>
      <w:tblPr>
        <w:tblStyle w:val="4"/>
        <w:tblpPr w:leftFromText="180" w:rightFromText="180" w:vertAnchor="page" w:horzAnchor="margin" w:tblpX="59" w:tblpY="1658"/>
        <w:tblOverlap w:val="never"/>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
        <w:gridCol w:w="7386"/>
      </w:tblGrid>
      <w:tr w14:paraId="4C524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trPr>
        <w:tc>
          <w:tcPr>
            <w:tcW w:w="831" w:type="dxa"/>
            <w:vAlign w:val="center"/>
          </w:tcPr>
          <w:p w14:paraId="0FFB35F7">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活</w:t>
            </w:r>
          </w:p>
          <w:p w14:paraId="3351F583">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动</w:t>
            </w:r>
          </w:p>
          <w:p w14:paraId="6A445F94">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亮</w:t>
            </w:r>
          </w:p>
          <w:p w14:paraId="5C13AB6C">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点</w:t>
            </w:r>
          </w:p>
        </w:tc>
        <w:tc>
          <w:tcPr>
            <w:tcW w:w="7386" w:type="dxa"/>
          </w:tcPr>
          <w:p w14:paraId="79A43555">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一、传统文化与青年表达深度融合</w:t>
            </w:r>
          </w:p>
          <w:p w14:paraId="2B9EFBAF">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本次活动围绕中医药文化精髓进行内容设计，将传统文化中的理念、技艺和价值诉求以更符合当代大学生审美和认知方式的语言重新呈现。通过故事化叙述、情境式体验、视觉符号化呈现等创新表达方式，让传统文化跳脱单一的科普框架，真正进入青年视野，成为青年愿意理解、愿意分享的生活文化。实现从“被动接受”到“主动共鸣”的转变，推动中医药文化在青年群体中焕发新活力。</w:t>
            </w:r>
          </w:p>
          <w:p w14:paraId="0D2A4184">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二、聚焦沉浸式体验，强化文化代入感与获得感</w:t>
            </w:r>
          </w:p>
          <w:p w14:paraId="29202FBC">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活动不再停留在“展示文化”“讲述文化”的表层，而是通过多感官、多维度的体验式设计，让参与者在触摸、嗅闻、操作、体验中直观感受中医药文化的独特魅力。通过营造“沉浸式医馆氛围”、布景道具还原、中草药香味场景化呈现等方式，让团员在仿佛“走入文化”的过程中获得真实的代入感与参与感。沉浸式体验有效提升活动的吸引力，增强团员对中医药文化的感性理解与心理连接。</w:t>
            </w:r>
          </w:p>
          <w:p w14:paraId="52D3FD69">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三、融合乡村振兴和绿色发展理念，凸显时代价值方向</w:t>
            </w:r>
          </w:p>
          <w:p w14:paraId="29AD953D">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活动特别关注中医药在乡村振兴战略和绿色发展理念中的现实作用，从中草药资源、生态农业模式、地方产业发展到自然健康生活方式等多维度展示中医药的时代意义。通过文化讲解、案例展示等方式，引导青年理解中医药不仅是传统文化，更是促进产业发展、生态保护与乡村繁荣的重要力量。活动将国家战略与青年使命结合，使团员在文化体验中体会责任与担当，增强活动的思想深度。</w:t>
            </w:r>
          </w:p>
          <w:p w14:paraId="034314D0">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四、传统医学与现代科技结合，突出创新性与科学性</w:t>
            </w:r>
          </w:p>
          <w:p w14:paraId="3F822643">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活动将传统中医药知识与数字化手段、可视化技术、AI辅助工具等创新元素相结合，使传统医学从难理解、难接近的古典体系转变为具象、可视、可操作的青年友好型知识。通过技术增强展示方式，帮助团员以科学视角认识中医药文化的逻辑体系和健康理念，减少误解与隔阂。科技赋能让传统医学不再“神秘化”，而是与现代生活产生更紧密的联系，体现文化传承与时代创新的并行路径。</w:t>
            </w:r>
          </w:p>
          <w:p w14:paraId="7F02A2BE">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五、以青年健康需求为导向，强化“自我关怀”与健康教育价值</w:t>
            </w:r>
          </w:p>
          <w:p w14:paraId="232A5207">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中医药文化中蕴含的体质调养、四时养生、情志调适等理念，与当代大学生面临的压力、熬夜、亚健康等问题高度契合。活动将青年常见健康状况作为切入点，通过轻负担、易理解的方式帮助团员提升自我健康管理能力。引导大学生关注自身身体状态与生活方式，培养健康意识、规律作息和科学养生观念，使团日活动真正做到贴近青年、服务青年、关怀青年，实现文化教育与健康赋能的双重价值。</w:t>
            </w:r>
          </w:p>
          <w:p w14:paraId="2999ABE3">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六、多维互动机制提升参与度，强化组织凝聚力与归属感</w:t>
            </w:r>
          </w:p>
          <w:p w14:paraId="0763F909">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活动设计注重团员之间的互动与协作，以任务式体验、合作式闯关、共创式表达等形式增强团员之间的交流、配合与共同参与感。在体验中促进团员互帮互助，在互动中深化组织归属感，让活动真正成为增强团支部凝聚力的过程。通过让每位团员都有参与、有表达、有收获，实现团组织建设的“润物细无声”，提升青年对集体的认同度与情感连接。</w:t>
            </w:r>
          </w:p>
          <w:p w14:paraId="21559262">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七、形成可传播、可延续的文化成果，构建长期影响力</w:t>
            </w:r>
          </w:p>
          <w:p w14:paraId="6ADD7159">
            <w:pPr>
              <w:spacing w:line="560" w:lineRule="exact"/>
              <w:jc w:val="left"/>
              <w:rPr>
                <w:rFonts w:hint="eastAsia" w:ascii="仿宋_GB2312" w:eastAsia="仿宋_GB2312"/>
                <w:color w:val="000000"/>
                <w:sz w:val="28"/>
                <w:szCs w:val="28"/>
              </w:rPr>
            </w:pPr>
            <w:r>
              <w:rPr>
                <w:rFonts w:hint="eastAsia" w:ascii="仿宋" w:hAnsi="仿宋" w:eastAsia="仿宋" w:cs="仿宋"/>
                <w:color w:val="000000"/>
                <w:sz w:val="28"/>
                <w:szCs w:val="28"/>
              </w:rPr>
              <w:t>活动在设计中注重成果输出与文化传播，通过可视化呈现、文化符号打造、活动纪念物留存、社交媒体友好内容等方式增强影响力，使中医药主题不止于一次活动，而能形成持续传播的校园文化现象。成果包括影像记录、青年健康倡议、文化科普材料、支部文化符号等形式，具备复用和推广价值，可扩展为长期文化项目或团支部品牌活动，提升活动的社会效应和文化引领能力。</w:t>
            </w:r>
          </w:p>
        </w:tc>
      </w:tr>
      <w:tr w14:paraId="1DED7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8" w:hRule="atLeast"/>
        </w:trPr>
        <w:tc>
          <w:tcPr>
            <w:tcW w:w="831" w:type="dxa"/>
            <w:vAlign w:val="center"/>
          </w:tcPr>
          <w:p w14:paraId="0AD0896C">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宣</w:t>
            </w:r>
          </w:p>
          <w:p w14:paraId="7D34B86A">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传</w:t>
            </w:r>
          </w:p>
          <w:p w14:paraId="6A93C5F2">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形</w:t>
            </w:r>
          </w:p>
          <w:p w14:paraId="421DD677">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式</w:t>
            </w:r>
          </w:p>
        </w:tc>
        <w:tc>
          <w:tcPr>
            <w:tcW w:w="7386" w:type="dxa"/>
          </w:tcPr>
          <w:p w14:paraId="4C0BFAE0">
            <w:pPr>
              <w:spacing w:line="560" w:lineRule="exact"/>
              <w:rPr>
                <w:rFonts w:hint="eastAsia" w:ascii="仿宋" w:hAnsi="仿宋" w:eastAsia="仿宋" w:cs="仿宋"/>
                <w:color w:val="000000"/>
                <w:sz w:val="28"/>
                <w:szCs w:val="28"/>
              </w:rPr>
            </w:pPr>
            <w:r>
              <w:rPr>
                <w:rFonts w:hint="eastAsia" w:ascii="仿宋" w:hAnsi="仿宋" w:eastAsia="仿宋" w:cs="仿宋"/>
                <w:color w:val="000000"/>
                <w:sz w:val="28"/>
                <w:szCs w:val="28"/>
              </w:rPr>
              <w:t>宣传形式要分为线上媒体宣传和线下宣传两种方式，者有机结合、相互渗透。</w:t>
            </w:r>
          </w:p>
          <w:p w14:paraId="02A430DB">
            <w:pPr>
              <w:spacing w:line="560" w:lineRule="exact"/>
              <w:jc w:val="left"/>
              <w:rPr>
                <w:rFonts w:hint="eastAsia" w:ascii="仿宋" w:hAnsi="仿宋" w:eastAsia="仿宋" w:cs="仿宋"/>
                <w:color w:val="000000"/>
                <w:sz w:val="28"/>
                <w:szCs w:val="28"/>
              </w:rPr>
            </w:pPr>
            <w:r>
              <w:rPr>
                <w:rFonts w:hint="eastAsia" w:ascii="仿宋" w:hAnsi="仿宋" w:eastAsia="仿宋" w:cs="仿宋"/>
                <w:color w:val="000000"/>
                <w:sz w:val="28"/>
                <w:szCs w:val="28"/>
              </w:rPr>
              <w:t>1.线上部分主要采取在主流社交媒体平台及短视频平台上发布特团活动相关内容来宣传推广，共有微信公众号、QQ空间、抖音账号和小红书账号四个部分。微信公众号负责定期发表本联合支部活动推文，附有活动的照片，用生动活泼的语言文字吸引大众的关注，增加对传统的中医药文化以及科技赋能的了解与热情；QQ空间作为当代大学生使用频率较高的平台，其中推出活动的宣传海报或文段等，准备了奖品的活动还会有转发集赞领奖品的环境，提高我们活动的曝光度，使老师同学对活动进一步了解；抖音账号和小红书账号分别从视频和图文两种形势着手宣传，短视频短小精悍、充满活力，图文内容丰富、吸人眼球，高活动的知名度，进一步宣传我们的中医药文化。</w:t>
            </w:r>
          </w:p>
          <w:p w14:paraId="0DB96F3F">
            <w:pPr>
              <w:spacing w:line="560" w:lineRule="exact"/>
              <w:jc w:val="left"/>
              <w:rPr>
                <w:rFonts w:hint="eastAsia" w:ascii="仿宋_GB2312" w:eastAsia="仿宋_GB2312"/>
                <w:color w:val="000000"/>
                <w:sz w:val="28"/>
                <w:szCs w:val="28"/>
              </w:rPr>
            </w:pPr>
            <w:r>
              <w:rPr>
                <w:rFonts w:hint="eastAsia" w:ascii="仿宋" w:hAnsi="仿宋" w:eastAsia="仿宋" w:cs="仿宋"/>
                <w:color w:val="000000"/>
                <w:sz w:val="28"/>
                <w:szCs w:val="28"/>
              </w:rPr>
              <w:t>2、线下宣传的形式更加多样，除了各联合支部都参加的路演活动，还有多渠道的采访调查、社区中医药科普、中医药文化沙龙等各种的活动，比如“药食同源”生活场景推广，我们将联动社区、校园开设养生体验课，教授中药茶饮调制、药膳甜品制作等实用技能，同步发布“中医药养生打卡地图”，引导公众走进线下体验点，让传统智慧融入日常，来宣传中医药文化以及与科技的结合。通过此次活动让更多的人了解中医药文化的历史、传承和发展，增强文化认同感。</w:t>
            </w:r>
          </w:p>
        </w:tc>
      </w:tr>
      <w:tr w14:paraId="1E954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4" w:hRule="atLeast"/>
        </w:trPr>
        <w:tc>
          <w:tcPr>
            <w:tcW w:w="831" w:type="dxa"/>
            <w:vAlign w:val="center"/>
          </w:tcPr>
          <w:p w14:paraId="3A5978D6">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经</w:t>
            </w:r>
          </w:p>
          <w:p w14:paraId="157D82D6">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费</w:t>
            </w:r>
          </w:p>
          <w:p w14:paraId="0B10FE19">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预</w:t>
            </w:r>
          </w:p>
          <w:p w14:paraId="25F0BAF5">
            <w:pPr>
              <w:spacing w:line="560" w:lineRule="exact"/>
              <w:jc w:val="center"/>
              <w:rPr>
                <w:rFonts w:hint="eastAsia" w:ascii="仿宋_GB2312" w:eastAsia="仿宋_GB2312"/>
                <w:color w:val="000000"/>
                <w:sz w:val="28"/>
                <w:szCs w:val="28"/>
              </w:rPr>
            </w:pPr>
            <w:r>
              <w:rPr>
                <w:rFonts w:hint="eastAsia" w:ascii="仿宋_GB2312" w:eastAsia="仿宋_GB2312"/>
                <w:color w:val="000000"/>
                <w:sz w:val="28"/>
                <w:szCs w:val="28"/>
              </w:rPr>
              <w:t>算</w:t>
            </w:r>
          </w:p>
        </w:tc>
        <w:tc>
          <w:tcPr>
            <w:tcW w:w="7386" w:type="dxa"/>
          </w:tcPr>
          <w:p w14:paraId="7ED8301A">
            <w:pPr>
              <w:tabs>
                <w:tab w:val="left" w:pos="312"/>
              </w:tabs>
              <w:jc w:val="center"/>
              <w:rPr>
                <w:rFonts w:hint="eastAsia" w:ascii="仿宋" w:hAnsi="仿宋" w:eastAsia="仿宋" w:cs="仿宋"/>
                <w:color w:val="000000"/>
                <w:sz w:val="28"/>
                <w:szCs w:val="28"/>
              </w:rPr>
            </w:pPr>
            <w:r>
              <w:rPr>
                <w:rFonts w:hint="eastAsia" w:ascii="仿宋" w:hAnsi="仿宋" w:eastAsia="仿宋" w:cs="仿宋"/>
                <w:color w:val="000000"/>
                <w:sz w:val="28"/>
                <w:szCs w:val="28"/>
              </w:rPr>
              <w:t>横幅制作 50元</w:t>
            </w:r>
          </w:p>
          <w:p w14:paraId="46BA49BC">
            <w:pPr>
              <w:tabs>
                <w:tab w:val="left" w:pos="312"/>
              </w:tabs>
              <w:jc w:val="center"/>
              <w:rPr>
                <w:rFonts w:hint="eastAsia" w:ascii="仿宋" w:hAnsi="仿宋" w:eastAsia="仿宋" w:cs="仿宋"/>
                <w:color w:val="000000"/>
                <w:sz w:val="28"/>
                <w:szCs w:val="28"/>
              </w:rPr>
            </w:pPr>
            <w:r>
              <w:rPr>
                <w:rFonts w:hint="eastAsia" w:ascii="仿宋" w:hAnsi="仿宋" w:eastAsia="仿宋" w:cs="仿宋"/>
                <w:color w:val="000000"/>
                <w:sz w:val="28"/>
                <w:szCs w:val="28"/>
              </w:rPr>
              <w:t>海报、宣传单制作 150元</w:t>
            </w:r>
          </w:p>
          <w:p w14:paraId="73AB8789">
            <w:pPr>
              <w:tabs>
                <w:tab w:val="left" w:pos="312"/>
              </w:tabs>
              <w:jc w:val="center"/>
              <w:rPr>
                <w:rFonts w:hint="eastAsia" w:ascii="仿宋" w:hAnsi="仿宋" w:eastAsia="仿宋" w:cs="仿宋"/>
                <w:color w:val="000000"/>
                <w:sz w:val="28"/>
                <w:szCs w:val="28"/>
              </w:rPr>
            </w:pPr>
            <w:r>
              <w:rPr>
                <w:rFonts w:hint="eastAsia" w:ascii="仿宋" w:hAnsi="仿宋" w:eastAsia="仿宋" w:cs="仿宋"/>
                <w:color w:val="000000"/>
                <w:sz w:val="28"/>
                <w:szCs w:val="28"/>
              </w:rPr>
              <w:t>破冰活动 100元</w:t>
            </w:r>
          </w:p>
          <w:p w14:paraId="167B9599">
            <w:pPr>
              <w:tabs>
                <w:tab w:val="left" w:pos="312"/>
              </w:tabs>
              <w:jc w:val="center"/>
              <w:rPr>
                <w:rFonts w:hint="eastAsia" w:ascii="仿宋" w:hAnsi="仿宋" w:eastAsia="仿宋" w:cs="仿宋"/>
                <w:color w:val="000000"/>
                <w:sz w:val="28"/>
                <w:szCs w:val="28"/>
              </w:rPr>
            </w:pPr>
            <w:r>
              <w:rPr>
                <w:rFonts w:hint="eastAsia" w:ascii="仿宋" w:hAnsi="仿宋" w:eastAsia="仿宋" w:cs="仿宋"/>
                <w:color w:val="000000"/>
                <w:sz w:val="28"/>
                <w:szCs w:val="28"/>
              </w:rPr>
              <w:t>路演道具租用及购买150元</w:t>
            </w:r>
          </w:p>
          <w:p w14:paraId="1E26C7C1">
            <w:pPr>
              <w:tabs>
                <w:tab w:val="left" w:pos="312"/>
              </w:tabs>
              <w:jc w:val="center"/>
              <w:rPr>
                <w:rFonts w:hint="eastAsia" w:ascii="仿宋" w:hAnsi="仿宋" w:eastAsia="仿宋" w:cs="仿宋"/>
                <w:color w:val="000000"/>
                <w:sz w:val="28"/>
                <w:szCs w:val="28"/>
              </w:rPr>
            </w:pPr>
            <w:r>
              <w:rPr>
                <w:rFonts w:hint="eastAsia" w:ascii="仿宋" w:hAnsi="仿宋" w:eastAsia="仿宋" w:cs="仿宋"/>
                <w:color w:val="000000"/>
                <w:sz w:val="28"/>
                <w:szCs w:val="28"/>
              </w:rPr>
              <w:t>路演礼物购买 150元</w:t>
            </w:r>
          </w:p>
          <w:p w14:paraId="50CA014B">
            <w:pPr>
              <w:tabs>
                <w:tab w:val="left" w:pos="312"/>
              </w:tabs>
              <w:jc w:val="center"/>
              <w:rPr>
                <w:rFonts w:hint="eastAsia" w:ascii="仿宋" w:hAnsi="仿宋" w:eastAsia="仿宋" w:cs="仿宋"/>
                <w:color w:val="000000"/>
                <w:sz w:val="28"/>
                <w:szCs w:val="28"/>
              </w:rPr>
            </w:pPr>
            <w:r>
              <w:rPr>
                <w:rFonts w:hint="eastAsia" w:ascii="仿宋" w:hAnsi="仿宋" w:eastAsia="仿宋" w:cs="仿宋"/>
                <w:color w:val="000000"/>
                <w:sz w:val="28"/>
                <w:szCs w:val="28"/>
              </w:rPr>
              <w:t>基地实践 200元</w:t>
            </w:r>
          </w:p>
          <w:p w14:paraId="70A06D57">
            <w:pPr>
              <w:tabs>
                <w:tab w:val="left" w:pos="312"/>
              </w:tabs>
              <w:jc w:val="center"/>
              <w:rPr>
                <w:rFonts w:hint="eastAsia" w:ascii="仿宋" w:hAnsi="仿宋" w:eastAsia="仿宋" w:cs="仿宋"/>
                <w:color w:val="000000"/>
                <w:sz w:val="28"/>
                <w:szCs w:val="28"/>
              </w:rPr>
            </w:pPr>
            <w:r>
              <w:rPr>
                <w:rFonts w:hint="eastAsia" w:ascii="仿宋" w:hAnsi="仿宋" w:eastAsia="仿宋" w:cs="仿宋"/>
                <w:color w:val="000000"/>
                <w:sz w:val="28"/>
                <w:szCs w:val="28"/>
              </w:rPr>
              <w:t>文创产品征集 300元</w:t>
            </w:r>
          </w:p>
          <w:p w14:paraId="7F2CB5FC">
            <w:pPr>
              <w:tabs>
                <w:tab w:val="left" w:pos="312"/>
              </w:tabs>
              <w:jc w:val="center"/>
              <w:rPr>
                <w:rFonts w:hint="eastAsia" w:ascii="仿宋" w:hAnsi="仿宋" w:eastAsia="仿宋" w:cs="仿宋"/>
                <w:color w:val="000000"/>
                <w:sz w:val="28"/>
                <w:szCs w:val="28"/>
              </w:rPr>
            </w:pPr>
            <w:r>
              <w:rPr>
                <w:rFonts w:hint="eastAsia" w:ascii="仿宋" w:hAnsi="仿宋" w:eastAsia="仿宋" w:cs="仿宋"/>
                <w:color w:val="000000"/>
                <w:sz w:val="28"/>
                <w:szCs w:val="28"/>
              </w:rPr>
              <w:t>活动通勤200元</w:t>
            </w:r>
          </w:p>
          <w:p w14:paraId="714E7DC7">
            <w:pPr>
              <w:tabs>
                <w:tab w:val="left" w:pos="312"/>
              </w:tabs>
              <w:jc w:val="center"/>
              <w:rPr>
                <w:rFonts w:hint="eastAsia" w:ascii="仿宋" w:hAnsi="仿宋" w:eastAsia="仿宋" w:cs="仿宋"/>
                <w:color w:val="000000"/>
                <w:sz w:val="28"/>
                <w:szCs w:val="28"/>
              </w:rPr>
            </w:pPr>
            <w:r>
              <w:rPr>
                <w:rFonts w:hint="eastAsia" w:ascii="仿宋" w:hAnsi="仿宋" w:eastAsia="仿宋" w:cs="仿宋"/>
                <w:color w:val="000000"/>
                <w:sz w:val="28"/>
                <w:szCs w:val="28"/>
              </w:rPr>
              <w:t>应急后备100元</w:t>
            </w:r>
          </w:p>
          <w:p w14:paraId="6B3C3799">
            <w:pPr>
              <w:tabs>
                <w:tab w:val="left" w:pos="312"/>
              </w:tabs>
              <w:jc w:val="center"/>
              <w:rPr>
                <w:rFonts w:hint="eastAsia" w:ascii="仿宋" w:hAnsi="仿宋" w:eastAsia="仿宋" w:cs="仿宋"/>
                <w:color w:val="000000"/>
                <w:sz w:val="28"/>
                <w:szCs w:val="28"/>
              </w:rPr>
            </w:pPr>
            <w:r>
              <w:rPr>
                <w:rFonts w:hint="eastAsia" w:ascii="仿宋" w:hAnsi="仿宋" w:eastAsia="仿宋" w:cs="仿宋"/>
                <w:color w:val="000000"/>
                <w:sz w:val="28"/>
                <w:szCs w:val="28"/>
              </w:rPr>
              <w:t>总结答辩道具及服装租用200元</w:t>
            </w:r>
          </w:p>
          <w:p w14:paraId="1F41137C">
            <w:pPr>
              <w:spacing w:line="560" w:lineRule="exact"/>
              <w:jc w:val="center"/>
              <w:rPr>
                <w:rFonts w:hint="eastAsia" w:ascii="仿宋_GB2312" w:eastAsia="仿宋_GB2312"/>
                <w:color w:val="000000"/>
                <w:sz w:val="28"/>
                <w:szCs w:val="28"/>
              </w:rPr>
            </w:pPr>
            <w:r>
              <w:rPr>
                <w:rFonts w:hint="eastAsia" w:ascii="仿宋" w:hAnsi="仿宋" w:eastAsia="仿宋" w:cs="仿宋"/>
                <w:color w:val="000000"/>
                <w:sz w:val="28"/>
                <w:szCs w:val="28"/>
              </w:rPr>
              <w:t>共计1600元</w:t>
            </w:r>
          </w:p>
        </w:tc>
      </w:tr>
    </w:tbl>
    <w:p w14:paraId="5F7794E1">
      <w:pPr>
        <w:widowControl/>
        <w:spacing w:line="560" w:lineRule="exact"/>
        <w:jc w:val="left"/>
        <w:rPr>
          <w:rFonts w:hint="eastAsia" w:ascii="仿宋_GB2312" w:hAnsi="楷体" w:eastAsia="仿宋_GB2312"/>
          <w:sz w:val="28"/>
          <w:szCs w:val="28"/>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方正舒体"/>
    <w:panose1 w:val="00000000000000000000"/>
    <w:charset w:val="86"/>
    <w:family w:val="auto"/>
    <w:pitch w:val="default"/>
    <w:sig w:usb0="00000000" w:usb1="00000000" w:usb2="00000012" w:usb3="00000000" w:csb0="00040001" w:csb1="00000000"/>
    <w:embedRegular r:id="rId1" w:fontKey="{9D92D1B9-2F87-48AE-AA70-7AB8DFDB691E}"/>
  </w:font>
  <w:font w:name="仿宋_GB2312">
    <w:altName w:val="仿宋"/>
    <w:panose1 w:val="00000000000000000000"/>
    <w:charset w:val="86"/>
    <w:family w:val="modern"/>
    <w:pitch w:val="default"/>
    <w:sig w:usb0="00000000" w:usb1="00000000" w:usb2="00000000" w:usb3="00000000" w:csb0="00040000" w:csb1="00000000"/>
    <w:embedRegular r:id="rId2" w:fontKey="{A0CC4500-E8F9-4DE7-AFB5-06316125C54B}"/>
  </w:font>
  <w:font w:name="仿宋">
    <w:panose1 w:val="02010609060101010101"/>
    <w:charset w:val="86"/>
    <w:family w:val="modern"/>
    <w:pitch w:val="default"/>
    <w:sig w:usb0="800002BF" w:usb1="38CF7CFA" w:usb2="00000016" w:usb3="00000000" w:csb0="00040001" w:csb1="00000000"/>
    <w:embedRegular r:id="rId3" w:fontKey="{595C76C2-E083-443B-9875-04E6FBB5A723}"/>
  </w:font>
  <w:font w:name="楷体">
    <w:panose1 w:val="02010609060101010101"/>
    <w:charset w:val="86"/>
    <w:family w:val="modern"/>
    <w:pitch w:val="default"/>
    <w:sig w:usb0="800002BF" w:usb1="38CF7CFA" w:usb2="00000016" w:usb3="00000000" w:csb0="00040001" w:csb1="00000000"/>
    <w:embedRegular r:id="rId4" w:fontKey="{D61CB3E4-3DAA-45CE-9AF0-5DE80BD44440}"/>
  </w:font>
  <w:font w:name="华文细黑">
    <w:panose1 w:val="02010600040101010101"/>
    <w:charset w:val="86"/>
    <w:family w:val="auto"/>
    <w:pitch w:val="default"/>
    <w:sig w:usb0="00000287" w:usb1="080F0000" w:usb2="00000000" w:usb3="00000000" w:csb0="0004009F" w:csb1="DFD70000"/>
    <w:embedRegular r:id="rId5" w:fontKey="{FF07682F-FBA3-4425-A39F-889A34DC4A77}"/>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D6125">
    <w:pPr>
      <w:pStyle w:val="2"/>
      <w:jc w:val="center"/>
    </w:pPr>
    <w:r>
      <w:fldChar w:fldCharType="begin"/>
    </w:r>
    <w:r>
      <w:instrText xml:space="preserve">PAGE   \* MERGEFORMAT</w:instrText>
    </w:r>
    <w:r>
      <w:fldChar w:fldCharType="separate"/>
    </w:r>
    <w:r>
      <w:rPr>
        <w:lang w:val="zh-CN"/>
      </w:rPr>
      <w:t>2</w:t>
    </w:r>
    <w:r>
      <w:fldChar w:fldCharType="end"/>
    </w:r>
  </w:p>
  <w:p w14:paraId="66E497F0">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A5577">
    <w:pPr>
      <w:pStyle w:val="3"/>
      <w:rPr>
        <w:rFonts w:hint="eastAsia" w:ascii="仿宋_GB2312" w:hAnsi="华文细黑" w:eastAsia="仿宋_GB2312"/>
      </w:rPr>
    </w:pPr>
    <w:r>
      <w:rPr>
        <w:rFonts w:ascii="仿宋_GB2312" w:hAnsi="华文细黑" w:eastAsia="仿宋_GB2312"/>
      </w:rPr>
      <w:drawing>
        <wp:anchor distT="0" distB="0" distL="114300" distR="114300" simplePos="0" relativeHeight="251659264" behindDoc="0" locked="0" layoutInCell="1" allowOverlap="1">
          <wp:simplePos x="0" y="0"/>
          <wp:positionH relativeFrom="leftMargin">
            <wp:align>right</wp:align>
          </wp:positionH>
          <wp:positionV relativeFrom="page">
            <wp:posOffset>544195</wp:posOffset>
          </wp:positionV>
          <wp:extent cx="353060" cy="360045"/>
          <wp:effectExtent l="0" t="0" r="8890" b="1905"/>
          <wp:wrapNone/>
          <wp:docPr id="861647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47020" name="图片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353147" cy="360045"/>
                  </a:xfrm>
                  <a:prstGeom prst="rect">
                    <a:avLst/>
                  </a:prstGeom>
                  <a:noFill/>
                  <a:ln>
                    <a:noFill/>
                  </a:ln>
                </pic:spPr>
              </pic:pic>
            </a:graphicData>
          </a:graphic>
        </wp:anchor>
      </w:drawing>
    </w:r>
    <w:r>
      <w:rPr>
        <w:rFonts w:hint="eastAsia" w:ascii="仿宋_GB2312" w:hAnsi="华文细黑" w:eastAsia="仿宋_GB2312"/>
      </w:rPr>
      <w:t>共青团华中科技大学委员会组织部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72182A"/>
    <w:multiLevelType w:val="multilevel"/>
    <w:tmpl w:val="1F72182A"/>
    <w:lvl w:ilvl="0" w:tentative="0">
      <w:start w:val="1"/>
      <w:numFmt w:val="decimal"/>
      <w:lvlText w:val="%1."/>
      <w:lvlJc w:val="left"/>
      <w:pPr>
        <w:ind w:left="360" w:hanging="360"/>
      </w:pPr>
      <w:rPr>
        <w:rFonts w:hint="default" w:ascii="Calibri" w:hAnsi="Calibri" w:eastAsia="仿宋_GB2312" w:cs="Calibri"/>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BmMDRkYjUxZjgyM2QwYWU5N2M4MjI1NWVkOWU2ODkifQ=="/>
  </w:docVars>
  <w:rsids>
    <w:rsidRoot w:val="00871053"/>
    <w:rsid w:val="00054CD0"/>
    <w:rsid w:val="000A2AE5"/>
    <w:rsid w:val="000B08C1"/>
    <w:rsid w:val="0010578E"/>
    <w:rsid w:val="0012355C"/>
    <w:rsid w:val="00146EC4"/>
    <w:rsid w:val="001862E3"/>
    <w:rsid w:val="001A2792"/>
    <w:rsid w:val="001C2CD8"/>
    <w:rsid w:val="001F23CD"/>
    <w:rsid w:val="0026095B"/>
    <w:rsid w:val="00286127"/>
    <w:rsid w:val="00310FEA"/>
    <w:rsid w:val="00370FA0"/>
    <w:rsid w:val="003D32F4"/>
    <w:rsid w:val="003F7815"/>
    <w:rsid w:val="004A6B19"/>
    <w:rsid w:val="004B7F53"/>
    <w:rsid w:val="004D2145"/>
    <w:rsid w:val="00505A3D"/>
    <w:rsid w:val="00550CEC"/>
    <w:rsid w:val="00592C78"/>
    <w:rsid w:val="005B42AB"/>
    <w:rsid w:val="005E60A0"/>
    <w:rsid w:val="0060419E"/>
    <w:rsid w:val="00617446"/>
    <w:rsid w:val="00660206"/>
    <w:rsid w:val="006716E7"/>
    <w:rsid w:val="006D1E97"/>
    <w:rsid w:val="00731D97"/>
    <w:rsid w:val="00734683"/>
    <w:rsid w:val="007A2D33"/>
    <w:rsid w:val="007A5FCD"/>
    <w:rsid w:val="008008BB"/>
    <w:rsid w:val="00850574"/>
    <w:rsid w:val="00871053"/>
    <w:rsid w:val="00890610"/>
    <w:rsid w:val="008977D6"/>
    <w:rsid w:val="0094698A"/>
    <w:rsid w:val="009B67FE"/>
    <w:rsid w:val="00B22E98"/>
    <w:rsid w:val="00B7294D"/>
    <w:rsid w:val="00B91F7A"/>
    <w:rsid w:val="00C35A95"/>
    <w:rsid w:val="00C80BEC"/>
    <w:rsid w:val="00CD6F29"/>
    <w:rsid w:val="00CF14CB"/>
    <w:rsid w:val="00DC4EED"/>
    <w:rsid w:val="00DE3CCA"/>
    <w:rsid w:val="00EB27BE"/>
    <w:rsid w:val="00F14961"/>
    <w:rsid w:val="00FD797B"/>
    <w:rsid w:val="00FE4C6E"/>
    <w:rsid w:val="07D57174"/>
    <w:rsid w:val="09BA10BE"/>
    <w:rsid w:val="0A4A3E4A"/>
    <w:rsid w:val="0CE04711"/>
    <w:rsid w:val="0E340C9A"/>
    <w:rsid w:val="1376180B"/>
    <w:rsid w:val="156A5ECF"/>
    <w:rsid w:val="1B2B55D1"/>
    <w:rsid w:val="1EB94F32"/>
    <w:rsid w:val="202730EF"/>
    <w:rsid w:val="2E5E0C08"/>
    <w:rsid w:val="2FF02A76"/>
    <w:rsid w:val="306C7626"/>
    <w:rsid w:val="3921726F"/>
    <w:rsid w:val="4339622E"/>
    <w:rsid w:val="4D7F0CE1"/>
    <w:rsid w:val="52093468"/>
    <w:rsid w:val="55CA71B9"/>
    <w:rsid w:val="58FD7620"/>
    <w:rsid w:val="5ACC5286"/>
    <w:rsid w:val="5B42206F"/>
    <w:rsid w:val="5F796DF2"/>
    <w:rsid w:val="60A8607C"/>
    <w:rsid w:val="627C697C"/>
    <w:rsid w:val="63D15EFA"/>
    <w:rsid w:val="64343730"/>
    <w:rsid w:val="704B2DA9"/>
    <w:rsid w:val="754206C3"/>
    <w:rsid w:val="758B0D98"/>
    <w:rsid w:val="766308F1"/>
    <w:rsid w:val="7CBE2D25"/>
    <w:rsid w:val="7CCD37B6"/>
    <w:rsid w:val="7E8A5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rFonts w:ascii="Calibri" w:hAnsi="Calibri"/>
      <w:sz w:val="18"/>
      <w14:ligatures w14:val="standardContextual"/>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rFonts w:ascii="Calibri" w:hAnsi="Calibri" w:eastAsia="宋体"/>
      <w:sz w:val="18"/>
      <w14:ligatures w14:val="standardContextual"/>
    </w:rPr>
  </w:style>
  <w:style w:type="character" w:customStyle="1" w:styleId="6">
    <w:name w:val="页眉 字符"/>
    <w:link w:val="3"/>
    <w:qFormat/>
    <w:uiPriority w:val="0"/>
    <w:rPr>
      <w:rFonts w:ascii="Calibri" w:hAnsi="Calibri" w:eastAsia="宋体"/>
      <w:sz w:val="18"/>
    </w:rPr>
  </w:style>
  <w:style w:type="character" w:customStyle="1" w:styleId="7">
    <w:name w:val="页脚 字符1"/>
    <w:link w:val="2"/>
    <w:qFormat/>
    <w:uiPriority w:val="0"/>
    <w:rPr>
      <w:rFonts w:ascii="Calibri" w:hAnsi="Calibri"/>
      <w:sz w:val="18"/>
    </w:rPr>
  </w:style>
  <w:style w:type="character" w:customStyle="1" w:styleId="8">
    <w:name w:val="页眉 字符1"/>
    <w:basedOn w:val="5"/>
    <w:semiHidden/>
    <w:qFormat/>
    <w:uiPriority w:val="99"/>
    <w:rPr>
      <w:sz w:val="18"/>
      <w:szCs w:val="18"/>
      <w14:ligatures w14:val="none"/>
    </w:rPr>
  </w:style>
  <w:style w:type="character" w:customStyle="1" w:styleId="9">
    <w:name w:val="页脚 字符"/>
    <w:basedOn w:val="5"/>
    <w:semiHidden/>
    <w:qFormat/>
    <w:uiPriority w:val="99"/>
    <w:rPr>
      <w:sz w:val="18"/>
      <w:szCs w:val="18"/>
      <w14:ligatures w14:val="none"/>
    </w:rPr>
  </w:style>
  <w:style w:type="paragraph" w:styleId="10">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35519-7B67-4B84-91BB-8983E7F7E552}">
  <ds:schemaRefs/>
</ds:datastoreItem>
</file>

<file path=docProps/app.xml><?xml version="1.0" encoding="utf-8"?>
<Properties xmlns="http://schemas.openxmlformats.org/officeDocument/2006/extended-properties" xmlns:vt="http://schemas.openxmlformats.org/officeDocument/2006/docPropsVTypes">
  <Template>Normal</Template>
  <Pages>14</Pages>
  <Words>5351</Words>
  <Characters>5515</Characters>
  <Lines>263</Lines>
  <Paragraphs>168</Paragraphs>
  <TotalTime>5</TotalTime>
  <ScaleCrop>false</ScaleCrop>
  <LinksUpToDate>false</LinksUpToDate>
  <CharactersWithSpaces>5525</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2023-11-03T05:05:00Z</dcterms:created>
  <dc:creator>俊宸 陶</dc:creator>
  <cp:lastModifiedBy>马云马化腾是我儿子</cp:lastModifiedBy>
  <dcterms:modified xsi:type="dcterms:W3CDTF">2025-11-28T02:53:30Z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B187901A1D9046178DFE60506021D93C_13</vt:lpwstr>
  </property>
</Properties>
</file>