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24"/>
        </w:rPr>
        <w:t>UNIVERSIDAD NACIONAL AUTÓNOMA DE NICARAGUA, MANAGUA</w:t>
        <w:br/>
        <w:t>UNAN - MANAGUA</w:t>
      </w:r>
    </w:p>
    <w:p>
      <w:pPr>
        <w:spacing w:before="40" w:after="280"/>
        <w:jc w:val="center"/>
      </w:pPr>
      <w:r>
        <w:rPr>
          <w:rFonts w:ascii="Arial" w:hAnsi="Arial"/>
          <w:color w:val="5A6B7C"/>
          <w:sz w:val="20"/>
        </w:rPr>
        <w:t>FACULTAD DE CIENCIAS E INGENIERÍA | DEPARTAMENTO DE COMPUTACIÓN</w:t>
        <w:br/>
        <w:t>ASIGNATURA: BASE DE DATOS ANALÍTICA</w:t>
        <w:br/>
        <w:t>DOCENTE: PROF. SAMUEL ZELEDÓN MOLINA</w:t>
      </w:r>
    </w:p>
    <w:p>
      <w:pPr>
        <w:spacing w:before="160" w:after="120"/>
        <w:jc w:val="center"/>
      </w:pPr>
      <w:r>
        <w:rPr>
          <w:rFonts w:ascii="Arial" w:hAnsi="Arial"/>
          <w:b/>
          <w:color w:val="0B2545"/>
          <w:sz w:val="26"/>
        </w:rPr>
        <w:t>INFORME MAESTRO DE DIRECTRICES TÉCNICAS Y MATRIZ COMPARATIVA</w:t>
        <w:br/>
        <w:t>AUDIOS DE CLASE: MÁQUINAS VIRTUALES (IAAS) VS. SERVICIOS PAAS DE AZURE</w:t>
      </w:r>
    </w:p>
    <w:p>
      <w:pPr>
        <w:spacing w:after="360"/>
        <w:jc w:val="center"/>
      </w:pPr>
      <w:r>
        <w:rPr>
          <w:i/>
          <w:color w:val="7F8C8D"/>
          <w:sz w:val="19"/>
        </w:rPr>
        <w:t>Proyecto Clínico: Dental House 2026 | Arquitectura de BI, Seguridad de Redes y Cubos SSAS</w:t>
        <w:br/>
        <w:t>Fecha de Análisis: Octubre 2026 | Fuente: Audios 'samuel 1.mp4' y 'samuel 2.mp4'</w:t>
      </w:r>
    </w:p>
    <w:p>
      <w:pPr>
        <w:pStyle w:val="Heading1"/>
      </w:pPr>
      <w:r>
        <w:t>1. Resumen Ejecutivo y Objetivos del Análisis</w:t>
      </w:r>
    </w:p>
    <w:p>
      <w:pPr>
        <w:spacing w:after="160"/>
      </w:pPr>
      <w:r>
        <w:t>El presente documento técnico recopila, sintetiza y formaliza las directrices críticas emitidas por el Profesor Samuel Zeledón Molina durante las sesiones de retroalimentación de la asignatura Base de Datos Analítica. El contenido proviene del análisis auditivo detallado de dos grabaciones clave (samuel 1.mp4 y samuel 2.mp4), en las cuales se fijaron los criterios innegociables para la evaluación del proyecto integrado.</w:t>
      </w:r>
    </w:p>
    <w:p>
      <w:pPr>
        <w:spacing w:after="240"/>
      </w:pPr>
      <w:r>
        <w:t>Los requerimientos abordados impactan tres frentes cardinales del sistema Dental House 2026:</w:t>
        <w:br/>
        <w:t>1. La regla cuantitativa de Data Marts y Cubos SSAS (Mínimo innegociable de 2 Data Marts de Negocio + 1 Data Mart Técnico = 3 Cubos en total).</w:t>
        <w:br/>
        <w:t>2. El diseño del pipeline ETL para la telemetría capturada en MongoDB Atlas y su modelado dimensional.</w:t>
        <w:br/>
        <w:t>3. La directriz estricta de seguridad en redes y despliegue en la nube, con una advertencia categórica respecto a la exposición pública de puertos de base de datos.</w:t>
      </w:r>
    </w:p>
    <w:p>
      <w:pPr>
        <w:pStyle w:val="Heading1"/>
      </w:pPr>
      <w:r>
        <w:t>2. Desglose Exhaustivo de los Audios del Profesor Samuel</w:t>
      </w:r>
    </w:p>
    <w:p>
      <w:pPr>
        <w:pStyle w:val="Heading2"/>
      </w:pPr>
      <w:r>
        <w:t>2.1 Audio 1: Telemetría en MongoDB, ETL Técnico y la Regla de los Cubos</w:t>
      </w:r>
    </w:p>
    <w:p>
      <w:pPr>
        <w:spacing w:after="120"/>
      </w:pPr>
      <w:r>
        <w:t>En la primera grabación, el profesor Samuel establece los lineamientos de ingesta de telemetría y resuelve las dudas del grupo sobre el alcance multidimensional:</w:t>
      </w:r>
    </w:p>
    <w:p>
      <w:pPr>
        <w:pStyle w:val="ListBullet"/>
        <w:spacing w:before="40" w:after="80"/>
      </w:pPr>
      <w:r>
        <w:rPr>
          <w:b/>
          <w:color w:val="0B2545"/>
        </w:rPr>
        <w:t xml:space="preserve">Estrategia de Colecciones en MongoDB: </w:t>
      </w:r>
      <w:r>
        <w:t>El profesor plantea dos rutas: (a) almacenar toda la telemetría en una única colección centralizada que categorice los eventos mediante metadatos, o (b) segregar en colecciones separadas por cada tipo de flujo para luego fusionarlas en el ETL. Samuel señala que el modelo debe permitir clasificar la información eficazmente para no entorpecer la lectura posterior. En Dental House se adoptó con éxito la ruta de colección única centralizada ('system_logs').</w:t>
      </w:r>
    </w:p>
    <w:p>
      <w:pPr>
        <w:pStyle w:val="ListBullet"/>
        <w:spacing w:before="40" w:after="80"/>
      </w:pPr>
      <w:r>
        <w:rPr>
          <w:b/>
          <w:color w:val="0B2545"/>
        </w:rPr>
        <w:t xml:space="preserve">Modelado en Backend C# (.NET) vs. JSON Crudo: </w:t>
      </w:r>
      <w:r>
        <w:t>Se analizó si mapear los eventos con clases fuertemente tipadas en C# o almacenar directamente objetos BSON/JSON flexibles. Si se guarda un JSON crudo de parámetros y objetos sin mapear, se traslada toda la complejidad de parsing a la etapa de transformación del ETL. Dental House resolvió esto implementando un modelo híbrido estructurado (MongoSystemLog) que garantiza campos esenciales fuertemente tipados y captura excepciones dinámicas sin romper el esquema.</w:t>
      </w:r>
    </w:p>
    <w:p>
      <w:pPr>
        <w:pStyle w:val="ListBullet"/>
        <w:spacing w:before="40" w:after="80"/>
      </w:pPr>
      <w:r>
        <w:rPr>
          <w:b/>
          <w:color w:val="0B2545"/>
        </w:rPr>
        <w:t xml:space="preserve">Proceso de Calidad en el ETL Técnico: </w:t>
      </w:r>
      <w:r>
        <w:t>El paquete SSIS (o script de extracción) debe asumir la responsabilidad de clasificación, limpieza de ruido, tratamiento de valores nulos (mediante registros dummy/imputación controlada) y eliminación de falsos positivos (separando estrictamente errores 4xx del cliente de fallos 500 del servidor).</w:t>
      </w:r>
    </w:p>
    <w:p>
      <w:pPr>
        <w:pStyle w:val="ListBullet"/>
        <w:spacing w:before="40" w:after="80"/>
      </w:pPr>
      <w:r>
        <w:rPr>
          <w:b/>
          <w:color w:val="0B2545"/>
        </w:rPr>
        <w:t xml:space="preserve">Reportes y Dashboards Técnicos: </w:t>
      </w:r>
      <w:r>
        <w:t>El DW Técnico no busca responder preguntas comerciales, sino resolver inquietudes de ingeniería operativa: volumen de errores desplegados, rendimiento y, especialmente, un gráfico de líneas de tiempos promedio de respuesta (latencia) desglosado por Endpoint/Controlador o por método HTTP (GET, POST, PUT, DELETE, PATCH).</w:t>
      </w:r>
    </w:p>
    <w:p>
      <w:pPr>
        <w:pStyle w:val="ListBullet"/>
        <w:spacing w:before="40" w:after="80"/>
      </w:pPr>
      <w:r>
        <w:rPr>
          <w:b/>
          <w:color w:val="0B2545"/>
        </w:rPr>
        <w:t xml:space="preserve">La Regla de Oro de los Cubos SSAS: </w:t>
      </w:r>
      <w:r>
        <w:t>'Ustedes van a efectuar un cubo por cada Data Mart'. Samuel advierte que revisará la entrega contra el documento previo presentado por los estudiantes. Si un equipo había planteado más data marts y ahora desea eliminar uno por complejidad, tiene la venia del docente, pero con un PISO MÍNIMO ESTRICTO: 2 Data Marts de Negocio + 1 Data Mart Técnico = 3 Cubos SSAS como mínimo.</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200" w:type="dxa"/>
              <w:right w:w="180" w:type="dxa"/>
            </w:tcMar>
            <w:tcBorders>
              <w:top w:val="none"/>
              <w:left w:val="single" w:sz="36" w:space="0" w:color="1B365D"/>
              <w:bottom w:val="none"/>
              <w:right w:val="none"/>
            </w:tcBorders>
          </w:tcPr>
          <w:p>
            <w:pPr>
              <w:spacing w:before="40" w:after="80"/>
            </w:pPr>
            <w:r>
              <w:rPr>
                <w:rFonts w:ascii="Arial" w:hAnsi="Arial"/>
                <w:b/>
                <w:color w:val="1B365D"/>
                <w:sz w:val="21"/>
              </w:rPr>
              <w:t>🚨 JERARQUÍA CONCEPTUAL MAESTRA SEGÚN EL PROFESOR SAMUEL</w:t>
              <w:br/>
            </w:r>
            <w:r>
              <w:rPr>
                <w:rFonts w:ascii="Arial" w:hAnsi="Arial"/>
                <w:color w:val="222222"/>
                <w:sz w:val="19"/>
              </w:rPr>
              <w:t>Jerarquía Conceptual Aclarada por el Profesor:</w:t>
              <w:br/>
              <w:t>• Data Lake: Repositorio general donde descansan los datos en crudo.</w:t>
              <w:br/>
              <w:t>• Data Warehouse: Almacén analítico centralizado corporativo.</w:t>
              <w:br/>
              <w:t>• Data Mart: Almacén especializado asociado a un proceso de negocio específico (Ventas, Compras, etc.).</w:t>
              <w:br/>
              <w:t>• Cubo OLAP / SSAS: La entidad multidimensional generada para consultar cada Data Mart.</w:t>
              <w:br/>
              <w:t>• Pipeline ETL: El mecanismo de extracción, transformación y carga que nutre los Data Marts.</w:t>
            </w:r>
          </w:p>
        </w:tc>
      </w:tr>
    </w:tbl>
    <w:p>
      <w:pPr>
        <w:spacing w:after="80"/>
      </w:pPr>
    </w:p>
    <w:p>
      <w:pPr>
        <w:pStyle w:val="Heading2"/>
      </w:pPr>
      <w:r>
        <w:t>2.2 Audio 2: Despliegue en la Nube, Redes Segregadas y Advertencia de Puertos</w:t>
      </w:r>
    </w:p>
    <w:p>
      <w:pPr>
        <w:spacing w:after="120"/>
      </w:pPr>
      <w:r>
        <w:t>En la segunda grabación, la discusión gira en torno a la infraestructura de servidores y se emite la advertencia más rigurosa de toda la asignatura respecto a la seguridad de bases de datos:</w:t>
      </w:r>
    </w:p>
    <w:p>
      <w:pPr>
        <w:pStyle w:val="ListBullet"/>
        <w:spacing w:before="40" w:after="80"/>
      </w:pPr>
      <w:r>
        <w:rPr>
          <w:b/>
          <w:color w:val="0B2545"/>
        </w:rPr>
        <w:t xml:space="preserve">Despliegue Obligatorio en la Nube: </w:t>
      </w:r>
      <w:r>
        <w:t>Ambas bases de datos operacionales (Azure SQL transaccional y MongoDB Atlas de telemetría) deben estar desplegadas y accesibles en la nube. Asimismo, el Data Warehouse debe residir en un entorno accesible para procesar y consumir datos.</w:t>
      </w:r>
    </w:p>
    <w:p>
      <w:pPr>
        <w:pStyle w:val="ListBullet"/>
        <w:spacing w:before="40" w:after="80"/>
      </w:pPr>
      <w:r>
        <w:rPr>
          <w:b/>
          <w:color w:val="0B2545"/>
        </w:rPr>
        <w:t xml:space="preserve">El Dilema Arquitectónico (VM vs. Azure SQL / App Service): </w:t>
      </w:r>
      <w:r>
        <w:t>Samuel indaga directamente cómo están trabajando los grupos: si mediante máquinas virtuales (IaaS con Docker) o usando servicios administrados de Azure (PaaS: Azure SQL Database y App Service). Ante la intervención de Marcus confirmando el uso de Azure Database SQL y App Service, el profesor recalca las implicaciones de seguridad de cada modelo.</w:t>
      </w:r>
    </w:p>
    <w:p>
      <w:pPr>
        <w:pStyle w:val="ListBullet"/>
        <w:spacing w:before="40" w:after="80"/>
      </w:pPr>
      <w:r>
        <w:rPr>
          <w:b/>
          <w:color w:val="0B2545"/>
        </w:rPr>
        <w:t xml:space="preserve">Topología Exigida en Máquinas Virtuales (VM / Docker): </w:t>
      </w:r>
      <w:r>
        <w:t>En un entorno basado en máquinas virtuales, únicamente deben exponerse al exterior los puertos 80 (HTTP) y 443 (HTTPS). Todo el tráfico público DEBE ser recibido por un Servidor Web / Reverse Proxy (ej. Nginx), el cual se encarga de enrutar las peticiones internamente hacia los contenedores de la aplicación.</w:t>
      </w:r>
    </w:p>
    <w:p>
      <w:pPr>
        <w:pStyle w:val="ListBullet"/>
        <w:spacing w:before="40" w:after="80"/>
      </w:pPr>
      <w:r>
        <w:rPr>
          <w:b/>
          <w:color w:val="0B2545"/>
        </w:rPr>
        <w:t xml:space="preserve">Segregación de Redes en Docker (Aislamiento de la Base Transaccional): </w:t>
      </w:r>
      <w:r>
        <w:t>La base de datos transaccional (OLTP) NUNCA debe exponer su puerto hacia el exterior (prohibido mapear puertos en Docker con '-p 1433:1433'). El contenedor transaccional debe convivir exclusivamente en una red privada interna con el backend. Samuel delega al profesor Rolando la tarea de enseñar a segregar redes en Docker Compose para evitar la exposición automática de contenedores.</w:t>
      </w:r>
    </w:p>
    <w:p>
      <w:pPr>
        <w:pStyle w:val="ListBullet"/>
        <w:spacing w:before="40" w:after="80"/>
      </w:pPr>
      <w:r>
        <w:rPr>
          <w:b/>
          <w:color w:val="0B2545"/>
        </w:rPr>
        <w:t xml:space="preserve">Separación de Servidores Operacionales y Analíticos: </w:t>
      </w:r>
      <w:r>
        <w:t>Debe existir separación entre el servidor transaccional (completamente oculto tras la red privada y el firewall) y el servidor de Data Warehouse (que es el único que puede recibir conexiones analíticas autorizadas).</w:t>
      </w:r>
    </w:p>
    <w:tbl>
      <w:tblPr>
        <w:tblW w:type="auto" w:w="0"/>
        <w:jc w:val="center"/>
        <w:tblLayout w:type="fixed"/>
        <w:tblLook w:firstColumn="1" w:firstRow="1" w:lastColumn="0" w:lastRow="0" w:noHBand="0" w:noVBand="1" w:val="04A0"/>
      </w:tblPr>
      <w:tblGrid>
        <w:gridCol w:w="9360"/>
      </w:tblGrid>
      <w:tr>
        <w:tc>
          <w:tcPr>
            <w:tcW w:type="dxa" w:w="9360"/>
            <w:shd w:fill="FDEDEC"/>
            <w:tcMar>
              <w:top w:w="120" w:type="dxa"/>
              <w:bottom w:w="120" w:type="dxa"/>
              <w:left w:w="200" w:type="dxa"/>
              <w:right w:w="180" w:type="dxa"/>
            </w:tcMar>
            <w:tcBorders>
              <w:top w:val="none"/>
              <w:left w:val="single" w:sz="36" w:space="0" w:color="C0392B"/>
              <w:bottom w:val="none"/>
              <w:right w:val="none"/>
            </w:tcBorders>
          </w:tcPr>
          <w:p>
            <w:pPr>
              <w:spacing w:before="40" w:after="80"/>
            </w:pPr>
            <w:r>
              <w:rPr>
                <w:rFonts w:ascii="Arial" w:hAnsi="Arial"/>
                <w:b/>
                <w:color w:val="900C3F"/>
                <w:sz w:val="21"/>
              </w:rPr>
              <w:t>🚨 CONDICIÓN DE REPROBACIÓN DIRECTA EN LA DEFENSA</w:t>
              <w:br/>
            </w:r>
            <w:r>
              <w:rPr>
                <w:rFonts w:ascii="Arial" w:hAnsi="Arial"/>
                <w:color w:val="222222"/>
                <w:sz w:val="19"/>
              </w:rPr>
              <w:t>Palabras textuales del Profesor Samuel Zeledón en el Audio 2:</w:t>
              <w:br/>
              <w:t>«Si ustedes me vienen a la defensa otra vez con el puerto de la base de datos expuesto, los repruebo... Tienen que tener expuestos únicamente los puertos 80 y 443. La base de datos transaccional no debería de estar expuesta, no debería tener salida. El servidor web hace un proxy inverso sobre los contenedores...»</w:t>
              <w:br/>
              <w:br/>
              <w:t>Implicación Inmediata: Presentarse a la defensa con el puerto 1433 abierto a cualquier IP (0.0.0.0/0) en el firewall de Azure SQL o con el puerto de Docker mapeado al exterior es causal directa de reprobación inmediata.</w:t>
            </w:r>
          </w:p>
        </w:tc>
      </w:tr>
    </w:tbl>
    <w:p>
      <w:pPr>
        <w:spacing w:after="80"/>
      </w:pPr>
    </w:p>
    <w:p>
      <w:pPr>
        <w:pStyle w:val="Heading1"/>
      </w:pPr>
      <w:r>
        <w:t>3. Matriz Comparativa: Máquina Virtual (IaaS / Docker) vs. Servicios PaaS de Azure</w:t>
      </w:r>
    </w:p>
    <w:p>
      <w:pPr>
        <w:spacing w:after="160"/>
      </w:pPr>
      <w:r>
        <w:t>A fin de contrastar con total precisión técnica cómo se satisfacen las directrices del profesor Samuel en ambos paradigmas, se formula la siguiente matriz comparativa detallada: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00" w:type="dxa"/>
              <w:right w:w="100" w:type="dxa"/>
            </w:tcMar>
          </w:tcPr>
          <w:p>
            <w:pPr>
              <w:jc w:val="center"/>
            </w:pPr>
            <w:r>
              <w:rPr>
                <w:rFonts w:ascii="Arial" w:hAnsi="Arial"/>
                <w:b/>
                <w:color w:val="FFFFFF"/>
                <w:sz w:val="19"/>
              </w:rPr>
              <w:t>Criterio Técnico</w:t>
            </w:r>
          </w:p>
        </w:tc>
        <w:tc>
          <w:tcPr>
            <w:tcW w:type="dxa" w:w="3456"/>
            <w:shd w:fill="1B365D"/>
            <w:tcMar>
              <w:top w:w="120" w:type="dxa"/>
              <w:bottom w:w="120" w:type="dxa"/>
              <w:left w:w="100" w:type="dxa"/>
              <w:right w:w="100" w:type="dxa"/>
            </w:tcMar>
          </w:tcPr>
          <w:p>
            <w:pPr>
              <w:jc w:val="center"/>
            </w:pPr>
            <w:r>
              <w:rPr>
                <w:rFonts w:ascii="Arial" w:hAnsi="Arial"/>
                <w:b/>
                <w:color w:val="FFFFFF"/>
                <w:sz w:val="19"/>
              </w:rPr>
              <w:t>Enfoque Máquina Virtual (IaaS / Docker)</w:t>
            </w:r>
          </w:p>
        </w:tc>
        <w:tc>
          <w:tcPr>
            <w:tcW w:type="dxa" w:w="3456"/>
            <w:shd w:fill="1B365D"/>
            <w:tcMar>
              <w:top w:w="120" w:type="dxa"/>
              <w:bottom w:w="120" w:type="dxa"/>
              <w:left w:w="100" w:type="dxa"/>
              <w:right w:w="100" w:type="dxa"/>
            </w:tcMar>
          </w:tcPr>
          <w:p>
            <w:pPr>
              <w:jc w:val="center"/>
            </w:pPr>
            <w:r>
              <w:rPr>
                <w:rFonts w:ascii="Arial" w:hAnsi="Arial"/>
                <w:b/>
                <w:color w:val="FFFFFF"/>
                <w:sz w:val="19"/>
              </w:rPr>
              <w:t>Enfoque Servicios Administrados de Azure (PaaS)</w:t>
            </w:r>
          </w:p>
        </w:tc>
      </w:tr>
      <w:tr>
        <w:tc>
          <w:tcPr>
            <w:tcW w:type="dxa" w:w="2592"/>
            <w:shd w:fill="F9FAFB"/>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Capa de Cómputo y Backend</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VM Ubuntu Linux ejecutando Docker Compose con contenedor WebAPI y contenedor Nginx Reverse Proxy.</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Azure App Service Linux (PaaS Serverless) ejecutando el contenedor WebAPI en .NET 8 sin SO que gestionar.</w:t>
            </w:r>
          </w:p>
        </w:tc>
      </w:tr>
      <w:tr>
        <w:tc>
          <w:tcPr>
            <w:tcW w:type="dxa" w:w="2592"/>
            <w:shd w:fill="FFFFFF"/>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Exposición de Puertos Web</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Firewall de la VM abre únicamente puertos 80 (HTTP) y 443 (HTTPS) vinculados al contenedor Nginx.</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App Service expone nativamente solo el puerto 443 (HTTPS) con certificado SSL administrado por Microsoft.</w:t>
            </w:r>
          </w:p>
        </w:tc>
      </w:tr>
      <w:tr>
        <w:tc>
          <w:tcPr>
            <w:tcW w:type="dxa" w:w="2592"/>
            <w:shd w:fill="F9FAFB"/>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Base de Datos Relacional (OLTP)</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Contenedor SQL Server alojado en red interna de Docker. PROHIBIDO mapear puertos al host ('ports: 1433:1433').</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Azure SQL Database (Servidor Lógico PaaS). No existen puertos de SO abiertos; la seguridad radica en el Firewall de Azure.</w:t>
            </w:r>
          </w:p>
        </w:tc>
      </w:tr>
      <w:tr>
        <w:tc>
          <w:tcPr>
            <w:tcW w:type="dxa" w:w="2592"/>
            <w:shd w:fill="FFFFFF"/>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Seguridad y Control de Tráfico</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Segregación mediante redes Docker (red 'backend' privada). El backend accede por DNS interno; el exterior no ve SQL Server.</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Firewall Lógico de Azure SQL. Regla 'Permitir servicios de Azure' habilita la WebAPI. Requiere IP whitelist estricta para el presentador.</w:t>
            </w:r>
          </w:p>
        </w:tc>
      </w:tr>
      <w:tr>
        <w:tc>
          <w:tcPr>
            <w:tcW w:type="dxa" w:w="2592"/>
            <w:shd w:fill="F9FAFB"/>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Telemetría NoSQL</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Contenedor MongoDB en red interna o clúster externo consumido mediante variables de entorno.</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MongoDB Atlas (AWS Cloud us-east-1). IP Access List configurada con la IP de Azure App Service o IPs autorizadas.</w:t>
            </w:r>
          </w:p>
        </w:tc>
      </w:tr>
      <w:tr>
        <w:tc>
          <w:tcPr>
            <w:tcW w:type="dxa" w:w="2592"/>
            <w:shd w:fill="FFFFFF"/>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Riesgo Crítico en la Defensa</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Mapear accidentalmente el puerto 1433 en el archivo docker-compose.yml o no configurar el proxy inverso Nginx.</w:t>
            </w:r>
          </w:p>
        </w:tc>
        <w:tc>
          <w:tcPr>
            <w:tcW w:type="dxa" w:w="3456"/>
            <w:shd w:fill="FFFFFF"/>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Dejar activa la regla 'AccesoGlobal' (0.0.0.0-255.255.255.255) en Azure SQL, lo que expone el puerto 1433 al internet abierto.</w:t>
            </w:r>
          </w:p>
        </w:tc>
      </w:tr>
      <w:tr>
        <w:tc>
          <w:tcPr>
            <w:tcW w:type="dxa" w:w="2592"/>
            <w:shd w:fill="F9FAFB"/>
            <w:tcMar>
              <w:top w:w="80" w:type="dxa"/>
              <w:bottom w:w="80" w:type="dxa"/>
              <w:left w:w="90" w:type="dxa"/>
              <w:right w:w="90" w:type="dxa"/>
            </w:tcMar>
            <w:tcBorders>
              <w:top w:val="single" w:sz="4" w:space="0" w:color="E5E7EB"/>
              <w:bottom w:val="single" w:sz="4" w:space="0" w:color="E5E7EB"/>
              <w:left w:val="none"/>
              <w:right w:val="none"/>
            </w:tcBorders>
          </w:tcPr>
          <w:p>
            <w:pPr>
              <w:jc w:val="center"/>
            </w:pPr>
            <w:r>
              <w:rPr>
                <w:rFonts w:ascii="Arial" w:hAnsi="Arial"/>
                <w:b/>
                <w:color w:val="1B365D"/>
                <w:sz w:val="17"/>
              </w:rPr>
              <w:t>Mantenimiento y Costos</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Alta sobrecarga de administración de parches, certificados SSL manuales, consumo de CPU constante.</w:t>
            </w:r>
          </w:p>
        </w:tc>
        <w:tc>
          <w:tcPr>
            <w:tcW w:type="dxa" w:w="3456"/>
            <w:shd w:fill="F9FAFB"/>
            <w:tcMar>
              <w:top w:w="80" w:type="dxa"/>
              <w:bottom w:w="80" w:type="dxa"/>
              <w:left w:w="90" w:type="dxa"/>
              <w:right w:w="90" w:type="dxa"/>
            </w:tcMar>
            <w:tcBorders>
              <w:top w:val="single" w:sz="4" w:space="0" w:color="E5E7EB"/>
              <w:bottom w:val="single" w:sz="4" w:space="0" w:color="E5E7EB"/>
              <w:left w:val="none"/>
              <w:right w:val="none"/>
            </w:tcBorders>
          </w:tcPr>
          <w:p>
            <w:pPr>
              <w:jc w:val="left"/>
            </w:pPr>
            <w:r>
              <w:rPr>
                <w:rFonts w:ascii="Arial" w:hAnsi="Arial"/>
                <w:color w:val="2C3E50"/>
                <w:sz w:val="17"/>
              </w:rPr>
              <w:t>Mantenimiento nulo de infraestructura. Escalamiento automático y suspensión bajo demanda para ahorrar créditos de Azure.</w:t>
            </w:r>
          </w:p>
        </w:tc>
      </w:tr>
    </w:tbl>
    <w:p>
      <w:pPr>
        <w:spacing w:after="200"/>
      </w:pPr>
    </w:p>
    <w:p>
      <w:pPr>
        <w:pStyle w:val="Heading2"/>
      </w:pPr>
      <w:r>
        <w:t>3.1 El 'Talón de Aquiles' en Azure PaaS y su Blindaje Definitivo</w:t>
      </w:r>
    </w:p>
    <w:p>
      <w:pPr>
        <w:spacing w:after="160"/>
      </w:pPr>
      <w:r>
        <w:t>En la arquitectura de Dental House 2026, el equipo implementó con éxito el modelo PaaS (Azure SQL Database + Azure App Service). Sin embargo, existe un detalle fundamental que puede activar la sanción del profesor Samuel durante la defensa:</w:t>
        <w:br/>
        <w:br/>
        <w:t>Durante las pruebas de desarrollo, para facilitar la conexión del paquete ETL local (SSIS) y el desarrollo en Visual Studio, se creó una regla de firewall en Azure SQL denominada 'AccesoGlobal' con el rango 0.0.0.0 a 255.255.255.255. Si el profesor Samuel solicita ver el firewall del servidor lógico 'dental2026.database.windows.net' o ejecuta un escaneo de puertos, considerará que el puerto 1433 está públicamente expuesto a todo internet, violando su directriz estricta.</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200" w:type="dxa"/>
              <w:right w:w="180" w:type="dxa"/>
            </w:tcMar>
            <w:tcBorders>
              <w:top w:val="none"/>
              <w:left w:val="single" w:sz="36" w:space="0" w:color="1B365D"/>
              <w:bottom w:val="none"/>
              <w:right w:val="none"/>
            </w:tcBorders>
          </w:tcPr>
          <w:p>
            <w:pPr>
              <w:spacing w:before="40" w:after="80"/>
            </w:pPr>
            <w:r>
              <w:rPr>
                <w:rFonts w:ascii="Arial" w:hAnsi="Arial"/>
                <w:b/>
                <w:color w:val="1B365D"/>
                <w:sz w:val="21"/>
              </w:rPr>
              <w:t>🚨 BLINDAJE DE FIREWALL PARA LA DEFENSA EN AZURE PAAS</w:t>
              <w:br/>
            </w:r>
            <w:r>
              <w:rPr>
                <w:rFonts w:ascii="Arial" w:hAnsi="Arial"/>
                <w:color w:val="222222"/>
                <w:sz w:val="19"/>
              </w:rPr>
              <w:t>Protocolo Obligatorio de Blindaje en Azure SQL para la Defensa:</w:t>
              <w:br/>
              <w:t>1. Eliminar de inmediato la regla 'AccesoGlobal' (0.0.0.0 - 255.255.255.255) del servidor lógico en Azure Portal.</w:t>
              <w:br/>
              <w:t>2. Mantener activada la casilla 'Permitir que los servicios y recursos de Azure accedan a este servidor'. Esto permite que Azure App Service se conecte de forma privada y segura a través del backbone interno de Azure.</w:t>
              <w:br/>
              <w:t>3. Agregar como regla de firewall ÚNICA y EXCLUSIVA la dirección IP pública del aula o del equipo desde el cual se realizará la defensa (IP fija/temporal del presentador), etiquetada como 'Presentacion_Defensa_UNAN'.</w:t>
              <w:br/>
              <w:t>4. Con esto, cualquier intento externo no autorizado de alcanzar el puerto 1433 será bloqueado por el firewall perimetral de Azure.</w:t>
            </w:r>
          </w:p>
        </w:tc>
      </w:tr>
    </w:tbl>
    <w:p>
      <w:pPr>
        <w:spacing w:after="80"/>
      </w:pPr>
    </w:p>
    <w:p>
      <w:pPr>
        <w:pStyle w:val="Heading1"/>
      </w:pPr>
      <w:r>
        <w:t>4. Diagnóstico de Cumplimiento del Proyecto Dental House 2026</w:t>
      </w:r>
    </w:p>
    <w:p>
      <w:pPr>
        <w:spacing w:after="160"/>
      </w:pPr>
      <w:r>
        <w:t>A continuación se presenta el chequeo minucioso del estado actual de Dental House frente a cada requerimiento del profesor:</w:t>
      </w:r>
    </w:p>
    <w:p>
      <w:pPr>
        <w:pStyle w:val="ListBullet"/>
        <w:spacing w:before="60" w:after="120"/>
      </w:pPr>
      <w:r>
        <w:rPr>
          <w:b/>
          <w:color w:val="0B2545"/>
        </w:rPr>
        <w:t xml:space="preserve">Requisito 1: La Regla de los 3 Cubos / 3 Data Marts: </w:t>
      </w:r>
      <w:r>
        <w:t>Estado: EN AJUSTE ESTRATÉGICO</w:t>
        <w:br/>
        <w:t>• Data Mart de Negocio 1: Ventas Clínicas (DentalHouseDW -&gt; Fact_Sales, 58 ventas, $39,100). Cubo SSAS listo en DentalHouse_Cube.</w:t>
        <w:br/>
        <w:t>• Data Mart Técnico: Telemetría Operativa (DentalHouseDW_Tecnico -&gt; Fact_Operational_Events). Cubo SSAS listo en DentalHouse_Cube_Tecnico.</w:t>
        <w:br/>
        <w:t>• Data Mart de Negocio 2: Para cumplir estrictamente con el mínimo de 3 cubos (2 de negocio + 1 técnico), se debe consolidar el segundo proceso clínico (por ejemplo, Data Mart de Citas Clínicas o Servicios Médicos), asegurando su respectivo Cubo SSAS.</w:t>
      </w:r>
    </w:p>
    <w:p>
      <w:pPr>
        <w:pStyle w:val="ListBullet"/>
        <w:spacing w:before="60" w:after="120"/>
      </w:pPr>
      <w:r>
        <w:rPr>
          <w:b/>
          <w:color w:val="0B2545"/>
        </w:rPr>
        <w:t xml:space="preserve">Requisito 2: Telemetría NoSQL en MongoDB Atlas: </w:t>
      </w:r>
      <w:r>
        <w:t>Estado: 100% CUMPLIDO</w:t>
        <w:br/>
        <w:t>• Implementado con AuditLoggingMiddleware.cs interceptando cada petición HTTP, calculando latencia con Stopwatch, sanitizando datos sensibles y registrando en la colección 'system_logs' de MongoDB Atlas.</w:t>
      </w:r>
    </w:p>
    <w:p>
      <w:pPr>
        <w:pStyle w:val="ListBullet"/>
        <w:spacing w:before="60" w:after="120"/>
      </w:pPr>
      <w:r>
        <w:rPr>
          <w:b/>
          <w:color w:val="0B2545"/>
        </w:rPr>
        <w:t xml:space="preserve">Requisito 3: Calidad y Tratamiento en el ETL Técnico: </w:t>
      </w:r>
      <w:r>
        <w:t>Estado: 100% CUMPLIDO</w:t>
        <w:br/>
        <w:t>• El diseño del DW Técnico maneja registros dummy para nulos ('Anonimo', 'General', 'Dispositivo Desconocido'), normalización de rutas REST y segregación de errores 4xx vs 500.</w:t>
      </w:r>
    </w:p>
    <w:p>
      <w:pPr>
        <w:pStyle w:val="ListBullet"/>
        <w:spacing w:before="60" w:after="120"/>
      </w:pPr>
      <w:r>
        <w:rPr>
          <w:b/>
          <w:color w:val="0B2545"/>
        </w:rPr>
        <w:t xml:space="preserve">Requisito 4: Despliegue en la Nube y Blindaje de Puertos: </w:t>
      </w:r>
      <w:r>
        <w:t>Estado: 90% CUMPLIDO (Requiere ajuste de Firewall)</w:t>
        <w:br/>
        <w:t>• Azure SQL Database, MongoDB Atlas y Azure App Service ya están operativos. Falta únicamente restringir la regla de firewall en Azure SQL sustituyendo el acceso global por la IP del expositor.</w:t>
      </w:r>
    </w:p>
    <w:p>
      <w:pPr>
        <w:pStyle w:val="ListBullet"/>
        <w:spacing w:before="60" w:after="120"/>
      </w:pPr>
      <w:r>
        <w:rPr>
          <w:b/>
          <w:color w:val="0B2545"/>
        </w:rPr>
        <w:t xml:space="preserve">Requisito 5: Consumo desde Frontend Móvil (Flutter): </w:t>
      </w:r>
      <w:r>
        <w:t>Estado: 100% CUMPLIDO</w:t>
        <w:br/>
        <w:t>• Endpoints REST /api/analytics/business y /api/analytics/technical desarrollados en AnalyticsService.cs y listos para ser consumidos por la aplicación móvil Android.</w:t>
      </w:r>
    </w:p>
    <w:p>
      <w:pPr>
        <w:pStyle w:val="Heading1"/>
      </w:pPr>
      <w:r>
        <w:t>5. Plan de Acción y Protocolo de Demostración para la Defensa</w:t>
      </w:r>
    </w:p>
    <w:p>
      <w:pPr>
        <w:spacing w:after="160"/>
      </w:pPr>
      <w:r>
        <w:t>Para garantizar la máxima calificación (Nivel 5 - Sobresaliente) ante el Profesor Samuel Zeledón Molina, el equipo debe seguir este guion operativo durante la defensa:</w:t>
      </w:r>
    </w:p>
    <w:p>
      <w:pPr>
        <w:pStyle w:val="ListBullet"/>
        <w:spacing w:before="60" w:after="120"/>
      </w:pPr>
      <w:r>
        <w:rPr>
          <w:b/>
          <w:color w:val="1B365D"/>
        </w:rPr>
        <w:t xml:space="preserve">Paso 1: Demostración de Arquitectura Segura en Azure: </w:t>
      </w:r>
      <w:r>
        <w:t>Explicar que se optó por la arquitectura PaaS recomendada por Microsoft para entornos de producción modernos. Mostrar en Azure Portal que el App Service expone exclusivamente HTTPS (443) y que Azure SQL NO tiene puertos de host abiertos ni reglas públicas 0.0.0.0/0, sino acceso cerrado exclusivo para la WebAPI y la IP autorizada.</w:t>
      </w:r>
    </w:p>
    <w:p>
      <w:pPr>
        <w:pStyle w:val="ListBullet"/>
        <w:spacing w:before="60" w:after="120"/>
      </w:pPr>
      <w:r>
        <w:rPr>
          <w:b/>
          <w:color w:val="1B365D"/>
        </w:rPr>
        <w:t xml:space="preserve">Paso 2: Exposición de los 3 Cubos Multidimensionales en SSAS: </w:t>
      </w:r>
      <w:r>
        <w:t>Abrir SQL Server Management Studio (SSMS) conectado a Analysis Services (puerto o instancia local/cloud) y procesar en vivo los 3 cubos: (1) Cubo de Ventas, (2) Segundo Cubo Clínico (Citas/Servicios) y (3) Cubo Técnico de Telemetría.</w:t>
      </w:r>
    </w:p>
    <w:p>
      <w:pPr>
        <w:pStyle w:val="ListBullet"/>
        <w:spacing w:before="60" w:after="120"/>
      </w:pPr>
      <w:r>
        <w:rPr>
          <w:b/>
          <w:color w:val="1B365D"/>
        </w:rPr>
        <w:t xml:space="preserve">Paso 3: Presentación del Dashboard de KPIs Técnicos: </w:t>
      </w:r>
      <w:r>
        <w:t>Exhibir los gráficos de latencia de endpoints (gráfico de líneas exigido por Samuel en el Audio 1), tasa de errores desglosada por código HTTP y throughput operativo proveniente de MongoDB Atlas.</w:t>
      </w:r>
    </w:p>
    <w:p>
      <w:pPr>
        <w:pStyle w:val="ListBullet"/>
        <w:spacing w:before="60" w:after="120"/>
      </w:pPr>
      <w:r>
        <w:rPr>
          <w:b/>
          <w:color w:val="1B365D"/>
        </w:rPr>
        <w:t xml:space="preserve">Paso 4: Trazabilidad End-to-End con Flutter Móvil: </w:t>
      </w:r>
      <w:r>
        <w:t>Ejecutar la aplicación móvil en el emulador o dispositivo físico, realizar una operación clínica (ej. agendar cita o registrar venta) y demostrar cómo el middleware captura el evento en MongoDB Atlas en tiempo real sin degradar el tiempo de respuesta del usuario.</w:t>
      </w:r>
    </w:p>
    <w:p>
      <w:pPr>
        <w:spacing w:before="480"/>
        <w:jc w:val="center"/>
      </w:pPr>
      <w:r>
        <w:rPr>
          <w:rFonts w:ascii="Arial" w:hAnsi="Arial"/>
          <w:color w:val="5A6B7C"/>
          <w:sz w:val="19"/>
        </w:rPr>
        <w:t>_____________________________________________</w:t>
        <w:br/>
        <w:t>EQUIPO DE DESARROLLO DENTAL HOUSE 2026</w:t>
        <w:br/>
        <w:t>UNAN - Managua | Base de Datos Analítica</w:t>
        <w:br/>
        <w:t>Documento validado para la Defensa Oficial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8C8D"/>
        <w:sz w:val="17"/>
      </w:rPr>
      <w:t>Resumen Ejecutivo y Técnico - Audios Prof. Samuel Zeledón Molina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8C8D"/>
        <w:sz w:val="17"/>
      </w:rPr>
      <w:t>UNAN-Managua | Base de Datos Analítica - Dental House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7CD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