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36D3A"/>
          <w:sz w:val="36"/>
          <w:szCs w:val="36"/>
        </w:rPr>
        <w:t xml:space="preserve">AIM Statement Canvas</w:t>
      </w:r>
    </w:p>
    <w:p>
      <w:pPr>
        <w:pBdr>
          <w:bottom w:val="single" w:color="036D3A" w:sz="6"/>
        </w:pBdr>
        <w:spacing w:after="1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 SMART AIM Statement is the foundation of every QI project. Complete each section below before moving to PDSA cycles.</w:t>
      </w:r>
    </w:p>
    <w:p>
      <w:pPr>
        <w:spacing w:after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2160"/>
        <w:gridCol w:w="2700"/>
      </w:tblGrid>
      <w:tr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Project Title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Profession(s)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36D3A"/>
          <w:sz w:val="24"/>
          <w:szCs w:val="24"/>
        </w:rPr>
        <w:t xml:space="preserve">SMART AIM Statement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We will ___________ from ___________ to ___________ by ___________ for ___________.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rPr>
          <w:trHeight w:val="1100" w:hRule="atLeast"/>
        </w:trPr>
        <w:tc>
          <w:tcPr>
            <w:tcW w:type="dxa" w:w="97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9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36D3A"/>
                <w:sz w:val="20"/>
                <w:szCs w:val="20"/>
              </w:rPr>
              <w:t xml:space="preserve">Our AIM: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036D3A"/>
          <w:sz w:val="22"/>
          <w:szCs w:val="22"/>
        </w:rPr>
        <w:t xml:space="preserve">Test Your AIM Against SMART Criteria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S — SPECIFIC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Exactly which patient group, on which unit, in which clinical situation? Avoid vague terms.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M — MEASURABLE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number/percentage will improve? Is the data routinely captured or do you need new collection?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A — ACHIEVABLE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What is realistic given your current resource, time, and staff capacity? Avoid 100% targets in a first cycle.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R — RELEVANT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Why does this matter to patients, the AMU team, and the Trust? Link to a SAM CQI or local priority.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T — TIME-BOUND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By what specific date? Realistic AMU projects: 3–6 months for first phase.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TEAM &amp; SCOPE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Who is the multi-professional team? Nursing, ACP, pharmacy, AHP, medical, PA — name the leads.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720"/>
        <w:tblBorders>
          <w:top w:val="single" w:color="D0D0D0" w:sz="4"/>
          <w:left w:val="thick" w:color="036D3A" w:sz="2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shd w:fill="E8F5EE" w:val="clear"/>
            <w:tcMar>
              <w:top w:type="dxa" w:w="100"/>
              <w:left w:type="dxa" w:w="22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36D3A"/>
                <w:sz w:val="16"/>
                <w:szCs w:val="16"/>
              </w:rPr>
              <w:t xml:space="preserve">COMMON PITFALLS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“Improve sepsis care on AMU” — too vague.  </w:t>
            </w:r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✗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“100% compliance by next month” — unachievable.</w:t>
            </w:r>
          </w:p>
          <w:p>
            <w:r>
              <w:rPr>
                <w:rFonts w:ascii="Arial" w:cs="Arial" w:eastAsia="Arial" w:hAnsi="Arial"/>
                <w:b/>
                <w:bCs/>
                <w:color w:val="036D3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“We will improve antibiotic-within-1-hour for AMU sepsis from 34% to 75% by 31 March via a nurse-led grab bag.”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Society for Acute Medicine  ·  acutemedicine.org.uk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36D3A" w:sz="6" w:space="4"/>
      </w:pBdr>
    </w:pPr>
    <w:r>
      <w:rPr>
        <w:rFonts w:ascii="Arial" w:cs="Arial" w:eastAsia="Arial" w:hAnsi="Arial"/>
        <w:b/>
        <w:bCs/>
        <w:color w:val="036D3A"/>
        <w:sz w:val="16"/>
        <w:szCs w:val="16"/>
      </w:rPr>
      <w:t xml:space="preserve">SAM QI TOOLKIT</w:t>
    </w:r>
    <w:r>
      <w:rPr>
        <w:rFonts w:ascii="Arial" w:cs="Arial" w:eastAsia="Arial" w:hAnsi="Arial"/>
        <w:color w:val="666666"/>
        <w:sz w:val="16"/>
        <w:szCs w:val="16"/>
      </w:rPr>
      <w:t xml:space="preserve">  ·  Tool 1: AIM Statement Canvas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 Statement Canvas</dc:title>
  <dc:creator>SAM Quality Improvement Committee</dc:creator>
  <dc:description>Template for defining a SMART AIM Statement for AMU QI projects</dc:description>
  <cp:lastModifiedBy>Un-named</cp:lastModifiedBy>
  <cp:revision>1</cp:revision>
  <dcterms:created xsi:type="dcterms:W3CDTF">2026-05-02T11:34:20.365Z</dcterms:created>
  <dcterms:modified xsi:type="dcterms:W3CDTF">2026-05-02T11:34:20.375Z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