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1B1B"/>
          <w:sz w:val="40"/>
          <w:szCs w:val="40"/>
        </w:rPr>
        <w:t xml:space="preserve">SMART Aim Statement Builder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4A5A52"/>
          <w:sz w:val="20"/>
          <w:szCs w:val="20"/>
        </w:rPr>
        <w:t xml:space="preserve">Turns a vague problem into a measurable, time-bound aim — before you collect any data.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36E3A"/>
          <w:sz w:val="16"/>
          <w:szCs w:val="16"/>
        </w:rPr>
        <w:t xml:space="preserve">THE PATTERN</w:t>
      </w:r>
    </w:p>
    <w:p>
      <w:pPr>
        <w:pBdr>
          <w:top w:val="single" w:color="036E3A" w:sz="8"/>
          <w:bottom w:val="single" w:color="036E3A" w:sz="8"/>
          <w:left w:val="single" w:color="036E3A" w:sz="8"/>
          <w:right w:val="single" w:color="036E3A" w:sz="8"/>
        </w:pBdr>
        <w:shd w:fill="F1F6F2" w:val="clear"/>
        <w:spacing w:after="100" w:before="100"/>
        <w:ind w:left="100" w:right="100"/>
      </w:pPr>
      <w:r>
        <w:rPr>
          <w:rFonts w:ascii="Calibri" w:cs="Calibri" w:eastAsia="Calibri" w:hAnsi="Calibri"/>
          <w:b/>
          <w:bCs/>
          <w:color w:val="1B1B1B"/>
          <w:sz w:val="24"/>
          <w:szCs w:val="24"/>
        </w:rPr>
        <w:t xml:space="preserve">To  [increase / reduce]  [measure]  from  [X]  to  [Y]  by  [date].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4A5A52"/>
          <w:sz w:val="18"/>
          <w:szCs w:val="18"/>
        </w:rPr>
        <w:t xml:space="preserve">Worked example — </w:t>
      </w:r>
      <w:r>
        <w:rPr>
          <w:rFonts w:ascii="Calibri" w:cs="Calibri" w:eastAsia="Calibri" w:hAnsi="Calibri"/>
          <w:i/>
          <w:iCs/>
          <w:color w:val="4A5A52"/>
          <w:sz w:val="18"/>
          <w:szCs w:val="18"/>
        </w:rPr>
        <w:t xml:space="preserve">“Increase completed VTE assessments on AMU from 60% to 90% by March 2027, measured by weekly audit of the drug chart.”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color w:val="036E3A"/>
          <w:sz w:val="16"/>
          <w:szCs w:val="16"/>
        </w:rPr>
        <w:t xml:space="preserve">YOUR AIM — FILL IN THE BLANKS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3139"/>
        <w:gridCol w:w="1569"/>
        <w:gridCol w:w="1569"/>
        <w:gridCol w:w="2093"/>
      </w:tblGrid>
      <w:tr>
        <w:tc>
          <w:tcPr>
            <w:tcW w:type="dxa" w:w="2093"/>
            <w:tcBorders>
              <w:top w:val="single" w:color="D4E0D8" w:sz="4"/>
              <w:left w:val="single" w:color="D4E0D8" w:sz="4"/>
              <w:bottom w:val="single" w:color="D4E0D8" w:sz="4"/>
              <w:right w:val="single" w:color="D4E0D8" w:sz="4"/>
            </w:tcBorders>
            <w:shd w:fill="DCEFE3" w:val="clear"/>
            <w:tcMar>
              <w:top w:type="dxa" w:w="10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036E3A"/>
                <w:sz w:val="16"/>
                <w:szCs w:val="16"/>
              </w:rPr>
              <w:t xml:space="preserve">INCREASE / REDUCE</w:t>
            </w:r>
          </w:p>
          <w:p>
            <w:r>
              <w:t xml:space="preserve"> </w:t>
            </w:r>
          </w:p>
        </w:tc>
        <w:tc>
          <w:tcPr>
            <w:tcW w:type="dxa" w:w="3139"/>
            <w:tcBorders>
              <w:top w:val="single" w:color="D4E0D8" w:sz="4"/>
              <w:left w:val="single" w:color="D4E0D8" w:sz="4"/>
              <w:bottom w:val="single" w:color="D4E0D8" w:sz="4"/>
              <w:right w:val="single" w:color="D4E0D8" w:sz="4"/>
            </w:tcBorders>
            <w:shd w:fill="DCEFE3" w:val="clear"/>
            <w:tcMar>
              <w:top w:type="dxa" w:w="10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036E3A"/>
                <w:sz w:val="16"/>
                <w:szCs w:val="16"/>
              </w:rPr>
              <w:t xml:space="preserve">MEASURE (WHAT, WHERE)</w:t>
            </w:r>
          </w:p>
          <w:p>
            <w:r>
              <w:t xml:space="preserve"> </w:t>
            </w:r>
          </w:p>
        </w:tc>
        <w:tc>
          <w:tcPr>
            <w:tcW w:type="dxa" w:w="1569"/>
            <w:tcBorders>
              <w:top w:val="single" w:color="D4E0D8" w:sz="4"/>
              <w:left w:val="single" w:color="D4E0D8" w:sz="4"/>
              <w:bottom w:val="single" w:color="D4E0D8" w:sz="4"/>
              <w:right w:val="single" w:color="D4E0D8" w:sz="4"/>
            </w:tcBorders>
            <w:shd w:fill="DCEFE3" w:val="clear"/>
            <w:tcMar>
              <w:top w:type="dxa" w:w="10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036E3A"/>
                <w:sz w:val="16"/>
                <w:szCs w:val="16"/>
              </w:rPr>
              <w:t xml:space="preserve">FROM (X)</w:t>
            </w:r>
          </w:p>
          <w:p>
            <w:r>
              <w:t xml:space="preserve"> </w:t>
            </w:r>
          </w:p>
        </w:tc>
        <w:tc>
          <w:tcPr>
            <w:tcW w:type="dxa" w:w="1569"/>
            <w:tcBorders>
              <w:top w:val="single" w:color="D4E0D8" w:sz="4"/>
              <w:left w:val="single" w:color="D4E0D8" w:sz="4"/>
              <w:bottom w:val="single" w:color="D4E0D8" w:sz="4"/>
              <w:right w:val="single" w:color="D4E0D8" w:sz="4"/>
            </w:tcBorders>
            <w:shd w:fill="DCEFE3" w:val="clear"/>
            <w:tcMar>
              <w:top w:type="dxa" w:w="10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036E3A"/>
                <w:sz w:val="16"/>
                <w:szCs w:val="16"/>
              </w:rPr>
              <w:t xml:space="preserve">TO (Y)</w:t>
            </w:r>
          </w:p>
          <w:p>
            <w:r>
              <w:t xml:space="preserve"> </w:t>
            </w:r>
          </w:p>
        </w:tc>
        <w:tc>
          <w:tcPr>
            <w:tcW w:type="dxa" w:w="2093"/>
            <w:tcBorders>
              <w:top w:val="single" w:color="D4E0D8" w:sz="4"/>
              <w:left w:val="single" w:color="D4E0D8" w:sz="4"/>
              <w:bottom w:val="single" w:color="D4E0D8" w:sz="4"/>
              <w:right w:val="single" w:color="D4E0D8" w:sz="4"/>
            </w:tcBorders>
            <w:shd w:fill="DCEFE3" w:val="clear"/>
            <w:tcMar>
              <w:top w:type="dxa" w:w="10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036E3A"/>
                <w:sz w:val="16"/>
                <w:szCs w:val="16"/>
              </w:rPr>
              <w:t xml:space="preserve">BY (DATE)</w:t>
            </w:r>
          </w:p>
          <w:p>
            <w:r>
              <w:t xml:space="preserve"> 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36E3A"/>
          <w:sz w:val="16"/>
          <w:szCs w:val="16"/>
        </w:rPr>
        <w:t xml:space="preserve">MEASURED BY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A5A52"/>
          <w:sz w:val="16"/>
          <w:szCs w:val="16"/>
        </w:rPr>
        <w:t xml:space="preserve">How, and how often, will you check progress? (e.g. weekly spot-check of 10–20 charts, a fixed audit day each month)</w:t>
      </w:r>
    </w:p>
    <w:p>
      <w:pPr>
        <w:pBdr>
          <w:bottom w:val="single" w:color="D4E0D8" w:sz="4"/>
        </w:pBdr>
        <w:spacing w:after="100"/>
      </w:pPr>
      <w:r>
        <w:t xml:space="preserve"> </w:t>
      </w:r>
    </w:p>
    <w:p>
      <w:pPr>
        <w:pBdr>
          <w:bottom w:val="single" w:color="D4E0D8" w:sz="4"/>
        </w:pBdr>
        <w:spacing w:after="300"/>
      </w:pPr>
      <w:r>
        <w:t xml:space="preserve"> 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color w:val="036E3A"/>
          <w:sz w:val="16"/>
          <w:szCs w:val="16"/>
        </w:rPr>
        <w:t xml:space="preserve">SELF-CHECK BEFORE YOU PITCH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3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color w:val="036E3A"/>
                <w:sz w:val="26"/>
                <w:szCs w:val="26"/>
              </w:rPr>
              <w:t xml:space="preserve">☐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E3A"/>
                <w:sz w:val="20"/>
                <w:szCs w:val="20"/>
              </w:rPr>
              <w:t xml:space="preserve">S —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0"/>
                <w:szCs w:val="20"/>
              </w:rPr>
              <w:t xml:space="preserve">Specific</w:t>
            </w:r>
          </w:p>
        </w:tc>
        <w:tc>
          <w:tcPr>
            <w:tcW w:type="dxa" w:w="8366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color w:val="4A5A52"/>
                <w:sz w:val="18"/>
                <w:szCs w:val="18"/>
              </w:rPr>
              <w:t xml:space="preserve">Names one measure, one place — not “improve VTE care.”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color w:val="036E3A"/>
                <w:sz w:val="26"/>
                <w:szCs w:val="26"/>
              </w:rPr>
              <w:t xml:space="preserve">☐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E3A"/>
                <w:sz w:val="20"/>
                <w:szCs w:val="20"/>
              </w:rPr>
              <w:t xml:space="preserve">M —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0"/>
                <w:szCs w:val="20"/>
              </w:rPr>
              <w:t xml:space="preserve">Measurable</w:t>
            </w:r>
          </w:p>
        </w:tc>
        <w:tc>
          <w:tcPr>
            <w:tcW w:type="dxa" w:w="8366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color w:val="4A5A52"/>
                <w:sz w:val="18"/>
                <w:szCs w:val="18"/>
              </w:rPr>
              <w:t xml:space="preserve">A number goes in, a number comes out — no judgement calls.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color w:val="036E3A"/>
                <w:sz w:val="26"/>
                <w:szCs w:val="26"/>
              </w:rPr>
              <w:t xml:space="preserve">☐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E3A"/>
                <w:sz w:val="20"/>
                <w:szCs w:val="20"/>
              </w:rPr>
              <w:t xml:space="preserve">A —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0"/>
                <w:szCs w:val="20"/>
              </w:rPr>
              <w:t xml:space="preserve">Achievable</w:t>
            </w:r>
          </w:p>
        </w:tc>
        <w:tc>
          <w:tcPr>
            <w:tcW w:type="dxa" w:w="8366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color w:val="4A5A52"/>
                <w:sz w:val="18"/>
                <w:szCs w:val="18"/>
              </w:rPr>
              <w:t xml:space="preserve">One ward, one change, one rotation — not a hospital-wide overhaul.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color w:val="036E3A"/>
                <w:sz w:val="26"/>
                <w:szCs w:val="26"/>
              </w:rPr>
              <w:t xml:space="preserve">☐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E3A"/>
                <w:sz w:val="20"/>
                <w:szCs w:val="20"/>
              </w:rPr>
              <w:t xml:space="preserve">R —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0"/>
                <w:szCs w:val="20"/>
              </w:rPr>
              <w:t xml:space="preserve">Relevant</w:t>
            </w:r>
          </w:p>
        </w:tc>
        <w:tc>
          <w:tcPr>
            <w:tcW w:type="dxa" w:w="8366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color w:val="4A5A52"/>
                <w:sz w:val="18"/>
                <w:szCs w:val="18"/>
              </w:rPr>
              <w:t xml:space="preserve">Ties back to a problem your team actually feels, day to day.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color w:val="036E3A"/>
                <w:sz w:val="26"/>
                <w:szCs w:val="26"/>
              </w:rPr>
              <w:t xml:space="preserve">☐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E3A"/>
                <w:sz w:val="20"/>
                <w:szCs w:val="20"/>
              </w:rPr>
              <w:t xml:space="preserve">T —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0"/>
                <w:szCs w:val="20"/>
              </w:rPr>
              <w:t xml:space="preserve">Time-bound</w:t>
            </w:r>
          </w:p>
        </w:tc>
        <w:tc>
          <w:tcPr>
            <w:tcW w:type="dxa" w:w="8366"/>
            <w:tcBorders>
              <w:top w:val="none" w:color="FFFFFF" w:sz="0"/>
              <w:left w:val="none" w:color="FFFFFF" w:sz="0"/>
              <w:bottom w:val="single" w:color="D4E0D8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rFonts w:ascii="Calibri" w:cs="Calibri" w:eastAsia="Calibri" w:hAnsi="Calibri"/>
                <w:color w:val="4A5A52"/>
                <w:sz w:val="18"/>
                <w:szCs w:val="18"/>
              </w:rPr>
              <w:t xml:space="preserve">A real date — one you'll still be around for, or can hand over cleanly.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E0D8" w:sz="6"/>
      </w:pBdr>
      <w:spacing w:before="120"/>
      <w:jc w:val="center"/>
    </w:pPr>
    <w:r>
      <w:rPr>
        <w:rFonts w:ascii="Calibri" w:cs="Calibri" w:eastAsia="Calibri" w:hAnsi="Calibri"/>
        <w:i/>
        <w:iCs/>
        <w:color w:val="4A5A52"/>
        <w:sz w:val="14"/>
        <w:szCs w:val="14"/>
      </w:rPr>
      <w:t xml:space="preserve">Matches QIP Roadmap Stage 1 (Pitch Your QIP) and SQUIRE 2.0 Item 6, Specific Aims.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0D8" w:sz="6"/>
      </w:pBdr>
      <w:tabs>
        <w:tab w:val="right" w:pos="10466"/>
      </w:tabs>
      <w:spacing w:after="160"/>
    </w:pPr>
    <w:r>
      <w:rPr>
        <w:rFonts w:ascii="Calibri" w:cs="Calibri" w:eastAsia="Calibri" w:hAnsi="Calibri"/>
        <w:b/>
        <w:bCs/>
        <w:color w:val="036E3A"/>
        <w:sz w:val="16"/>
        <w:szCs w:val="16"/>
      </w:rPr>
      <w:t xml:space="preserve">SAM QIP TOOLKIT</w:t>
    </w:r>
    <w:r>
      <w:rPr>
        <w:rFonts w:ascii="Calibri" w:cs="Calibri" w:eastAsia="Calibri" w:hAnsi="Calibri"/>
        <w:color w:val="4A5A52"/>
        <w:sz w:val="16"/>
        <w:szCs w:val="16"/>
      </w:rPr>
      <w:t xml:space="preserve">	SMART AIM STATEMENT BUILDER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2026-09-02T10:57:00.936Z</dcterms:created>
  <dcterms:modified xsi:type="dcterms:W3CDTF">2026-09-02T10:57:00.937Z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