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Campus Chat: From Training to Production</w:t>
      </w:r>
    </w:p>
    <w:p>
      <w:pPr>
        <w:jc w:val="center"/>
      </w:pPr>
      <w:r>
        <w:rPr>
          <w:b/>
          <w:sz w:val="28"/>
        </w:rPr>
        <w:t>AAIN-7420 Data Engineering for AI — Chapter 7 Complete Tutorial</w:t>
      </w:r>
    </w:p>
    <w:p>
      <w:pPr>
        <w:jc w:val="center"/>
      </w:pPr>
      <w:r>
        <w:t>A beginner-friendly, fully local AI project with training, retrieval, registries, release gates, serving, traces, Docker, and CI.</w:t>
      </w:r>
    </w:p>
    <w:p/>
    <w:p>
      <w:pPr>
        <w:jc w:val="center"/>
      </w:pPr>
      <w:r>
        <w:t>Instructor: Dr. Yetunde Longe-Folajimi</w:t>
        <w:br/>
        <w:t>Wentworth Institute of Technology</w:t>
      </w:r>
    </w:p>
    <w:p>
      <w:r>
        <w:br w:type="page"/>
      </w:r>
    </w:p>
    <w:p>
      <w:pPr>
        <w:pStyle w:val="Heading1"/>
      </w:pPr>
      <w:r>
        <w:t>1. Purpose and Learning Outcomes</w:t>
      </w:r>
    </w:p>
    <w:p>
      <w:r>
        <w:t>This project teaches students who have little or no AI-development experience how to move from labeled data and source documents to a production-style chat application.</w:t>
      </w:r>
    </w:p>
    <w:p>
      <w:r>
        <w:t>By completing the project, students should be able to explain a reproducible training run, build and evaluate a retrieval index, create model and prompt registries, apply a release gate, bind application state in a deployment manifest, expose an API, run a chat user interface, preserve evidence traces, and identify what would still be required for a real institutional deployment.</w:t>
      </w:r>
    </w:p>
    <w:p>
      <w:pPr>
        <w:pStyle w:val="Heading1"/>
      </w:pPr>
      <w:r>
        <w:t>2. What Students Build</w:t>
      </w:r>
    </w:p>
    <w:p>
      <w:r>
        <w:t>Campus Chat is a hybrid teaching application. A trained intent classifier routes questions to a campus topic. A governed retrieval index searches approved fictional campus documents. The application assembles a grounded answer with source metadata and records an evidence trace for each request.</w:t>
      </w:r>
    </w:p>
    <w:p>
      <w:r>
        <w:t>The design deliberately avoids paid APIs and GPUs. This allows students to focus on the Chapter 7 lifecycle before adding a larger language model.</w:t>
      </w:r>
    </w:p>
    <w:p>
      <w:r>
        <w:drawing>
          <wp:inline xmlns:a="http://schemas.openxmlformats.org/drawingml/2006/main" xmlns:pic="http://schemas.openxmlformats.org/drawingml/2006/picture">
            <wp:extent cx="6309360" cy="711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1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Campus Chat training, retrieval, release, serving, and feedback architecture.</w:t>
      </w:r>
    </w:p>
    <w:p>
      <w:pPr>
        <w:pStyle w:val="Heading1"/>
      </w:pPr>
      <w:r>
        <w:t>3. Project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Explanation</w:t>
            </w:r>
          </w:p>
        </w:tc>
      </w:tr>
      <w:tr>
        <w:tc>
          <w:tcPr>
            <w:tcW w:type="dxa" w:w="5040"/>
            <w:vAlign w:val="top"/>
          </w:tcPr>
          <w:p>
            <w:r>
              <w:t>Intent classifier</w:t>
            </w:r>
          </w:p>
        </w:tc>
        <w:tc>
          <w:tcPr>
            <w:tcW w:type="dxa" w:w="5040"/>
            <w:vAlign w:val="top"/>
          </w:tcPr>
          <w:p>
            <w:r>
              <w:t>TF-IDF features and Logistic Regression trained on synthetic labeled campus questions.</w:t>
            </w:r>
          </w:p>
        </w:tc>
      </w:tr>
      <w:tr>
        <w:tc>
          <w:tcPr>
            <w:tcW w:type="dxa" w:w="5040"/>
            <w:vAlign w:val="top"/>
          </w:tcPr>
          <w:p>
            <w:r>
              <w:t>Governed corpus</w:t>
            </w:r>
          </w:p>
        </w:tc>
        <w:tc>
          <w:tcPr>
            <w:tcW w:type="dxa" w:w="5040"/>
            <w:vAlign w:val="top"/>
          </w:tcPr>
          <w:p>
            <w:r>
              <w:t>Fictional policy and support documents with owner, effective date, source URL, version, and access classification.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Retrieval pipeline</w:t>
            </w:r>
          </w:p>
        </w:tc>
        <w:tc>
          <w:tcPr>
            <w:tcW w:type="dxa" w:w="5040"/>
            <w:vAlign w:val="top"/>
          </w:tcPr>
          <w:p>
            <w:r>
              <w:t>Metadata validation, quarantine, corpus snapshot, chunking, TF-IDF index, and benchmark evaluation.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Release artifacts</w:t>
            </w:r>
          </w:p>
        </w:tc>
        <w:tc>
          <w:tcPr>
            <w:tcW w:type="dxa" w:w="5040"/>
            <w:vAlign w:val="top"/>
          </w:tcPr>
          <w:p>
            <w:r>
              <w:t>Training run, model registry, prompt registry, corpus and index manifests, release gate, and deployment manifest.</w:t>
            </w:r>
          </w:p>
        </w:tc>
      </w:tr>
      <w:tr>
        <w:tc>
          <w:tcPr>
            <w:tcW w:type="dxa" w:w="5040"/>
            <w:vAlign w:val="top"/>
          </w:tcPr>
          <w:p>
            <w:r>
              <w:t>Serving</w:t>
            </w:r>
          </w:p>
        </w:tc>
        <w:tc>
          <w:tcPr>
            <w:tcW w:type="dxa" w:w="5040"/>
            <w:vAlign w:val="top"/>
          </w:tcPr>
          <w:p>
            <w:r>
              <w:t>FastAPI backend with health, manifest, and chat endpoints; Streamlit chat interface.</w:t>
            </w:r>
          </w:p>
        </w:tc>
      </w:tr>
      <w:tr>
        <w:tc>
          <w:tcPr>
            <w:tcW w:type="dxa" w:w="5040"/>
            <w:vAlign w:val="top"/>
          </w:tcPr>
          <w:p>
            <w:r>
              <w:t>Evidence and feedback</w:t>
            </w:r>
          </w:p>
        </w:tc>
        <w:tc>
          <w:tcPr>
            <w:tcW w:type="dxa" w:w="5040"/>
            <w:vAlign w:val="top"/>
          </w:tcPr>
          <w:p>
            <w:r>
              <w:t>Per-request JSON traces and a sample reviewed-feedback dataset.</w:t>
            </w:r>
          </w:p>
        </w:tc>
      </w:tr>
      <w:tr>
        <w:tc>
          <w:tcPr>
            <w:tcW w:type="dxa" w:w="5040"/>
            <w:vAlign w:val="top"/>
          </w:tcPr>
          <w:p>
            <w:r>
              <w:t>Operations</w:t>
            </w:r>
          </w:p>
        </w:tc>
        <w:tc>
          <w:tcPr>
            <w:tcW w:type="dxa" w:w="5040"/>
            <w:vAlign w:val="top"/>
          </w:tcPr>
          <w:p>
            <w:r>
              <w:t>Docker Compose, tests, and GitHub Actions CI example.</w:t>
            </w:r>
          </w:p>
        </w:tc>
      </w:tr>
    </w:tbl>
    <w:p/>
    <w:p>
      <w:pPr>
        <w:pStyle w:val="Heading1"/>
      </w:pPr>
      <w:r>
        <w:t>4. Environment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Explanation</w:t>
            </w:r>
          </w:p>
        </w:tc>
      </w:tr>
      <w:tr>
        <w:tc>
          <w:tcPr>
            <w:tcW w:type="dxa" w:w="5040"/>
            <w:vAlign w:val="top"/>
          </w:tcPr>
          <w:p>
            <w:r>
              <w:t>Create environment</w:t>
            </w:r>
          </w:p>
        </w:tc>
        <w:tc>
          <w:tcPr>
            <w:tcW w:type="dxa" w:w="5040"/>
            <w:vAlign w:val="top"/>
          </w:tcPr>
          <w:p>
            <w:r>
              <w:t>Use Python 3.11. Run `python -m venv .venv`, activate it, then install `pip install -r requirements.txt`.</w:t>
            </w:r>
          </w:p>
        </w:tc>
      </w:tr>
      <w:tr>
        <w:tc>
          <w:tcPr>
            <w:tcW w:type="dxa" w:w="5040"/>
            <w:vAlign w:val="top"/>
          </w:tcPr>
          <w:p>
            <w:r>
              <w:t>Conda alternative</w:t>
            </w:r>
          </w:p>
        </w:tc>
        <w:tc>
          <w:tcPr>
            <w:tcW w:type="dxa" w:w="5040"/>
            <w:vAlign w:val="top"/>
          </w:tcPr>
          <w:p>
            <w:r>
              <w:t>Run `conda env create -f environment.yml` and `conda activate aain7420-campus-chat`.</w:t>
            </w:r>
          </w:p>
        </w:tc>
      </w:tr>
      <w:tr>
        <w:tc>
          <w:tcPr>
            <w:tcW w:type="dxa" w:w="5040"/>
            <w:vAlign w:val="top"/>
          </w:tcPr>
          <w:p>
            <w:r>
              <w:t>Verify</w:t>
            </w:r>
          </w:p>
        </w:tc>
        <w:tc>
          <w:tcPr>
            <w:tcW w:type="dxa" w:w="5040"/>
            <w:vAlign w:val="top"/>
          </w:tcPr>
          <w:p>
            <w:r>
              <w:t>Run `python -c "import pandas, sklearn, fastapi; print('Environment ready')"`.</w:t>
            </w:r>
          </w:p>
        </w:tc>
      </w:tr>
    </w:tbl>
    <w:p/>
    <w:p>
      <w:pPr>
        <w:pStyle w:val="Heading1"/>
      </w:pPr>
      <w:r>
        <w:t>5. Data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Explanation</w:t>
            </w:r>
          </w:p>
        </w:tc>
      </w:tr>
      <w:tr>
        <w:tc>
          <w:tcPr>
            <w:tcW w:type="dxa" w:w="5040"/>
            <w:vAlign w:val="top"/>
          </w:tcPr>
          <w:p>
            <w:r>
              <w:t>campus_intents.csv</w:t>
            </w:r>
          </w:p>
        </w:tc>
        <w:tc>
          <w:tcPr>
            <w:tcW w:type="dxa" w:w="5040"/>
            <w:vAlign w:val="top"/>
          </w:tcPr>
          <w:p>
            <w:r>
              <w:t>Training examples with stable ID, text, and intent label.</w:t>
            </w:r>
          </w:p>
        </w:tc>
      </w:tr>
      <w:tr>
        <w:tc>
          <w:tcPr>
            <w:tcW w:type="dxa" w:w="5040"/>
            <w:vAlign w:val="top"/>
          </w:tcPr>
          <w:p>
            <w:r>
              <w:t>campus_documents.csv</w:t>
            </w:r>
          </w:p>
        </w:tc>
        <w:tc>
          <w:tcPr>
            <w:tcW w:type="dxa" w:w="5040"/>
            <w:vAlign w:val="top"/>
          </w:tcPr>
          <w:p>
            <w:r>
              <w:t>Fictional campus documents. Three intentionally invalid records demonstrate quarantine.</w:t>
            </w:r>
          </w:p>
        </w:tc>
      </w:tr>
      <w:tr>
        <w:tc>
          <w:tcPr>
            <w:tcW w:type="dxa" w:w="5040"/>
            <w:vAlign w:val="top"/>
          </w:tcPr>
          <w:p>
            <w:r>
              <w:t>campus_benchmark.csv</w:t>
            </w:r>
          </w:p>
        </w:tc>
        <w:tc>
          <w:tcPr>
            <w:tcW w:type="dxa" w:w="5040"/>
            <w:vAlign w:val="top"/>
          </w:tcPr>
          <w:p>
            <w:r>
              <w:t>Evaluation questions with expected intent and expected authoritative document.</w:t>
            </w:r>
          </w:p>
        </w:tc>
      </w:tr>
      <w:tr>
        <w:tc>
          <w:tcPr>
            <w:tcW w:type="dxa" w:w="5040"/>
            <w:vAlign w:val="top"/>
          </w:tcPr>
          <w:p>
            <w:r>
              <w:t>sample_feedback.csv</w:t>
            </w:r>
          </w:p>
        </w:tc>
        <w:tc>
          <w:tcPr>
            <w:tcW w:type="dxa" w:w="5040"/>
            <w:vAlign w:val="top"/>
          </w:tcPr>
          <w:p>
            <w:r>
              <w:t>Post-deployment feedback showing why review is required before reuse as labels or benchmarks.</w:t>
            </w:r>
          </w:p>
        </w:tc>
      </w:tr>
    </w:tbl>
    <w:p/>
    <w:p>
      <w:pPr>
        <w:pStyle w:val="Heading1"/>
      </w:pPr>
      <w:r>
        <w:t>6. Run the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Explanation</w:t>
            </w:r>
          </w:p>
        </w:tc>
      </w:tr>
      <w:tr>
        <w:tc>
          <w:tcPr>
            <w:tcW w:type="dxa" w:w="5040"/>
            <w:vAlign w:val="top"/>
          </w:tcPr>
          <w:p>
            <w:r>
              <w:t>Command</w:t>
            </w:r>
          </w:p>
        </w:tc>
        <w:tc>
          <w:tcPr>
            <w:tcW w:type="dxa" w:w="5040"/>
            <w:vAlign w:val="top"/>
          </w:tcPr>
          <w:p>
            <w:r>
              <w:t>Run `python scripts/train_all.py` from the project root.</w:t>
            </w:r>
          </w:p>
        </w:tc>
      </w:tr>
      <w:tr>
        <w:tc>
          <w:tcPr>
            <w:tcW w:type="dxa" w:w="5040"/>
            <w:vAlign w:val="top"/>
          </w:tcPr>
          <w:p>
            <w:r>
              <w:t>Training stage</w:t>
            </w:r>
          </w:p>
        </w:tc>
        <w:tc>
          <w:tcPr>
            <w:tcW w:type="dxa" w:w="5040"/>
            <w:vAlign w:val="top"/>
          </w:tcPr>
          <w:p>
            <w:r>
              <w:t>The classifier uses a reproducible split, fixed random state, TF-IDF vectorizer, and Logistic Regression.</w:t>
            </w:r>
          </w:p>
        </w:tc>
      </w:tr>
      <w:tr>
        <w:tc>
          <w:tcPr>
            <w:tcW w:type="dxa" w:w="5040"/>
            <w:vAlign w:val="top"/>
          </w:tcPr>
          <w:p>
            <w:r>
              <w:t>Retrieval stage</w:t>
            </w:r>
          </w:p>
        </w:tc>
        <w:tc>
          <w:tcPr>
            <w:tcW w:type="dxa" w:w="5040"/>
            <w:vAlign w:val="top"/>
          </w:tcPr>
          <w:p>
            <w:r>
              <w:t>The corpus is validated, invalid documents are quarantined, approved documents are snapshotted and chunked, and a retrieval index is built.</w:t>
            </w:r>
          </w:p>
        </w:tc>
      </w:tr>
      <w:tr>
        <w:tc>
          <w:tcPr>
            <w:tcW w:type="dxa" w:w="5040"/>
            <w:vAlign w:val="top"/>
          </w:tcPr>
          <w:p>
            <w:r>
              <w:t>Evaluation stage</w:t>
            </w:r>
          </w:p>
        </w:tc>
        <w:tc>
          <w:tcPr>
            <w:tcW w:type="dxa" w:w="5040"/>
            <w:vAlign w:val="top"/>
          </w:tcPr>
          <w:p>
            <w:r>
              <w:t>The application is tested against benchmark questions. Results and release evidence are saved in `artifacts/`.</w:t>
            </w:r>
          </w:p>
        </w:tc>
      </w:tr>
    </w:tbl>
    <w:p/>
    <w:p>
      <w:pPr>
        <w:pStyle w:val="Heading1"/>
      </w:pPr>
      <w:r>
        <w:t>7. Inspect the MLOps and LLMOps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Explanation</w:t>
            </w:r>
          </w:p>
        </w:tc>
      </w:tr>
      <w:tr>
        <w:tc>
          <w:tcPr>
            <w:tcW w:type="dxa" w:w="5040"/>
            <w:vAlign w:val="top"/>
          </w:tcPr>
          <w:p>
            <w:r>
              <w:t>training_run.json</w:t>
            </w:r>
          </w:p>
        </w:tc>
        <w:tc>
          <w:tcPr>
            <w:tcW w:type="dxa" w:w="5040"/>
            <w:vAlign w:val="top"/>
          </w:tcPr>
          <w:p>
            <w:r>
              <w:t>Data snapshot, parameters, split, code version, model type, classes, and metrics.</w:t>
            </w:r>
          </w:p>
        </w:tc>
      </w:tr>
      <w:tr>
        <w:tc>
          <w:tcPr>
            <w:tcW w:type="dxa" w:w="5040"/>
            <w:vAlign w:val="top"/>
          </w:tcPr>
          <w:p>
            <w:r>
              <w:t>model_registry.json</w:t>
            </w:r>
          </w:p>
        </w:tc>
        <w:tc>
          <w:tcPr>
            <w:tcW w:type="dxa" w:w="5040"/>
            <w:vAlign w:val="top"/>
          </w:tcPr>
          <w:p>
            <w:r>
              <w:t>Model version, artifact paths, metrics, lifecycle stage, owner, and rollback field.</w:t>
            </w:r>
          </w:p>
        </w:tc>
      </w:tr>
      <w:tr>
        <w:tc>
          <w:tcPr>
            <w:tcW w:type="dxa" w:w="5040"/>
            <w:vAlign w:val="top"/>
          </w:tcPr>
          <w:p>
            <w:r>
              <w:t>prompt_registry.json</w:t>
            </w:r>
          </w:p>
        </w:tc>
        <w:tc>
          <w:tcPr>
            <w:tcW w:type="dxa" w:w="5040"/>
            <w:vAlign w:val="top"/>
          </w:tcPr>
          <w:p>
            <w:r>
              <w:t>Prompt version, owner, template, safety rules, approval status, and rollback field.</w:t>
            </w:r>
          </w:p>
        </w:tc>
      </w:tr>
      <w:tr>
        <w:tc>
          <w:tcPr>
            <w:tcW w:type="dxa" w:w="5040"/>
            <w:vAlign w:val="top"/>
          </w:tcPr>
          <w:p>
            <w:r>
              <w:t>corpus_manifest.json</w:t>
            </w:r>
          </w:p>
        </w:tc>
        <w:tc>
          <w:tcPr>
            <w:tcW w:type="dxa" w:w="5040"/>
            <w:vAlign w:val="top"/>
          </w:tcPr>
          <w:p>
            <w:r>
              <w:t>Approved source documents and their versions and hashes.</w:t>
            </w:r>
          </w:p>
        </w:tc>
      </w:tr>
      <w:tr>
        <w:tc>
          <w:tcPr>
            <w:tcW w:type="dxa" w:w="5040"/>
            <w:vAlign w:val="top"/>
          </w:tcPr>
          <w:p>
            <w:r>
              <w:t>index_manifest.json</w:t>
            </w:r>
          </w:p>
        </w:tc>
        <w:tc>
          <w:tcPr>
            <w:tcW w:type="dxa" w:w="5040"/>
            <w:vAlign w:val="top"/>
          </w:tcPr>
          <w:p>
            <w:r>
              <w:t>Index build, corpus snapshot, chunking version, retrieval model, and build time.</w:t>
            </w:r>
          </w:p>
        </w:tc>
      </w:tr>
      <w:tr>
        <w:tc>
          <w:tcPr>
            <w:tcW w:type="dxa" w:w="5040"/>
            <w:vAlign w:val="top"/>
          </w:tcPr>
          <w:p>
            <w:r>
              <w:t>benchmark_results.csv</w:t>
            </w:r>
          </w:p>
        </w:tc>
        <w:tc>
          <w:tcPr>
            <w:tcW w:type="dxa" w:w="5040"/>
            <w:vAlign w:val="top"/>
          </w:tcPr>
          <w:p>
            <w:r>
              <w:t>Per-question retrieval evidence and hit metrics.</w:t>
            </w:r>
          </w:p>
        </w:tc>
      </w:tr>
      <w:tr>
        <w:tc>
          <w:tcPr>
            <w:tcW w:type="dxa" w:w="5040"/>
            <w:vAlign w:val="top"/>
          </w:tcPr>
          <w:p>
            <w:r>
              <w:t>release_gate.json</w:t>
            </w:r>
          </w:p>
        </w:tc>
        <w:tc>
          <w:tcPr>
            <w:tcW w:type="dxa" w:w="5040"/>
            <w:vAlign w:val="top"/>
          </w:tcPr>
          <w:p>
            <w:r>
              <w:t>Explicit pass/fail checks and decision owner.</w:t>
            </w:r>
          </w:p>
        </w:tc>
      </w:tr>
      <w:tr>
        <w:tc>
          <w:tcPr>
            <w:tcW w:type="dxa" w:w="5040"/>
            <w:vAlign w:val="top"/>
          </w:tcPr>
          <w:p>
            <w:r>
              <w:t>deployment_manifest.json</w:t>
            </w:r>
          </w:p>
        </w:tc>
        <w:tc>
          <w:tcPr>
            <w:tcW w:type="dxa" w:w="5040"/>
            <w:vAlign w:val="top"/>
          </w:tcPr>
          <w:p>
            <w:r>
              <w:t>The application release bundle: model, prompt, corpus, chunking, index, benchmark, safety policy, rollout, rollback, and owner.</w:t>
            </w:r>
          </w:p>
        </w:tc>
      </w:tr>
    </w:tbl>
    <w:p/>
    <w:p>
      <w:pPr>
        <w:pStyle w:val="Heading1"/>
      </w:pPr>
      <w:r>
        <w:t>8. Run the API and Chat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Explanation</w:t>
            </w:r>
          </w:p>
        </w:tc>
      </w:tr>
      <w:tr>
        <w:tc>
          <w:tcPr>
            <w:tcW w:type="dxa" w:w="5040"/>
            <w:vAlign w:val="top"/>
          </w:tcPr>
          <w:p>
            <w:r>
              <w:t>API</w:t>
            </w:r>
          </w:p>
        </w:tc>
        <w:tc>
          <w:tcPr>
            <w:tcW w:type="dxa" w:w="5040"/>
            <w:vAlign w:val="top"/>
          </w:tcPr>
          <w:p>
            <w:r>
              <w:t>Run `uvicorn app.api:app --reload --port 8000`. Use `/docs` for interactive API testing.</w:t>
            </w:r>
          </w:p>
        </w:tc>
      </w:tr>
      <w:tr>
        <w:tc>
          <w:tcPr>
            <w:tcW w:type="dxa" w:w="5040"/>
            <w:vAlign w:val="top"/>
          </w:tcPr>
          <w:p>
            <w:r>
              <w:t>UI</w:t>
            </w:r>
          </w:p>
        </w:tc>
        <w:tc>
          <w:tcPr>
            <w:tcW w:type="dxa" w:w="5040"/>
            <w:vAlign w:val="top"/>
          </w:tcPr>
          <w:p>
            <w:r>
              <w:t>In another terminal, run `streamlit run app/streamlit_app.py` and open port 8501.</w:t>
            </w:r>
          </w:p>
        </w:tc>
      </w:tr>
      <w:tr>
        <w:tc>
          <w:tcPr>
            <w:tcW w:type="dxa" w:w="5040"/>
            <w:vAlign w:val="top"/>
          </w:tcPr>
          <w:p>
            <w:r>
              <w:t>Evidence</w:t>
            </w:r>
          </w:p>
        </w:tc>
        <w:tc>
          <w:tcPr>
            <w:tcW w:type="dxa" w:w="5040"/>
            <w:vAlign w:val="top"/>
          </w:tcPr>
          <w:p>
            <w:r>
              <w:t>Each chat request creates a JSON trace in `evidence/` with the active release versions and retrieved chunks.</w:t>
            </w:r>
          </w:p>
        </w:tc>
      </w:tr>
    </w:tbl>
    <w:p/>
    <w:p>
      <w:pPr>
        <w:pStyle w:val="Heading1"/>
      </w:pPr>
      <w:r>
        <w:t>9. Docker and 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Explanation</w:t>
            </w:r>
          </w:p>
        </w:tc>
      </w:tr>
      <w:tr>
        <w:tc>
          <w:tcPr>
            <w:tcW w:type="dxa" w:w="5040"/>
            <w:vAlign w:val="top"/>
          </w:tcPr>
          <w:p>
            <w:r>
              <w:t>Docker</w:t>
            </w:r>
          </w:p>
        </w:tc>
        <w:tc>
          <w:tcPr>
            <w:tcW w:type="dxa" w:w="5040"/>
            <w:vAlign w:val="top"/>
          </w:tcPr>
          <w:p>
            <w:r>
              <w:t>Run `docker compose up --build` to start the API and UI in reproducible containers.</w:t>
            </w:r>
          </w:p>
        </w:tc>
      </w:tr>
      <w:tr>
        <w:tc>
          <w:tcPr>
            <w:tcW w:type="dxa" w:w="5040"/>
            <w:vAlign w:val="top"/>
          </w:tcPr>
          <w:p>
            <w:r>
              <w:t>Tests</w:t>
            </w:r>
          </w:p>
        </w:tc>
        <w:tc>
          <w:tcPr>
            <w:tcW w:type="dxa" w:w="5040"/>
            <w:vAlign w:val="top"/>
          </w:tcPr>
          <w:p>
            <w:r>
              <w:t>Run `python -m pytest -q` to test quarantine and chat inference.</w:t>
            </w:r>
          </w:p>
        </w:tc>
      </w:tr>
      <w:tr>
        <w:tc>
          <w:tcPr>
            <w:tcW w:type="dxa" w:w="5040"/>
            <w:vAlign w:val="top"/>
          </w:tcPr>
          <w:p>
            <w:r>
              <w:t>CI</w:t>
            </w:r>
          </w:p>
        </w:tc>
        <w:tc>
          <w:tcPr>
            <w:tcW w:type="dxa" w:w="5040"/>
            <w:vAlign w:val="top"/>
          </w:tcPr>
          <w:p>
            <w:r>
              <w:t>The included GitHub Actions workflow installs dependencies, rebuilds artifacts, and runs tests after pushes and pull requests.</w:t>
            </w:r>
          </w:p>
        </w:tc>
      </w:tr>
    </w:tbl>
    <w:p/>
    <w:p>
      <w:pPr>
        <w:pStyle w:val="Heading1"/>
      </w:pPr>
      <w:r>
        <w:t>10. Classroom Quiet-Failure Exercises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Explanation</w:t>
            </w:r>
          </w:p>
        </w:tc>
      </w:tr>
      <w:tr>
        <w:tc>
          <w:tcPr>
            <w:tcW w:type="dxa" w:w="5040"/>
            <w:vAlign w:val="top"/>
          </w:tcPr>
          <w:p>
            <w:r>
              <w:t>Stale corpus</w:t>
            </w:r>
          </w:p>
        </w:tc>
        <w:tc>
          <w:tcPr>
            <w:tcW w:type="dxa" w:w="5040"/>
            <w:vAlign w:val="top"/>
          </w:tcPr>
          <w:p>
            <w:r>
              <w:t>Change a policy document without rebuilding the index. Compare corpus and deployment manifests.</w:t>
            </w:r>
          </w:p>
        </w:tc>
      </w:tr>
      <w:tr>
        <w:tc>
          <w:tcPr>
            <w:tcW w:type="dxa" w:w="5040"/>
            <w:vAlign w:val="top"/>
          </w:tcPr>
          <w:p>
            <w:r>
              <w:t>Partial rollback</w:t>
            </w:r>
          </w:p>
        </w:tc>
        <w:tc>
          <w:tcPr>
            <w:tcW w:type="dxa" w:w="5040"/>
            <w:vAlign w:val="top"/>
          </w:tcPr>
          <w:p>
            <w:r>
              <w:t>Roll back only the model while leaving the prompt or index unchanged. Explain why behavior may remain wrong.</w:t>
            </w:r>
          </w:p>
        </w:tc>
      </w:tr>
      <w:tr>
        <w:tc>
          <w:tcPr>
            <w:tcW w:type="dxa" w:w="5040"/>
            <w:vAlign w:val="top"/>
          </w:tcPr>
          <w:p>
            <w:r>
              <w:t>Benchmark drift</w:t>
            </w:r>
          </w:p>
        </w:tc>
        <w:tc>
          <w:tcPr>
            <w:tcW w:type="dxa" w:w="5040"/>
            <w:vAlign w:val="top"/>
          </w:tcPr>
          <w:p>
            <w:r>
              <w:t>Change expected benchmark answers without creating a new benchmark release.</w:t>
            </w:r>
          </w:p>
        </w:tc>
      </w:tr>
      <w:tr>
        <w:tc>
          <w:tcPr>
            <w:tcW w:type="dxa" w:w="5040"/>
            <w:vAlign w:val="top"/>
          </w:tcPr>
          <w:p>
            <w:r>
              <w:t>Feedback contamination</w:t>
            </w:r>
          </w:p>
        </w:tc>
        <w:tc>
          <w:tcPr>
            <w:tcW w:type="dxa" w:w="5040"/>
            <w:vAlign w:val="top"/>
          </w:tcPr>
          <w:p>
            <w:r>
              <w:t>Treat a user rating as truth without review. Explain how the system can learn from its own errors or interface bias.</w:t>
            </w:r>
          </w:p>
        </w:tc>
      </w:tr>
      <w:tr>
        <w:tc>
          <w:tcPr>
            <w:tcW w:type="dxa" w:w="5040"/>
            <w:vAlign w:val="top"/>
          </w:tcPr>
          <w:p>
            <w:r>
              <w:t>Serving versus evidence</w:t>
            </w:r>
          </w:p>
        </w:tc>
        <w:tc>
          <w:tcPr>
            <w:tcW w:type="dxa" w:w="5040"/>
            <w:vAlign w:val="top"/>
          </w:tcPr>
          <w:p>
            <w:r>
              <w:t>Identify what is active now from the deployment manifest and what explains one answer from the request trace.</w:t>
            </w:r>
          </w:p>
        </w:tc>
      </w:tr>
    </w:tbl>
    <w:p/>
    <w:p>
      <w:pPr>
        <w:pStyle w:val="Heading1"/>
      </w:pPr>
      <w:r>
        <w:t>11. Student Extension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Explanation</w:t>
            </w:r>
          </w:p>
        </w:tc>
      </w:tr>
      <w:tr>
        <w:tc>
          <w:tcPr>
            <w:tcW w:type="dxa" w:w="5040"/>
            <w:vAlign w:val="top"/>
          </w:tcPr>
          <w:p>
            <w:r>
              <w:t>New intent</w:t>
            </w:r>
          </w:p>
        </w:tc>
        <w:tc>
          <w:tcPr>
            <w:tcW w:type="dxa" w:w="5040"/>
            <w:vAlign w:val="top"/>
          </w:tcPr>
          <w:p>
            <w:r>
              <w:t>Add examples, retrain, update metrics, and promote a new model version.</w:t>
            </w:r>
          </w:p>
        </w:tc>
      </w:tr>
      <w:tr>
        <w:tc>
          <w:tcPr>
            <w:tcW w:type="dxa" w:w="5040"/>
            <w:vAlign w:val="top"/>
          </w:tcPr>
          <w:p>
            <w:r>
              <w:t>New corpus release</w:t>
            </w:r>
          </w:p>
        </w:tc>
        <w:tc>
          <w:tcPr>
            <w:tcW w:type="dxa" w:w="5040"/>
            <w:vAlign w:val="top"/>
          </w:tcPr>
          <w:p>
            <w:r>
              <w:t>Add or update documents, create a new corpus snapshot, rebuild the index, rerun benchmarks, and create a new deployment manifest.</w:t>
            </w:r>
          </w:p>
        </w:tc>
      </w:tr>
      <w:tr>
        <w:tc>
          <w:tcPr>
            <w:tcW w:type="dxa" w:w="5040"/>
            <w:vAlign w:val="top"/>
          </w:tcPr>
          <w:p>
            <w:r>
              <w:t>Embedding retrieval</w:t>
            </w:r>
          </w:p>
        </w:tc>
        <w:tc>
          <w:tcPr>
            <w:tcW w:type="dxa" w:w="5040"/>
            <w:vAlign w:val="top"/>
          </w:tcPr>
          <w:p>
            <w:r>
              <w:t>Replace TF-IDF retrieval with sentence embeddings while preserving the corpus, chunking, model, and index lineage.</w:t>
            </w:r>
          </w:p>
        </w:tc>
      </w:tr>
      <w:tr>
        <w:tc>
          <w:tcPr>
            <w:tcW w:type="dxa" w:w="5040"/>
            <w:vAlign w:val="top"/>
          </w:tcPr>
          <w:p>
            <w:r>
              <w:t>Monitoring dashboard</w:t>
            </w:r>
          </w:p>
        </w:tc>
        <w:tc>
          <w:tcPr>
            <w:tcW w:type="dxa" w:w="5040"/>
            <w:vAlign w:val="top"/>
          </w:tcPr>
          <w:p>
            <w:r>
              <w:t>Track fallback rate, confidence distribution, retrieval score, intent mix, source freshness, and trace completeness.</w:t>
            </w:r>
          </w:p>
        </w:tc>
      </w:tr>
      <w:tr>
        <w:tc>
          <w:tcPr>
            <w:tcW w:type="dxa" w:w="5040"/>
            <w:vAlign w:val="top"/>
          </w:tcPr>
          <w:p>
            <w:r>
              <w:t>Authentication and permissions</w:t>
            </w:r>
          </w:p>
        </w:tc>
        <w:tc>
          <w:tcPr>
            <w:tcW w:type="dxa" w:w="5040"/>
            <w:vAlign w:val="top"/>
          </w:tcPr>
          <w:p>
            <w:r>
              <w:t>Add role-based retrieval and explain how permissions become part of serving state.</w:t>
            </w:r>
          </w:p>
        </w:tc>
      </w:tr>
      <w:tr>
        <w:tc>
          <w:tcPr>
            <w:tcW w:type="dxa" w:w="5040"/>
            <w:vAlign w:val="top"/>
          </w:tcPr>
          <w:p>
            <w:r>
              <w:t>Optional LLM</w:t>
            </w:r>
          </w:p>
        </w:tc>
        <w:tc>
          <w:tcPr>
            <w:tcW w:type="dxa" w:w="5040"/>
            <w:vAlign w:val="top"/>
          </w:tcPr>
          <w:p>
            <w:r>
              <w:t>Add an LLM only after preserving prompt instances, context, tool output, evaluation, safety, and rollback information.</w:t>
            </w:r>
          </w:p>
        </w:tc>
      </w:tr>
    </w:tbl>
    <w:p/>
    <w:p>
      <w:pPr>
        <w:pStyle w:val="Heading1"/>
      </w:pPr>
      <w:r>
        <w:t>12. Production-Readiness Warning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Explanation</w:t>
            </w:r>
          </w:p>
        </w:tc>
      </w:tr>
      <w:tr>
        <w:tc>
          <w:tcPr>
            <w:tcW w:type="dxa" w:w="5040"/>
            <w:vAlign w:val="top"/>
          </w:tcPr>
          <w:p>
            <w:r>
              <w:t>Scope</w:t>
            </w:r>
          </w:p>
        </w:tc>
        <w:tc>
          <w:tcPr>
            <w:tcW w:type="dxa" w:w="5040"/>
            <w:vAlign w:val="top"/>
          </w:tcPr>
          <w:p>
            <w:r>
              <w:t>This package is production-style but not production-ready.</w:t>
            </w:r>
          </w:p>
        </w:tc>
      </w:tr>
      <w:tr>
        <w:tc>
          <w:tcPr>
            <w:tcW w:type="dxa" w:w="5040"/>
            <w:vAlign w:val="top"/>
          </w:tcPr>
          <w:p>
            <w:r>
              <w:t>Missing controls</w:t>
            </w:r>
          </w:p>
        </w:tc>
        <w:tc>
          <w:tcPr>
            <w:tcW w:type="dxa" w:w="5040"/>
            <w:vAlign w:val="top"/>
          </w:tcPr>
          <w:p>
            <w:r>
              <w:t>A real university deployment requires authoritative data, privacy/security/accessibility review, authentication, authorization, secrets management, monitoring, alerting, backup, incident response, legal review, human escalation, load testing, and institutional ownership.</w:t>
            </w:r>
          </w:p>
        </w:tc>
      </w:tr>
      <w:tr>
        <w:tc>
          <w:tcPr>
            <w:tcW w:type="dxa" w:w="5040"/>
            <w:vAlign w:val="top"/>
          </w:tcPr>
          <w:p>
            <w:r>
              <w:t>Safe use</w:t>
            </w:r>
          </w:p>
        </w:tc>
        <w:tc>
          <w:tcPr>
            <w:tcW w:type="dxa" w:w="5040"/>
            <w:vAlign w:val="top"/>
          </w:tcPr>
          <w:p>
            <w:r>
              <w:t>All included data is synthetic and fictional. The application is not an official source of campus policy or student-record advice.</w:t>
            </w:r>
          </w:p>
        </w:tc>
      </w:tr>
    </w:tbl>
    <w:p/>
    <w:p>
      <w:pPr>
        <w:pStyle w:val="Heading1"/>
      </w:pPr>
      <w:r>
        <w:t>13. Quick Start Commands</w:t>
      </w:r>
    </w:p>
    <w:p>
      <w:pPr>
        <w:pStyle w:val="IntenseQuote"/>
      </w:pPr>
      <w:r>
        <w:t>python -m venv .venv</w:t>
      </w:r>
    </w:p>
    <w:p>
      <w:pPr>
        <w:pStyle w:val="IntenseQuote"/>
      </w:pPr>
      <w:r>
        <w:t>pip install -r requirements.txt</w:t>
      </w:r>
    </w:p>
    <w:p>
      <w:pPr>
        <w:pStyle w:val="IntenseQuote"/>
      </w:pPr>
      <w:r>
        <w:t>python scripts/train_all.py</w:t>
      </w:r>
    </w:p>
    <w:p>
      <w:pPr>
        <w:pStyle w:val="IntenseQuote"/>
      </w:pPr>
      <w:r>
        <w:t>uvicorn app.api:app --reload --port 8000</w:t>
      </w:r>
    </w:p>
    <w:p>
      <w:pPr>
        <w:pStyle w:val="IntenseQuote"/>
      </w:pPr>
      <w:r>
        <w:t>streamlit run app/streamlit_app.py</w:t>
      </w:r>
    </w:p>
    <w:p>
      <w:pPr>
        <w:pStyle w:val="IntenseQuote"/>
      </w:pPr>
      <w:r>
        <w:t>python -m pytest -q</w:t>
      </w:r>
    </w:p>
    <w:p>
      <w:pPr>
        <w:pStyle w:val="IntenseQuote"/>
      </w:pPr>
      <w:r>
        <w:t>docker compose up --build</w:t>
      </w:r>
    </w:p>
    <w:p>
      <w:pPr>
        <w:pStyle w:val="Heading1"/>
      </w:pPr>
      <w:r>
        <w:t>14. Chapter 7 Discussion Questions</w:t>
      </w:r>
    </w:p>
    <w:p>
      <w:pPr>
        <w:pStyle w:val="ListNumber"/>
      </w:pPr>
      <w:r>
        <w:t>Which exact assets are required to reproduce the classifier training run?</w:t>
      </w:r>
    </w:p>
    <w:p>
      <w:pPr>
        <w:pStyle w:val="ListNumber"/>
      </w:pPr>
      <w:r>
        <w:t>Which artifacts must be promoted or rolled back together for Campus Chat?</w:t>
      </w:r>
    </w:p>
    <w:p>
      <w:pPr>
        <w:pStyle w:val="ListNumber"/>
      </w:pPr>
      <w:r>
        <w:t>Why is the retrieval index serving state rather than source-of-truth storage?</w:t>
      </w:r>
    </w:p>
    <w:p>
      <w:pPr>
        <w:pStyle w:val="ListNumber"/>
      </w:pPr>
      <w:r>
        <w:t>What should block deployment even when model accuracy passes?</w:t>
      </w:r>
    </w:p>
    <w:p>
      <w:pPr>
        <w:pStyle w:val="ListNumber"/>
      </w:pPr>
      <w:r>
        <w:t>Which request-trace fields support incident reconstruction?</w:t>
      </w:r>
    </w:p>
    <w:p>
      <w:pPr>
        <w:pStyle w:val="ListNumber"/>
      </w:pPr>
      <w:r>
        <w:t>Why should post-deployment feedback be reviewed before it becomes a label?</w:t>
      </w:r>
    </w:p>
    <w:p>
      <w:pPr>
        <w:pStyle w:val="ListNumber"/>
      </w:pPr>
      <w:r>
        <w:t>Who owns corpus freshness, prompt approval, model promotion, and rollback execution?</w:t>
      </w:r>
    </w:p>
    <w:p>
      <w:r>
        <w:t>End of tutorial.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