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/>
          <w:rFonts w:ascii="Calibri" w:hAnsi="Calibri"/>
          <w:b/>
          <w:i w:val="0"/>
          <w:sz w:val="36"/>
        </w:rPr>
        <w:t>Corpus Register</w:t>
      </w:r>
    </w:p>
    <w:p>
      <w:pPr>
        <w:jc w:val="center"/>
      </w:pPr>
      <w:r>
        <w:rPr>
          <w:rFonts w:ascii="Calibri" w:hAnsi="Calibri" w:cs="Calibri"/>
          <w:rFonts w:ascii="Calibri" w:hAnsi="Calibri"/>
          <w:b w:val="0"/>
          <w:i/>
          <w:sz w:val="24"/>
        </w:rPr>
        <w:t>ProcurePrep UG — BSE4104 AI Agentic Capstone</w:t>
      </w:r>
    </w:p>
    <w:p/>
    <w:p>
      <w:r>
        <w:rPr>
          <w:rFonts w:ascii="Calibri" w:hAnsi="Calibri" w:cs="Calibri"/>
          <w:rFonts w:ascii="Calibri" w:hAnsi="Calibri"/>
          <w:b/>
          <w:i w:val="0"/>
          <w:sz w:val="22"/>
        </w:rPr>
        <w:t>Last updated: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2026-09-17 (Week 3 scope correction)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Location: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knowledge/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Vector store: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ChromaDB collection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procureprep_corpus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(built via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src/embed_store.py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)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>This corpus grounds the SME procurement-preparation workflow: inventory reorder checks, quotation comparison, requisition drafting, and supplier compliance—not external tender bid submission.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Corpus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Filename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Purpose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Provenance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requisition_checklist.txt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Internal approval checklist before a purchase requisition is authorized (budget, signatures, specifications, threshold, justification).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team-created/synthetic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requisition_template_goods.txt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Standard fields for requesting physical goods (quantity, UGX pricing, purpose, approver).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team-created/synthetic (public template style)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requisition_template_services.txt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Standard fields for requesting services (duration, location, deliverables, justification).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team-created/synthetic (public template style)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purchase_order_template.txt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PO layout: line items, UGX subtotal, 18% VAT, authorized signature.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team-created/synthetic (public template style)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supplier_terms_conditions.txt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Default supplier T&amp;Cs: 30-day net payment, UGX currency, Kampala delivery, quality/returns, 14-day termination notice.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team-created/synthetic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supplier_code_of_conduct.txt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Ethical expectations: Ugandan law compliance, anti-corruption, labor rights, environment, conflict of interest.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team-created/synthetic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supplier_code_of_conduct_addendum.txt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SME-specific addendum: local registration, quotation integrity, delivery commitments, violation reporting.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team-created/synthetic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vendor_evaluation_criteria.txt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Formal scoring weights: Price 40%, Quality 30%, Experience 15%, Delivery 15%; 70% minimum pass threshold.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team-created/synthetic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quotation_evaluation_criteria_sme.txt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Required quotation fields and risk flags for small-purchase / reorder comparison (validity, MOQ, shortfall, anomalies).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team-created/synthetic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sme_reorder_policy.txt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When to reorder (stock &lt; threshold), quote solicitation rules, validity requirements, human approval gate.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team-created/synthetic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procurement_policy_ug.txt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SME purchase-value bands: micro direct buy (&lt; UGX 500k), small purchases (3 quotes, UGX 500k–5M), large/open tender (&gt; UGX 5M); local preference.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team-created/synthetic (informed by PPDA SME concepts)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contract_negotiation_guidelines.txt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Negotiation focus areas: market rates, payment/delivery/warranty clauses, legal/procurement approval for non-standard terms.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team-created/synthetic</w:t>
            </w:r>
          </w:p>
        </w:tc>
      </w:tr>
    </w:tbl>
    <w:p/>
    <w:p>
      <w:r>
        <w:rPr>
          <w:rFonts w:ascii="Calibri" w:hAnsi="Calibri" w:cs="Calibri"/>
          <w:rFonts w:ascii="Calibri" w:hAnsi="Calibri"/>
          <w:b/>
          <w:i w:val="0"/>
          <w:sz w:val="22"/>
        </w:rPr>
        <w:t>Total active documents: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12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Documents Removed or Set Aside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Filename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Decision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tender_checklist.txt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Removed from active corpus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Content is exclusively external tender-submission oriented (trading license, URA tax clearance, certificate of incorporation, technical/financial proposals for bid packages). This belongs to the legacy tender-checker use case in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legacy/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, not the SME internal reorder → quotation → requisition workflow. Retained only under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legacy/knowledge/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for auditability.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procurement_policy_ug.txt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Kept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Although it mentions “open tendering” for purchases over UGX 5M, the threshold bands and three-quote rule for small purchases are directly applicable to SME quotation comparison and requisition approval. It is not tender-checklist-specific.</w:t>
            </w:r>
          </w:p>
        </w:tc>
      </w:tr>
    </w:tbl>
    <w:p/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Chunking &amp; Embedding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Ingestion: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src/ingest.py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— 400-word chunks, 50-word overlap.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Embeddings: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Gemini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models/gemini-embedding-001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with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retrieval_document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/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retrieval_query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task types.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Storage: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ChromaDB persistent client at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chroma_db/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>Re-run after corpus changes:</w:t>
      </w:r>
    </w:p>
    <w:p>
      <w:pPr>
        <w:spacing w:before="0" w:after="0"/>
        <w:ind w:left="216"/>
      </w:pP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python src/embed_store.py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Intended Retrieval Targets by Workflow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Workflow step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Primary corpus documents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Reorder triggered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sme_reorder_policy.txt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procurement_policy_ug.txt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Quotation comparison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quotation_evaluation_criteria_sme.txt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supplier_terms_conditions.txt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vendor_evaluation_criteria.txt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Requisition drafting (Week 4+)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requisition_template_goods.txt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requisition_template_services.txt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requisition_checklist.txt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PO issuance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purchase_order_template.txt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supplier_terms_conditions.txt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Supplier compliance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supplier_code_of_conduct.txt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supplier_code_of_conduct_addendum.txt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rFonts w:ascii="Calibri" w:hAnsi="Calibri"/>
        <w:b w:val="0"/>
        <w:i w:val="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