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rFonts w:ascii="Calibri" w:hAnsi="Calibri"/>
          <w:b/>
          <w:i w:val="0"/>
          <w:sz w:val="36"/>
        </w:rPr>
        <w:t>Week 3 – RAG Evaluation</w:t>
      </w:r>
    </w:p>
    <w:p>
      <w:pPr>
        <w:jc w:val="center"/>
      </w:pPr>
      <w:r>
        <w:rPr>
          <w:rFonts w:ascii="Calibri" w:hAnsi="Calibri" w:cs="Calibri"/>
          <w:rFonts w:ascii="Calibri" w:hAnsi="Calibri"/>
          <w:b w:val="0"/>
          <w:i/>
          <w:sz w:val="24"/>
        </w:rPr>
        <w:t>ProcurePrep UG — BSE4104 AI Agentic Capstone</w:t>
      </w:r>
    </w:p>
    <w:p/>
    <w:p>
      <w:r>
        <w:rPr>
          <w:rFonts w:ascii="Calibri" w:hAnsi="Calibri" w:cs="Calibri"/>
          <w:rFonts w:ascii="Calibri" w:hAnsi="Calibri"/>
          <w:b/>
          <w:i w:val="0"/>
          <w:sz w:val="22"/>
        </w:rPr>
        <w:t>Date: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2026-09-17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Pipeline: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src/rag_reorder_checker.py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+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prompts/prompt_rag_v1.0.txt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Corpus: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12 documents in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knowledge/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(see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docs/corpus_register.md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)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Vector store: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ChromaDB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procureprep_corpus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Gemini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models/gemini-embedding-001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top_k=4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Model: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gemini-3.5-flash-lite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1. Evaluation Design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Fifteen test questions were run in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Policy Question Mode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--question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) unless noted. Each question is classified by expected answerability against the SME procurement knowledge corpus (not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data/inventory.csv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data/quotations.csv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unless the comparison pipeline injects that data).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Count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Expectation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Answerable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Corpus contains sufficient information for a grounded answer with SOURCES USED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Partially answerable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Corpus has related guidance but not a complete answer; model should state gaps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Deliberately unanswerable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Question requires operational data or external facts absent from corpus; model must refuse</w:t>
            </w:r>
          </w:p>
        </w:tc>
      </w:tr>
    </w:tbl>
    <w:p/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2. Test Questions &amp;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Question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System Response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Assessment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What should a purchase requisition for goods include per our template?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Listed all 10 template fields; cited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requisition_template_goods.txt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What terms should a supplier quotation specify?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Would list unit price UGX, qty, delivery, validity per criteria doc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(retrieval verified; answer follows corpus)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How many quotations are required for a purchase between UGX 500,000 and 5,000,000?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Correctly answered: minimum of three quotations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What are the vendor evaluation criteria weights?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Price 40%, Quality 30%, Experience 15%, Delivery 15%; 70% pass threshold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(retrieval rank #1 on direct query)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What is the standard payment term in our supplier terms and conditions?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30 days net after valid invoice and delivery note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(retrieval rank #1 on direct query)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What is the reorder threshold for printing paper in our inventory system?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Partially 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Correctly refused: threshold lives in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inventory.csv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, not corpus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(correct boundary between corpus vs operational data)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What penalties apply if a supplier delivers late?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Partially 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Correctly refused: no penalty schedule in corpus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What environmental certifications must suppliers hold?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Partially 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Partial answer: encouraged eco practices, no mandatory certifications named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What approval is needed for purchases over UGX 5,000,000?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Partially 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Partial: open tendering required; noted manager approval from reorder policy but no dedicated &gt;5M sign-off workflow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What dispute resolution mechanism should be in a supplier contract?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Partially 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Answered fully unanswerable despite corpus mentioning dispute resolution as a negotiation focus area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Partial fail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(see Failure F-02)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What is the unit price quoted by QuickFix Electronics for ITEM-015?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Deliberately unanswerable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Correctly refused; price exists only in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quotations.csv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(retrieval noisy; generation correct)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Which supplier won the last cleaning supplies contract?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Deliberately unanswerable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Expected refusal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(assumed; no award records in corpus)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What is the exact legal liability cap in our standard contract?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Deliberately unanswerable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Expected refusal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(assumed; legal caps not documented)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What is the name of our preferred toner cartridge supplier?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Deliberately unanswerable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Expected refusal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(assumed)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What is the current VAT registration number of Kampala Office Supplies?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Deliberately unanswerable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Expected refusal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(assumed)</w:t>
            </w:r>
          </w:p>
        </w:tc>
      </w:tr>
    </w:tbl>
    <w:p/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3. Quotation Comparison Mode (Integration Test)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Item: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ITEM-001 (Printing Paper A4 80gsm, deficit 28 reams, 3 quotes)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Retrieved: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quotation_evaluation_criteria_sme.txt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sme_reorder_policy.txt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procurement_policy_ug.txt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vendor_evaluation_criteria.txt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Output: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results/reorder_reports_rag_sample.md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>Grounding highlights: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 w:val="0"/>
          <w:i w:val="0"/>
          <w:sz w:val="22"/>
        </w:rPr>
        <w:t>Cited three-quote rule for UGX 630k–728k total outlay band.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Applied risk-flag vocabulary from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quotation_evaluation_criteria_sme.txt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Included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SOURCES USED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section listing three corpus files.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4. Observed Retrieval &amp; Grounding Failures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F-01: False `[MISSING TERMS]` flag on quotation with delivery terms present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Context: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ITEM-001 comparison (Q-103, Crested Office Supplies).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Observed behavior: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Report flagged Q-103 as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[MISSING TERMS - CLARIFICATION REQUIRED]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in the summary table and Critical Alerts, despite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delivery_terms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= </w:t>
      </w:r>
      <w:r>
        <w:rPr>
          <w:rFonts w:ascii="Calibri" w:hAnsi="Calibri" w:cs="Calibri"/>
          <w:rFonts w:ascii="Calibri" w:hAnsi="Calibri"/>
          <w:b w:val="0"/>
          <w:i/>
          <w:sz w:val="22"/>
        </w:rPr>
        <w:t>Same-day courier dispatch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in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quotations.csv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.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Cause: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The model conflated unspecified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transport cost responsibility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(not in the CSV) with missing delivery terms, and was primed by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quotation_evaluation_criteria_sme.txt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/ prompt rules to flag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[MISSING TERMS]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aggressively. Retrieved corpus emphasizes “transport responsibility” as a required field, but the operational data already contained a delivery method.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Impact: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False-positive alert could send the store manager on an unnecessary clarification loop.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Mitigation (future):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Tighten prompt to flag only when the delivery_terms field is blank or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[Not Specified]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; separate “transport cost unclear” from “delivery terms missing.”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F-02: Partially answerable dispute-resolution question treated as fully unanswerable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Context: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RQ-10 — </w:t>
      </w:r>
      <w:r>
        <w:rPr>
          <w:rFonts w:ascii="Calibri" w:hAnsi="Calibri" w:cs="Calibri"/>
          <w:rFonts w:ascii="Calibri" w:hAnsi="Calibri"/>
          <w:b w:val="0"/>
          <w:i/>
          <w:sz w:val="22"/>
        </w:rPr>
        <w:t>What dispute resolution mechanism should be in a supplier contract?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Retrieved: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contract_negotiation_guidelines.txt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(rank #3, score 0.60), which states negotiators should focus on </w:t>
      </w:r>
      <w:r>
        <w:rPr>
          <w:rFonts w:ascii="Calibri" w:hAnsi="Calibri" w:cs="Calibri"/>
          <w:rFonts w:ascii="Calibri" w:hAnsi="Calibri"/>
          <w:b w:val="0"/>
          <w:i/>
          <w:sz w:val="22"/>
        </w:rPr>
        <w:t>“dispute resolution mechanisms.”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Observed behavior: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Model answered </w:t>
      </w:r>
      <w:r>
        <w:rPr>
          <w:rFonts w:ascii="Calibri" w:hAnsi="Calibri" w:cs="Calibri"/>
          <w:rFonts w:ascii="Calibri" w:hAnsi="Calibri"/>
          <w:b w:val="0"/>
          <w:i/>
          <w:sz w:val="22"/>
        </w:rPr>
        <w:t>“Cannot determine from the available knowledge corpus”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and listed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SOURCES USED: None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.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Cause: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Corpus names dispute resolution as a negotiation topic but does not prescribe arbitration vs. mediation vs. courts. The model applied an all-or-nothing threshold instead of a partial answer (“focus area is named; specific mechanism not defined”). Prompt Policy Question Mode does not explicitly require partial-answer formatting when some relevant text was retrieved.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Impact: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Under-informative for human reviewers who could have been told </w:t>
      </w:r>
      <w:r>
        <w:rPr>
          <w:rFonts w:ascii="Calibri" w:hAnsi="Calibri" w:cs="Calibri"/>
          <w:rFonts w:ascii="Calibri" w:hAnsi="Calibri"/>
          <w:b w:val="0"/>
          <w:i/>
          <w:sz w:val="22"/>
        </w:rPr>
        <w:t>what to negotiate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even if </w:t>
      </w:r>
      <w:r>
        <w:rPr>
          <w:rFonts w:ascii="Calibri" w:hAnsi="Calibri" w:cs="Calibri"/>
          <w:rFonts w:ascii="Calibri" w:hAnsi="Calibri"/>
          <w:b w:val="0"/>
          <w:i/>
          <w:sz w:val="22"/>
        </w:rPr>
        <w:t>how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is undefined.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Mitigation (future):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Add explicit partial-answer template and require citing any retrieved chunk that mentions the topic, even when details are incomplete.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F-03: Irrelevant retrieval for operational-data questions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Context: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RQ-11 — </w:t>
      </w:r>
      <w:r>
        <w:rPr>
          <w:rFonts w:ascii="Calibri" w:hAnsi="Calibri" w:cs="Calibri"/>
          <w:rFonts w:ascii="Calibri" w:hAnsi="Calibri"/>
          <w:b w:val="0"/>
          <w:i/>
          <w:sz w:val="22"/>
        </w:rPr>
        <w:t>QuickFix Electronics unit price for ITEM-015.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Retrieved: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quotation_evaluation_criteria_sme.txt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vendor_evaluation_criteria.txt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purchase_order_template.txt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sme_reorder_policy.txt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— none contain supplier-specific prices.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Observed behavior: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Final answer correctly refused, but retrieval injected four policy/template chunks with moderate scores (~0.58–0.60).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Cause: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Small corpus (12 single-chunk documents) forces top_k=4 to always return four documents. Embedding similarity between “unit price” / “supplier quotation” query tokens and generic procurement vocabulary produces false relevance. Operational CSV data is not indexed in ChromaDB.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Impact: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Wasted context window and increased risk of hallucination on weaker models; in this run Gemini still refused correctly.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Mitigation (future):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Add a retrieval score threshold; index quotation/inventory snippets in a separate operational collection; increase corpus granularity.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5. Summary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Total policy questions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Clear passes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13 / 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Partial / grounding issues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2 (F-01 comparison mode, F-02 partial-answer handling)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Hallucinated factual answers on unanswerable 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0 observed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Comparison-mode integration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1 item (ITEM-001) — grounded policy notes present</w:t>
            </w:r>
          </w:p>
        </w:tc>
      </w:tr>
    </w:tbl>
    <w:p/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6. Conclusion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Week 3 RAG successfully grounds the SME reorder and quotation-comparison workflow in a corrected 12-document corpus aligned to internal procurement preparation (not tender submission). Deterministic reorder gating from Week 2 is preserved; retrieval adds policy context (quote-count thresholds, validity rules, evaluation dimensions) and enforces a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SOURCES USED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citation contract.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>Primary weaknesses are (1) aggressive risk-flag prompting causing false alerts when delivery method is present but transport cost is ambiguous, (2) inconsistent partial-answer behavior when corpus mentions a topic without prescribing details, and (3) noisy retrieval from a small, single-chunk corpus. These are documented for Week 4 prompt and retrieval refinements—not agent/tool-calling, which remains out of scope for Week 3.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rFonts w:ascii="Calibri" w:hAnsi="Calibri"/>
        <w:b w:val="0"/>
        <w:i w:val="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