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40"/>
          <w:szCs w:val="40"/>
        </w:rPr>
        <w:t xml:space="preserve">Worksheet 1 — Making energy and resource use visible at DataForm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Task 1 · Level 1 · Case: DataForm Systems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Module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Module 2 (Day 2) — IT as an Environmental Factor: Energy, Raw Materials, Waste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Level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L1 · Knowledge — observation, structuring, common sense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Playground page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kj9igxx7ayfsntphqttjw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https://aion-green-it-day2.vercel.app/case/mediprint/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playground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hyperlink w:history="1" r:id="rId-u2nq1bn5xfuly04ytly2">
              <w:r>
                <w:rPr>
                  <w:rFonts w:ascii="Calibri" w:cs="Calibri" w:eastAsia="Calibri" w:hAnsi="Calibri"/>
                  <w:b/>
                  <w:bCs/>
                  <w:color w:val="5624D0"/>
                  <w:sz w:val="20"/>
                  <w:szCs w:val="20"/>
                  <w:u w:val="single"/>
                </w:rPr>
                <w:t xml:space="preserve">https://aion-green-it-day2.vercel.app/</w:t>
              </w:r>
            </w:hyperlink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Estimated time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~ 30 minutes (after the 60-minute knowledge input)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it is marked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Sections A and B and the tick columns in D = OBJECTIVE (right/wrong). Section C and the reasons in D = JUDGED (rubric).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Self-contained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Yes. Everything you need is printed in the Reference Material box below.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Name / Group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to use this sheet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1.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Read the Reference Material box below. It carries the company brief, all eight observations and the five areas — so you can complete this worksheet from paper alone.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2.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Optional: open the DataForm page (link in the header). Click each marker on the illustration to see the same passages, or use the IMG / SVG toggle and the “Show all facts as list” fallback.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3.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Follow the section order: A → B → C → D.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5624D0"/>
          <w:sz w:val="22"/>
          <w:szCs w:val="22"/>
        </w:rPr>
        <w:t xml:space="preserve">4.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This is an L1 observation task. The examiner is looking for the invisible energy and resource impacts made visible, sorted into the five areas, with a first improvement per area.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Reference material — everything you need to complete this worksheet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C08A00" w:sz="4"/>
              <w:left w:val="single" w:color="C08A00" w:sz="4"/>
              <w:bottom w:val="single" w:color="C08A00" w:sz="4"/>
              <w:right w:val="single" w:color="C08A00" w:sz="4"/>
            </w:tcBorders>
            <w:shd w:fill="C08A0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FF6DF" w:sz="4"/>
              <w:left w:val="single" w:color="FFF6DF" w:sz="4"/>
              <w:bottom w:val="single" w:color="FFF6DF" w:sz="4"/>
              <w:right w:val="single" w:color="FFF6DF" w:sz="4"/>
            </w:tcBorders>
            <w:shd w:fill="FFF6D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2"/>
                <w:szCs w:val="22"/>
              </w:rPr>
              <w:t xml:space="preserve">REFERENCE MATERIAL ·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2"/>
                <w:szCs w:val="22"/>
              </w:rPr>
              <w:t xml:space="preserve">DataForm Systems — the eight observations and the five areas, as shown in the app.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You do not need the app for this worksheet — everything you need is printed below. The app is a nice-to-have if you want to explore visually.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Systems — 420 employees. The company operates a mix of office workstations, mobile devices, printers, a local server room, cloud applications and several test systems. Devices are replaced regularly, although many would still be technically usable. There is no systematic examination of energy or resource consumption.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eight observations (label — passage  [area · lens]):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Server room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Several older systems with low utilisation exist in the server room.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[Operations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Test systems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Several test systems run alongside the production estate — convenient to leave powered, and easy to forget once the test they were built for is over.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[Operations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Cloud applications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Cloud applications are in growing use. The energy behind them sits on the provider's meter, not tracked here.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[Operations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Workstations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Workstation computers often keep running at night as well.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[Use · Energy]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Printers &amp; peripherals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Printers and peripherals are distributed across many areas.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[Use · Energy +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3-year notebook refresh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Notebooks are replaced by default after three years.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[Replacement ·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Unused devices in store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Old monitors and accessories are stored unused.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[Storage ·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Procurement desk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6484"/>
                <w:sz w:val="20"/>
                <w:szCs w:val="20"/>
              </w:rPr>
              <w:t xml:space="preserve"> —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New devices are often procured without a repair check or reuse assessment.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18"/>
                <w:szCs w:val="18"/>
              </w:rPr>
              <w:t xml:space="preserve">  [Procurement · Resources]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five areas:  Operations (Op)  ·  Procurement (Pr)  ·  Use (U)  ·  Replacement (Rp)  ·  Storage (St)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The two context conditions: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Devices are replaced regularly, although many would still be technically usable.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8A00"/>
                <w:sz w:val="20"/>
                <w:szCs w:val="20"/>
              </w:rPr>
              <w:t xml:space="preserve">•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There is no systematic examination of energy or resource consumption.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Playground map — where each section takes you (if you use the app)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One overview so you never hunt. Every section below tells you again in its own callout.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80"/>
        <w:gridCol w:w="408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Where to look in the app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What you do there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DataForm illustration — click each of the eight markers.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Read and copy the passage on each marker; decide energy and/or resource.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Assign each observation to one of the five areas and tally.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Write one first improvement per area.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No app viewing needed.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Decide individual / technical vs structural / management.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A · Observation log — where energy and resources arise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EEE9F9" w:sz="4"/>
              <w:left w:val="single" w:color="EEE9F9" w:sz="4"/>
              <w:bottom w:val="single" w:color="EEE9F9" w:sz="4"/>
              <w:right w:val="single" w:color="EEE9F9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IF YOU HAVE THE APP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https://aion-green-it-day2.vercel.app/case/mediprint/ — the DataForm building illustration. Click each numbered marker.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HOW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Click a marker to read its passage, then copy it verbatim. Tick whether the passage shows energy use, resource use, or both. If offline, copy from the Reference Material box above.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4360"/>
        <w:gridCol w:w="1250"/>
        <w:gridCol w:w="125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Observation (on-screen label)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Passage (copy verbatim)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Energy?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Resource? (☐)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Server room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Test systems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Cloud applications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Workstations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Printers &amp; peripherals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3-year notebook refresh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Unused devices in store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desk</w:t>
            </w:r>
          </w:p>
        </w:tc>
        <w:tc>
          <w:tcPr>
            <w:tcW w:type="dxa" w:w="43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25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B · Assign to the five areas, and tally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Use the on-screen labels (H1..H8) from Section A. Each observation sits in exactly one area.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1500"/>
        <w:gridCol w:w="47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Area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Code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How many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Which observations (write the labels)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Operations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Op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Procurement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Use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U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Replacement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Rp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Storage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St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  <w:tc>
          <w:tcPr>
            <w:tcW w:type="dxa" w:w="47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SELF-CHECK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= 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The counts must sum to 8 — each of the eight observations is assigned to exactly one area.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C · One first improvement per area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BEFE1" w:sz="4"/>
              <w:left w:val="single" w:color="FBEFE1" w:sz="4"/>
              <w:bottom w:val="single" w:color="FBEFE1" w:sz="4"/>
              <w:right w:val="single" w:color="FBEFE1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7A3D0A"/>
                <w:sz w:val="20"/>
                <w:szCs w:val="20"/>
              </w:rPr>
              <w:t xml:space="preserve">JUDGED — marked with a rubric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sheet. One approach per area is enough — say what you would change, not what you would measure.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Area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One initial improvement approach (one sentence)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Operations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Procurement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Use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Replacement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Storage</w:t>
            </w:r>
          </w:p>
        </w:tc>
        <w:tc>
          <w:tcPr>
            <w:tcW w:type="dxa" w:w="69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Section D · Individual / technical vs structural /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9F3EC" w:sz="4"/>
              <w:left w:val="single" w:color="E9F3EC" w:sz="4"/>
              <w:bottom w:val="single" w:color="E9F3EC" w:sz="4"/>
              <w:right w:val="single" w:color="E9F3EC" w:sz="4"/>
            </w:tcBorders>
            <w:shd w:fill="E9F3E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5B37"/>
                <w:sz w:val="20"/>
                <w:szCs w:val="20"/>
              </w:rPr>
              <w:t xml:space="preserve">OBJECTIVE — marked right / wrong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"/>
        <w:gridCol w:w="9100"/>
      </w:tblGrid>
      <w:tr>
        <w:tc>
          <w:tcPr>
            <w:tcW w:type="dxa" w:w="260"/>
            <w:tcBorders>
              <w:top w:val="single" w:color="5624D0" w:sz="4"/>
              <w:left w:val="single" w:color="5624D0" w:sz="4"/>
              <w:bottom w:val="single" w:color="5624D0" w:sz="4"/>
              <w:right w:val="single" w:color="5624D0" w:sz="4"/>
            </w:tcBorders>
            <w:shd w:fill="5624D0" w:color="auto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/>
            </w:r>
          </w:p>
        </w:tc>
        <w:tc>
          <w:tcPr>
            <w:tcW w:type="dxa" w:w="9100"/>
            <w:tcBorders>
              <w:top w:val="single" w:color="F7F4FB" w:sz="4"/>
              <w:left w:val="single" w:color="F7F4FB" w:sz="4"/>
              <w:bottom w:val="single" w:color="F7F4FB" w:sz="4"/>
              <w:right w:val="single" w:color="F7F4FB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WHERE TO LOOK ·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Answered from this sheet — the same eight observations as Section A, pre-filled below.</w:t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6B6484"/>
          <w:sz w:val="20"/>
          <w:szCs w:val="20"/>
        </w:rPr>
        <w:t xml:space="preserve">Working definition — Individual / technical: one team can change it next month with the current process. Structural / management: it needs a rule, a budget, or a decision from above.</w:t>
      </w:r>
    </w:p>
    <w:p>
      <w:pPr>
        <w:spacing w:after="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1500"/>
        <w:gridCol w:w="1500"/>
        <w:gridCol w:w="386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Observation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Individual / technical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Structural / management (☐)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Short reason (one sentence)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Server room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Test systems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Cloud applications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Workstations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Printers &amp; peripherals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3-year notebook refresh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Unused devices in store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rPr>
          <w:trHeight w:val="540" w:hRule="atLeast"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Procurement desk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150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2"/>
                <w:szCs w:val="22"/>
              </w:rPr>
              <w:t xml:space="preserve">☐</w:t>
            </w:r>
          </w:p>
        </w:tc>
        <w:tc>
          <w:tcPr>
            <w:tcW w:type="dxa" w:w="3860"/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> 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624D0"/>
                <w:sz w:val="20"/>
                <w:szCs w:val="20"/>
              </w:rPr>
              <w:t xml:space="preserve">SELF-CHECK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= 8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total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7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6B6484"/>
                <w:sz w:val="20"/>
                <w:szCs w:val="20"/>
              </w:rPr>
              <w:t xml:space="preserve">Exactly one tick per row. The two tick columns together contain 8 ticks.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How this is marked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B6484"/>
          <w:sz w:val="20"/>
          <w:szCs w:val="20"/>
        </w:rPr>
        <w:t xml:space="preserve">L1 sections score 2 points each (Full = 2 / Partial = 1 / None = 0). Total possible = 8.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rPr>
          <w:tblHeader/>
        </w:trP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Section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Full (2)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Partial (1)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EE9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31A45"/>
                <w:sz w:val="20"/>
                <w:szCs w:val="20"/>
              </w:rPr>
              <w:t xml:space="preserve">None (0)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A · Observation log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eight passages copied verbatim, and each energy/resource tick correct.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Some passages copied or some ticks correct.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Passages missing or reworded.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B · Areas + tally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eight assigned to the correct area and the tally sums to 8.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Most assigned correctly.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Assignment absent or does not sum to 8.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C · Improvement per area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All five areas carry a concrete change (a lever), not a measurement.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Some areas carry a concrete change.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Vague or missing.</w:t>
            </w:r>
          </w:p>
        </w:tc>
      </w:tr>
      <w:tr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1230"/>
                <w:sz w:val="20"/>
                <w:szCs w:val="20"/>
              </w:rPr>
              <w:t xml:space="preserve">D · Technical vs structural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EAF4EE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One tick per row and each reason names why it is fixable now or needs a rule/decision.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BEFE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Most ticks defensible; some reasons thin.</w:t>
            </w:r>
          </w:p>
        </w:tc>
        <w:tc>
          <w:tcPr>
            <w:tcBorders>
              <w:top w:val="single" w:color="D9D3EA" w:sz="4"/>
              <w:left w:val="single" w:color="D9D3EA" w:sz="4"/>
              <w:bottom w:val="single" w:color="D9D3EA" w:sz="4"/>
              <w:right w:val="single" w:color="D9D3EA" w:sz="4"/>
            </w:tcBorders>
            <w:shd w:fill="F6E4E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B1230"/>
                <w:sz w:val="18"/>
                <w:szCs w:val="18"/>
              </w:rPr>
              <w:t xml:space="preserve">Ticks missing or reasons absent.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31A45"/>
          <w:sz w:val="30"/>
          <w:szCs w:val="30"/>
        </w:rPr>
        <w:t xml:space="preserve">One-line closing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1B1230"/>
          <w:sz w:val="22"/>
          <w:szCs w:val="22"/>
        </w:rPr>
        <w:t xml:space="preserve">This task trains making the invisible visible.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B1230"/>
          <w:sz w:val="22"/>
          <w:szCs w:val="22"/>
        </w:rPr>
        <w:t xml:space="preserve">If two participants disagree in Section A or B, one has misread the reference; if they disagree in Section C or the D reasons, both may be right — what is marked is how the reasoning is built.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2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j9igxx7ayfsntphqttjw" Type="http://schemas.openxmlformats.org/officeDocument/2006/relationships/hyperlink" Target="https://aion-green-it-day2.vercel.app/case/mediprint/" TargetMode="External"/><Relationship Id="rId-u2nq1bn5xfuly04ytly2" Type="http://schemas.openxmlformats.org/officeDocument/2006/relationships/hyperlink" Target="https://aion-green-it-day2.vercel.app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 — DataForm — Task 1 — L1</dc:title>
  <dc:creator>Un-named</dc:creator>
  <dc:description>AION Green IT Module 2 learner worksheet</dc:description>
  <cp:lastModifiedBy>Un-named</cp:lastModifiedBy>
  <cp:revision>1</cp:revision>
  <dcterms:created xsi:type="dcterms:W3CDTF">2026-08-30T10:47:32.406Z</dcterms:created>
  <dcterms:modified xsi:type="dcterms:W3CDTF">2026-08-30T10:47:32.426Z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