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i w:val="false"/>
          <w:iCs w:val="false"/>
          <w:color w:val="231A45"/>
          <w:sz w:val="40"/>
          <w:szCs w:val="40"/>
        </w:rPr>
        <w:t xml:space="preserve">Worksheet 3 — Energy and resources at NetCore: from findings to a first step</w:t>
      </w:r>
    </w:p>
    <w:p>
      <w:pPr>
        <w:spacing w:after="80" w:before="0"/>
      </w:pPr>
      <w:r>
        <w:rPr>
          <w:rFonts w:ascii="Calibri" w:cs="Calibri" w:eastAsia="Calibri" w:hAnsi="Calibri"/>
          <w:b w:val="false"/>
          <w:bCs w:val="false"/>
          <w:i/>
          <w:iCs/>
          <w:color w:val="6B6484"/>
          <w:sz w:val="20"/>
          <w:szCs w:val="20"/>
        </w:rPr>
        <w:t xml:space="preserve">Task 3 · Level 2 · Case: NetCore Manufacturing Services GmbH</w:t>
      </w:r>
    </w:p>
    <w:p>
      <w:pPr>
        <w:spacing w:after="8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Module</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r>
              <w:rPr>
                <w:rFonts w:ascii="Calibri" w:cs="Calibri" w:eastAsia="Calibri" w:hAnsi="Calibri"/>
                <w:b w:val="false"/>
                <w:bCs w:val="false"/>
                <w:i w:val="false"/>
                <w:iCs w:val="false"/>
                <w:color w:val="1B1230"/>
                <w:sz w:val="20"/>
                <w:szCs w:val="20"/>
              </w:rPr>
              <w:t xml:space="preserve">Module 2 (Day 2) — IT as an Environmental Factor: Energy, Raw Materials, Waste</w:t>
            </w:r>
          </w:p>
        </w:tc>
      </w:tr>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Level</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r>
              <w:rPr>
                <w:rFonts w:ascii="Calibri" w:cs="Calibri" w:eastAsia="Calibri" w:hAnsi="Calibri"/>
                <w:b w:val="false"/>
                <w:bCs w:val="false"/>
                <w:i w:val="false"/>
                <w:iCs w:val="false"/>
                <w:color w:val="1B1230"/>
                <w:sz w:val="20"/>
                <w:szCs w:val="20"/>
              </w:rPr>
              <w:t xml:space="preserve">L2 · Application — case-based, with a sample solution</w:t>
            </w:r>
          </w:p>
        </w:tc>
      </w:tr>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Playground page</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hyperlink w:history="1" r:id="rIdaeei7bhnp3sazlujpmysn">
              <w:r>
                <w:rPr>
                  <w:rFonts w:ascii="Calibri" w:cs="Calibri" w:eastAsia="Calibri" w:hAnsi="Calibri"/>
                  <w:b/>
                  <w:bCs/>
                  <w:color w:val="5624D0"/>
                  <w:sz w:val="20"/>
                  <w:szCs w:val="20"/>
                  <w:u w:val="single"/>
                </w:rPr>
                <w:t xml:space="preserve">https://aion-green-it-day2.vercel.app/case/nordcom/</w:t>
              </w:r>
            </w:hyperlink>
          </w:p>
        </w:tc>
      </w:tr>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Full playground</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hyperlink w:history="1" r:id="rIdsshbleqw5ghwwco3kkotw">
              <w:r>
                <w:rPr>
                  <w:rFonts w:ascii="Calibri" w:cs="Calibri" w:eastAsia="Calibri" w:hAnsi="Calibri"/>
                  <w:b/>
                  <w:bCs/>
                  <w:color w:val="5624D0"/>
                  <w:sz w:val="20"/>
                  <w:szCs w:val="20"/>
                  <w:u w:val="single"/>
                </w:rPr>
                <w:t xml:space="preserve">https://aion-green-it-day2.vercel.app/</w:t>
              </w:r>
            </w:hyperlink>
          </w:p>
        </w:tc>
      </w:tr>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Estimated time</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r>
              <w:rPr>
                <w:rFonts w:ascii="Calibri" w:cs="Calibri" w:eastAsia="Calibri" w:hAnsi="Calibri"/>
                <w:b w:val="false"/>
                <w:bCs w:val="false"/>
                <w:i w:val="false"/>
                <w:iCs w:val="false"/>
                <w:color w:val="1B1230"/>
                <w:sz w:val="20"/>
                <w:szCs w:val="20"/>
              </w:rPr>
              <w:t xml:space="preserve">~ 90 minutes (roughly two units)</w:t>
            </w:r>
          </w:p>
        </w:tc>
      </w:tr>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How it is marked</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r>
              <w:rPr>
                <w:rFonts w:ascii="Calibri" w:cs="Calibri" w:eastAsia="Calibri" w:hAnsi="Calibri"/>
                <w:b w:val="false"/>
                <w:bCs w:val="false"/>
                <w:i w:val="false"/>
                <w:iCs w:val="false"/>
                <w:color w:val="1B1230"/>
                <w:sz w:val="20"/>
                <w:szCs w:val="20"/>
              </w:rPr>
              <w:t xml:space="preserve">Rubric-graded on a 4-point scale (Executive-ready / Solid / Partial / Missing).</w:t>
            </w:r>
          </w:p>
        </w:tc>
      </w:tr>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Self-contained</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r>
              <w:rPr>
                <w:rFonts w:ascii="Calibri" w:cs="Calibri" w:eastAsia="Calibri" w:hAnsi="Calibri"/>
                <w:b w:val="false"/>
                <w:bCs w:val="false"/>
                <w:i w:val="false"/>
                <w:iCs w:val="false"/>
                <w:color w:val="1B1230"/>
                <w:sz w:val="20"/>
                <w:szCs w:val="20"/>
              </w:rPr>
              <w:t xml:space="preserve">Yes. The company brief, eight findings and four action areas are printed below.</w:t>
            </w:r>
          </w:p>
        </w:tc>
      </w:tr>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Name / Group</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r>
              <w:rPr>
                <w:rFonts w:ascii="Calibri" w:cs="Calibri" w:eastAsia="Calibri" w:hAnsi="Calibri"/>
                <w:b w:val="false"/>
                <w:bCs w:val="false"/>
                <w:i w:val="false"/>
                <w:iCs w:val="false"/>
                <w:color w:val="1B1230"/>
                <w:sz w:val="20"/>
                <w:szCs w:val="20"/>
              </w:rPr>
              <w:t xml:space="preserve"> </w:t>
            </w:r>
          </w:p>
        </w:tc>
      </w:tr>
      <w:tr>
        <w:tc>
          <w:tcPr>
            <w:tcW w:type="dxa" w:w="2400"/>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Date</w:t>
            </w:r>
          </w:p>
        </w:tc>
        <w:tc>
          <w:tcPr>
            <w:tcW w:type="dxa" w:w="6960"/>
            <w:tcBorders>
              <w:top w:val="single" w:color="D9D3EA" w:sz="4"/>
              <w:left w:val="single" w:color="D9D3EA" w:sz="4"/>
              <w:bottom w:val="single" w:color="D9D3EA" w:sz="4"/>
              <w:right w:val="single" w:color="D9D3EA" w:sz="4"/>
            </w:tcBorders>
            <w:shd w:fill="FFFFFF" w:color="auto" w:val="clear"/>
            <w:tcMar>
              <w:top w:type="dxa" w:w="80"/>
              <w:left w:type="dxa" w:w="120"/>
              <w:bottom w:type="dxa" w:w="80"/>
              <w:right w:type="dxa" w:w="120"/>
            </w:tcMar>
            <w:vAlign w:val="top"/>
          </w:tcPr>
          <w:p>
            <w:pPr>
              <w:spacing w:after="0"/>
            </w:pPr>
            <w:r>
              <w:rPr>
                <w:rFonts w:ascii="Calibri" w:cs="Calibri" w:eastAsia="Calibri" w:hAnsi="Calibri"/>
                <w:b w:val="false"/>
                <w:bCs w:val="false"/>
                <w:i w:val="false"/>
                <w:iCs w:val="false"/>
                <w:color w:val="1B1230"/>
                <w:sz w:val="20"/>
                <w:szCs w:val="20"/>
              </w:rPr>
              <w:t xml:space="preserve"> </w:t>
            </w:r>
          </w:p>
        </w:tc>
      </w:tr>
    </w:tbl>
    <w:p>
      <w:pPr>
        <w:spacing w:after="120" w:before="240"/>
      </w:pPr>
      <w:r>
        <w:rPr>
          <w:rFonts w:ascii="Calibri" w:cs="Calibri" w:eastAsia="Calibri" w:hAnsi="Calibri"/>
          <w:b/>
          <w:bCs/>
          <w:i w:val="false"/>
          <w:iCs w:val="false"/>
          <w:color w:val="231A45"/>
          <w:sz w:val="30"/>
          <w:szCs w:val="30"/>
        </w:rPr>
        <w:t xml:space="preserve">How to use this sheet</w:t>
      </w:r>
    </w:p>
    <w:p>
      <w:pPr>
        <w:spacing w:after="80" w:before="0"/>
      </w:pPr>
      <w:r>
        <w:rPr>
          <w:rFonts w:ascii="Calibri" w:cs="Calibri" w:eastAsia="Calibri" w:hAnsi="Calibri"/>
          <w:b/>
          <w:bCs/>
          <w:i w:val="false"/>
          <w:iCs w:val="false"/>
          <w:color w:val="5624D0"/>
          <w:sz w:val="22"/>
          <w:szCs w:val="22"/>
        </w:rPr>
        <w:t xml:space="preserve">1.  </w:t>
      </w:r>
      <w:r>
        <w:rPr>
          <w:rFonts w:ascii="Calibri" w:cs="Calibri" w:eastAsia="Calibri" w:hAnsi="Calibri"/>
          <w:b w:val="false"/>
          <w:bCs w:val="false"/>
          <w:i w:val="false"/>
          <w:iCs w:val="false"/>
          <w:color w:val="1B1230"/>
          <w:sz w:val="22"/>
          <w:szCs w:val="22"/>
        </w:rPr>
        <w:t xml:space="preserve">Read the Reference Material box below. It carries the company brief, all eight findings (F1–F8) and the four action areas (AA1–AA4) — you can complete this worksheet from paper alone.</w:t>
      </w:r>
    </w:p>
    <w:p>
      <w:pPr>
        <w:spacing w:after="80" w:before="0"/>
      </w:pPr>
      <w:r>
        <w:rPr>
          <w:rFonts w:ascii="Calibri" w:cs="Calibri" w:eastAsia="Calibri" w:hAnsi="Calibri"/>
          <w:b/>
          <w:bCs/>
          <w:i w:val="false"/>
          <w:iCs w:val="false"/>
          <w:color w:val="5624D0"/>
          <w:sz w:val="22"/>
          <w:szCs w:val="22"/>
        </w:rPr>
        <w:t xml:space="preserve">2.  </w:t>
      </w:r>
      <w:r>
        <w:rPr>
          <w:rFonts w:ascii="Calibri" w:cs="Calibri" w:eastAsia="Calibri" w:hAnsi="Calibri"/>
          <w:b w:val="false"/>
          <w:bCs w:val="false"/>
          <w:i w:val="false"/>
          <w:iCs w:val="false"/>
          <w:color w:val="1B1230"/>
          <w:sz w:val="22"/>
          <w:szCs w:val="22"/>
        </w:rPr>
        <w:t xml:space="preserve">Optional: open the NetCore page (link in the header). Click each finding on the board; the “first move” widget lets you commit an action area and read the answer key.</w:t>
      </w:r>
    </w:p>
    <w:p>
      <w:pPr>
        <w:spacing w:after="80" w:before="0"/>
      </w:pPr>
      <w:r>
        <w:rPr>
          <w:rFonts w:ascii="Calibri" w:cs="Calibri" w:eastAsia="Calibri" w:hAnsi="Calibri"/>
          <w:b/>
          <w:bCs/>
          <w:i w:val="false"/>
          <w:iCs w:val="false"/>
          <w:color w:val="5624D0"/>
          <w:sz w:val="22"/>
          <w:szCs w:val="22"/>
        </w:rPr>
        <w:t xml:space="preserve">3.  </w:t>
      </w:r>
      <w:r>
        <w:rPr>
          <w:rFonts w:ascii="Calibri" w:cs="Calibri" w:eastAsia="Calibri" w:hAnsi="Calibri"/>
          <w:b w:val="false"/>
          <w:bCs w:val="false"/>
          <w:i w:val="false"/>
          <w:iCs w:val="false"/>
          <w:color w:val="1B1230"/>
          <w:sz w:val="22"/>
          <w:szCs w:val="22"/>
        </w:rPr>
        <w:t xml:space="preserve">Follow the section order: A → B → C → D → E.</w:t>
      </w:r>
    </w:p>
    <w:p>
      <w:pPr>
        <w:spacing w:after="80" w:before="0"/>
      </w:pPr>
      <w:r>
        <w:rPr>
          <w:rFonts w:ascii="Calibri" w:cs="Calibri" w:eastAsia="Calibri" w:hAnsi="Calibri"/>
          <w:b/>
          <w:bCs/>
          <w:i w:val="false"/>
          <w:iCs w:val="false"/>
          <w:color w:val="5624D0"/>
          <w:sz w:val="22"/>
          <w:szCs w:val="22"/>
        </w:rPr>
        <w:t xml:space="preserve">4.  </w:t>
      </w:r>
      <w:r>
        <w:rPr>
          <w:rFonts w:ascii="Calibri" w:cs="Calibri" w:eastAsia="Calibri" w:hAnsi="Calibri"/>
          <w:b w:val="false"/>
          <w:bCs w:val="false"/>
          <w:i w:val="false"/>
          <w:iCs w:val="false"/>
          <w:color w:val="1B1230"/>
          <w:sz w:val="22"/>
          <w:szCs w:val="22"/>
        </w:rPr>
        <w:t xml:space="preserve">This is an L2 case task. The examiner is looking for analysis fit for management and a first step defended with evidence (F#), not aesthetics.</w:t>
      </w:r>
    </w:p>
    <w:p>
      <w:pPr>
        <w:spacing w:after="120" w:before="240"/>
      </w:pPr>
      <w:r>
        <w:rPr>
          <w:rFonts w:ascii="Calibri" w:cs="Calibri" w:eastAsia="Calibri" w:hAnsi="Calibri"/>
          <w:b/>
          <w:bCs/>
          <w:i w:val="false"/>
          <w:iCs w:val="false"/>
          <w:color w:val="231A45"/>
          <w:sz w:val="30"/>
          <w:szCs w:val="30"/>
        </w:rPr>
        <w:t xml:space="preserve">Reference material — everything you need to complete this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C08A00" w:sz="4"/>
              <w:left w:val="single" w:color="C08A00" w:sz="4"/>
              <w:bottom w:val="single" w:color="C08A00" w:sz="4"/>
              <w:right w:val="single" w:color="C08A00" w:sz="4"/>
            </w:tcBorders>
            <w:shd w:fill="C08A00" w:color="auto" w:val="clear"/>
            <w:tcMar>
              <w:top w:type="dxa" w:w="0"/>
              <w:left w:type="dxa" w:w="0"/>
              <w:bottom w:type="dxa" w:w="0"/>
              <w:right w:type="dxa" w:w="0"/>
            </w:tcMar>
          </w:tcPr>
          <w:p>
            <w:r>
              <w:rPr>
                <w:rFonts w:ascii="Calibri" w:cs="Calibri" w:eastAsia="Calibri" w:hAnsi="Calibri"/>
                <w:b w:val="false"/>
                <w:bCs w:val="false"/>
                <w:i w:val="false"/>
                <w:iCs w:val="false"/>
                <w:color w:val="1B1230"/>
                <w:sz w:val="22"/>
                <w:szCs w:val="22"/>
              </w:rPr>
              <w:t xml:space="preserve"/>
            </w:r>
          </w:p>
        </w:tc>
        <w:tc>
          <w:tcPr>
            <w:tcW w:type="dxa" w:w="9100"/>
            <w:tcBorders>
              <w:top w:val="single" w:color="FFF6DF" w:sz="4"/>
              <w:left w:val="single" w:color="FFF6DF" w:sz="4"/>
              <w:bottom w:val="single" w:color="FFF6DF" w:sz="4"/>
              <w:right w:val="single" w:color="FFF6DF" w:sz="4"/>
            </w:tcBorders>
            <w:shd w:fill="FFF6DF" w:color="auto" w:val="clear"/>
            <w:tcMar>
              <w:top w:type="dxa" w:w="80"/>
              <w:left w:type="dxa" w:w="120"/>
              <w:bottom w:type="dxa" w:w="80"/>
              <w:right w:type="dxa" w:w="120"/>
            </w:tcMar>
            <w:vAlign w:val="top"/>
          </w:tcPr>
          <w:p>
            <w:pPr>
              <w:spacing w:after="60" w:before="0"/>
            </w:pPr>
            <w:r>
              <w:rPr>
                <w:rFonts w:ascii="Calibri" w:cs="Calibri" w:eastAsia="Calibri" w:hAnsi="Calibri"/>
                <w:b/>
                <w:bCs/>
                <w:i w:val="false"/>
                <w:iCs w:val="false"/>
                <w:color w:val="C08A00"/>
                <w:sz w:val="22"/>
                <w:szCs w:val="22"/>
              </w:rPr>
              <w:t xml:space="preserve">REFERENCE MATERIAL · </w:t>
            </w:r>
            <w:r>
              <w:rPr>
                <w:rFonts w:ascii="Calibri" w:cs="Calibri" w:eastAsia="Calibri" w:hAnsi="Calibri"/>
                <w:b/>
                <w:bCs/>
                <w:i w:val="false"/>
                <w:iCs w:val="false"/>
                <w:color w:val="231A45"/>
                <w:sz w:val="22"/>
                <w:szCs w:val="22"/>
              </w:rPr>
              <w:t xml:space="preserve">NetCore Manufacturing Services GmbH — the eight findings and the four action areas.</w:t>
            </w:r>
          </w:p>
          <w:p>
            <w:pPr>
              <w:spacing w:after="120" w:before="0"/>
            </w:pPr>
            <w:r>
              <w:rPr>
                <w:rFonts w:ascii="Calibri" w:cs="Calibri" w:eastAsia="Calibri" w:hAnsi="Calibri"/>
                <w:b w:val="false"/>
                <w:bCs w:val="false"/>
                <w:i/>
                <w:iCs/>
                <w:color w:val="6B6484"/>
                <w:sz w:val="18"/>
                <w:szCs w:val="18"/>
              </w:rPr>
              <w:t xml:space="preserve">You do not need the app for this worksheet — everything you need is printed below. The app is a nice-to-have if you want to explore visually.</w:t>
            </w:r>
          </w:p>
          <w:p>
            <w:pPr>
              <w:spacing w:after="80" w:before="0"/>
            </w:pPr>
            <w:r>
              <w:rPr>
                <w:rFonts w:ascii="Calibri" w:cs="Calibri" w:eastAsia="Calibri" w:hAnsi="Calibri"/>
                <w:b w:val="false"/>
                <w:bCs w:val="false"/>
                <w:i w:val="false"/>
                <w:iCs w:val="false"/>
                <w:color w:val="1B1230"/>
                <w:sz w:val="20"/>
                <w:szCs w:val="20"/>
              </w:rPr>
              <w:t xml:space="preserve">NetCore Manufacturing Services GmbH — a medium-sized industrial company with 900 employees at three sites. The IT landscape has grown strongly in recent years: many workplace devices, several local server systems, increasing cloud use, high availability requirements and a growing rate of end-device replacement. Management notices rising IT costs, but has so far not developed a systematic view of environmental impacts. It requires a proposal on how IT costs and environmental impact can be improved together.</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1B1230"/>
                <w:sz w:val="20"/>
                <w:szCs w:val="20"/>
              </w:rPr>
              <w:t xml:space="preserve">The eight findings (F# · label — fact  [area]):</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F1 · Servers at low utilisation</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Numerous servers run with low utilisation.</w:t>
            </w:r>
            <w:r>
              <w:rPr>
                <w:rFonts w:ascii="Calibri" w:cs="Calibri" w:eastAsia="Calibri" w:hAnsi="Calibri"/>
                <w:b w:val="false"/>
                <w:bCs w:val="false"/>
                <w:i/>
                <w:iCs/>
                <w:color w:val="6B6484"/>
                <w:sz w:val="18"/>
                <w:szCs w:val="18"/>
              </w:rPr>
              <w:t xml:space="preserve">  [Operations]</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F2 · Devices left on after hours</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Workstation computers and monitors often remain in operation outside usage hours.</w:t>
            </w:r>
            <w:r>
              <w:rPr>
                <w:rFonts w:ascii="Calibri" w:cs="Calibri" w:eastAsia="Calibri" w:hAnsi="Calibri"/>
                <w:b w:val="false"/>
                <w:bCs w:val="false"/>
                <w:i/>
                <w:iCs/>
                <w:color w:val="6B6484"/>
                <w:sz w:val="18"/>
                <w:szCs w:val="18"/>
              </w:rPr>
              <w:t xml:space="preserve">  [Use]</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F3 · Fixed replacement cycles</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Devices are replaced in fixed cycles, regardless of their actual condition.</w:t>
            </w:r>
            <w:r>
              <w:rPr>
                <w:rFonts w:ascii="Calibri" w:cs="Calibri" w:eastAsia="Calibri" w:hAnsi="Calibri"/>
                <w:b w:val="false"/>
                <w:bCs w:val="false"/>
                <w:i/>
                <w:iCs/>
                <w:color w:val="6B6484"/>
                <w:sz w:val="18"/>
                <w:szCs w:val="18"/>
              </w:rPr>
              <w:t xml:space="preserve">  [Replacement]</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F4 · No repair or reuse concept</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There is no repair or reuse concept.</w:t>
            </w:r>
            <w:r>
              <w:rPr>
                <w:rFonts w:ascii="Calibri" w:cs="Calibri" w:eastAsia="Calibri" w:hAnsi="Calibri"/>
                <w:b w:val="false"/>
                <w:bCs w:val="false"/>
                <w:i/>
                <w:iCs/>
                <w:color w:val="6B6484"/>
                <w:sz w:val="18"/>
                <w:szCs w:val="18"/>
              </w:rPr>
              <w:t xml:space="preserve">  [Storage]</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F5 · Procurement on price alone</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Procurement decisions are based almost exclusively on price, performance and availability of supply.</w:t>
            </w:r>
            <w:r>
              <w:rPr>
                <w:rFonts w:ascii="Calibri" w:cs="Calibri" w:eastAsia="Calibri" w:hAnsi="Calibri"/>
                <w:b w:val="false"/>
                <w:bCs w:val="false"/>
                <w:i/>
                <w:iCs/>
                <w:color w:val="6B6484"/>
                <w:sz w:val="18"/>
                <w:szCs w:val="18"/>
              </w:rPr>
              <w:t xml:space="preserve">  [Procurement]</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F6 · Sustainability data hardly available</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Sustainability data on IT systems is hardly available.</w:t>
            </w:r>
            <w:r>
              <w:rPr>
                <w:rFonts w:ascii="Calibri" w:cs="Calibri" w:eastAsia="Calibri" w:hAnsi="Calibri"/>
                <w:b w:val="false"/>
                <w:bCs w:val="false"/>
                <w:i/>
                <w:iCs/>
                <w:color w:val="6B6484"/>
                <w:sz w:val="18"/>
                <w:szCs w:val="18"/>
              </w:rPr>
              <w:t xml:space="preserve">  [Operations]</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F7 · Increasing cloud use</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Cloud use is increasing across the three sites.</w:t>
            </w:r>
            <w:r>
              <w:rPr>
                <w:rFonts w:ascii="Calibri" w:cs="Calibri" w:eastAsia="Calibri" w:hAnsi="Calibri"/>
                <w:b w:val="false"/>
                <w:bCs w:val="false"/>
                <w:i/>
                <w:iCs/>
                <w:color w:val="6B6484"/>
                <w:sz w:val="18"/>
                <w:szCs w:val="18"/>
              </w:rPr>
              <w:t xml:space="preserve">  [Operations]</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F8 · High availability requirements</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High availability requirements shape how the estate is run.</w:t>
            </w:r>
            <w:r>
              <w:rPr>
                <w:rFonts w:ascii="Calibri" w:cs="Calibri" w:eastAsia="Calibri" w:hAnsi="Calibri"/>
                <w:b w:val="false"/>
                <w:bCs w:val="false"/>
                <w:i/>
                <w:iCs/>
                <w:color w:val="6B6484"/>
                <w:sz w:val="18"/>
                <w:szCs w:val="18"/>
              </w:rPr>
              <w:t xml:space="preserve">  [Operations]</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1B1230"/>
                <w:sz w:val="20"/>
                <w:szCs w:val="20"/>
              </w:rPr>
              <w:t xml:space="preserve">The four action areas (AA# · name — description):</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AA1 · Consolidate + operating model</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Consolidate low-utilisation systems and review the operating model. Remove idle and duplicated capacity, and — with simple usage and shutdown rules — set when systems and devices run.</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AA2 · Energy &amp; usage rules</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Introduce binding energy and usage rules for end devices and infrastructure. Agree shutdown, sleep and operating rules for workstations, monitors and infrastructure across the three sites.</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AA3 · Service-life extension</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Extend device service life through repair, reuse and condition-based replacement. Replace the fixed cycle with condition-based renewal, and set up a repair and reuse route for devices that still work.</w:t>
            </w:r>
          </w:p>
          <w:p>
            <w:pPr>
              <w:spacing w:after="60" w:before="0"/>
            </w:pPr>
            <w:r>
              <w:rPr>
                <w:rFonts w:ascii="Calibri" w:cs="Calibri" w:eastAsia="Calibri" w:hAnsi="Calibri"/>
                <w:b/>
                <w:bCs/>
                <w:i w:val="false"/>
                <w:iCs w:val="false"/>
                <w:color w:val="C08A00"/>
                <w:sz w:val="20"/>
                <w:szCs w:val="20"/>
              </w:rPr>
              <w:t xml:space="preserve">• </w:t>
            </w:r>
            <w:r>
              <w:rPr>
                <w:rFonts w:ascii="Calibri" w:cs="Calibri" w:eastAsia="Calibri" w:hAnsi="Calibri"/>
                <w:b/>
                <w:bCs/>
                <w:i w:val="false"/>
                <w:iCs w:val="false"/>
                <w:color w:val="231A45"/>
                <w:sz w:val="20"/>
                <w:szCs w:val="20"/>
              </w:rPr>
              <w:t xml:space="preserve">AA4 · Procurement criteria</w:t>
            </w:r>
            <w:r>
              <w:rPr>
                <w:rFonts w:ascii="Calibri" w:cs="Calibri" w:eastAsia="Calibri" w:hAnsi="Calibri"/>
                <w:b w:val="false"/>
                <w:bCs w:val="false"/>
                <w:i w:val="false"/>
                <w:iCs w:val="false"/>
                <w:color w:val="6B6484"/>
                <w:sz w:val="20"/>
                <w:szCs w:val="20"/>
              </w:rPr>
              <w:t xml:space="preserve"> — </w:t>
            </w:r>
            <w:r>
              <w:rPr>
                <w:rFonts w:ascii="Calibri" w:cs="Calibri" w:eastAsia="Calibri" w:hAnsi="Calibri"/>
                <w:b w:val="false"/>
                <w:bCs w:val="false"/>
                <w:i w:val="false"/>
                <w:iCs w:val="false"/>
                <w:color w:val="1B1230"/>
                <w:sz w:val="20"/>
                <w:szCs w:val="20"/>
              </w:rPr>
              <w:t xml:space="preserve">Adapt procurement criteria to include life cycle and sustainability aspects. Rewrite what devices and services are bought on, so life cycle and sustainability sit beside price, performance and supply.</w:t>
            </w:r>
          </w:p>
        </w:tc>
      </w:tr>
    </w:tbl>
    <w:p>
      <w:pPr>
        <w:spacing w:after="120" w:before="240"/>
      </w:pPr>
      <w:r>
        <w:rPr>
          <w:rFonts w:ascii="Calibri" w:cs="Calibri" w:eastAsia="Calibri" w:hAnsi="Calibri"/>
          <w:b/>
          <w:bCs/>
          <w:i w:val="false"/>
          <w:iCs w:val="false"/>
          <w:color w:val="231A45"/>
          <w:sz w:val="30"/>
          <w:szCs w:val="30"/>
        </w:rPr>
        <w:t xml:space="preserve">Playground map — where each section takes you (if you use the app)</w:t>
      </w:r>
    </w:p>
    <w:p>
      <w:pPr>
        <w:spacing w:after="80" w:before="0"/>
      </w:pPr>
      <w:r>
        <w:rPr>
          <w:rFonts w:ascii="Calibri" w:cs="Calibri" w:eastAsia="Calibri" w:hAnsi="Calibri"/>
          <w:b w:val="false"/>
          <w:bCs w:val="false"/>
          <w:i w:val="false"/>
          <w:iCs w:val="false"/>
          <w:color w:val="6B6484"/>
          <w:sz w:val="20"/>
          <w:szCs w:val="20"/>
        </w:rPr>
        <w:t xml:space="preserve">One overview so you never hunt.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Section</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Where to look in the app</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What you do there</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A</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NetCore board — click the eight findings.</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Sort the findings across the six perspectives.</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B</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No app viewing needed.</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Choose four priority action areas.</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C</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No app viewing needed.</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Split each into short / medium / structural.</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D</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NetCore page → the “first move” widget.</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Commit a first measure and defend it.</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E</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No app viewing needed.</w:t>
            </w:r>
          </w:p>
        </w:tc>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Anchor responsibility and review.</w:t>
            </w:r>
          </w:p>
        </w:tc>
      </w:tr>
    </w:tbl>
    <w:p>
      <w:pPr>
        <w:spacing w:after="120" w:before="240"/>
      </w:pPr>
      <w:r>
        <w:rPr>
          <w:rFonts w:ascii="Calibri" w:cs="Calibri" w:eastAsia="Calibri" w:hAnsi="Calibri"/>
          <w:b/>
          <w:bCs/>
          <w:i w:val="false"/>
          <w:iCs w:val="false"/>
          <w:color w:val="231A45"/>
          <w:sz w:val="30"/>
          <w:szCs w:val="30"/>
        </w:rPr>
        <w:t xml:space="preserve">Section A · Analyse from the six perspectives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1" w:sz="4"/>
              <w:left w:val="single" w:color="FBEFE1" w:sz="4"/>
              <w:bottom w:val="single" w:color="FBEFE1" w:sz="4"/>
              <w:right w:val="single" w:color="FBEFE1"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7A3D0A"/>
                <w:sz w:val="20"/>
                <w:szCs w:val="20"/>
              </w:rPr>
              <w:t xml:space="preserve">JUDGED — marked with a rubric</w:t>
            </w:r>
          </w:p>
        </w:tc>
      </w:tr>
    </w:tbl>
    <w:p>
      <w:pPr>
        <w:spacing w:after="8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5624D0" w:sz="4"/>
              <w:left w:val="single" w:color="5624D0" w:sz="4"/>
              <w:bottom w:val="single" w:color="5624D0" w:sz="4"/>
              <w:right w:val="single" w:color="5624D0" w:sz="4"/>
            </w:tcBorders>
            <w:shd w:fill="5624D0" w:color="auto" w:val="clear"/>
            <w:tcMar>
              <w:top w:type="dxa" w:w="0"/>
              <w:left w:type="dxa" w:w="0"/>
              <w:bottom w:type="dxa" w:w="0"/>
              <w:right w:type="dxa" w:w="0"/>
            </w:tcMar>
          </w:tcPr>
          <w:p>
            <w:r>
              <w:rPr>
                <w:rFonts w:ascii="Calibri" w:cs="Calibri" w:eastAsia="Calibri" w:hAnsi="Calibri"/>
                <w:b w:val="false"/>
                <w:bCs w:val="false"/>
                <w:i w:val="false"/>
                <w:iCs w:val="false"/>
                <w:color w:val="1B1230"/>
                <w:sz w:val="22"/>
                <w:szCs w:val="22"/>
              </w:rPr>
              <w:t xml:space="preserve"/>
            </w:r>
          </w:p>
        </w:tc>
        <w:tc>
          <w:tcPr>
            <w:tcW w:type="dxa" w:w="9100"/>
            <w:tcBorders>
              <w:top w:val="single" w:color="EEE9F9" w:sz="4"/>
              <w:left w:val="single" w:color="EEE9F9" w:sz="4"/>
              <w:bottom w:val="single" w:color="EEE9F9" w:sz="4"/>
              <w:right w:val="single" w:color="EEE9F9" w:sz="4"/>
            </w:tcBorders>
            <w:shd w:fill="EEE9F9" w:color="auto"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olor w:val="5624D0"/>
                <w:sz w:val="20"/>
                <w:szCs w:val="20"/>
              </w:rPr>
              <w:t xml:space="preserve">IF YOU HAVE THE APP · </w:t>
            </w:r>
            <w:r>
              <w:rPr>
                <w:rFonts w:ascii="Calibri" w:cs="Calibri" w:eastAsia="Calibri" w:hAnsi="Calibri"/>
                <w:b w:val="false"/>
                <w:bCs w:val="false"/>
                <w:i w:val="false"/>
                <w:iCs w:val="false"/>
                <w:color w:val="1B1230"/>
                <w:sz w:val="20"/>
                <w:szCs w:val="20"/>
              </w:rPr>
              <w:t xml:space="preserve">https://aion-green-it-day2.vercel.app/case/nordcom/ — click each of the eight findings on the board.</w:t>
            </w:r>
          </w:p>
          <w:p>
            <w:pPr>
              <w:spacing w:after="0" w:before="0"/>
            </w:pPr>
            <w:r>
              <w:rPr>
                <w:rFonts w:ascii="Calibri" w:cs="Calibri" w:eastAsia="Calibri" w:hAnsi="Calibri"/>
                <w:b/>
                <w:bCs/>
                <w:i w:val="false"/>
                <w:iCs w:val="false"/>
                <w:color w:val="5624D0"/>
                <w:sz w:val="20"/>
                <w:szCs w:val="20"/>
              </w:rPr>
              <w:t xml:space="preserve">HOW · </w:t>
            </w:r>
            <w:r>
              <w:rPr>
                <w:rFonts w:ascii="Calibri" w:cs="Calibri" w:eastAsia="Calibri" w:hAnsi="Calibri"/>
                <w:b w:val="false"/>
                <w:bCs w:val="false"/>
                <w:i w:val="false"/>
                <w:iCs w:val="false"/>
                <w:color w:val="1B1230"/>
                <w:sz w:val="20"/>
                <w:szCs w:val="20"/>
              </w:rPr>
              <w:t xml:space="preserve">For each perspective, note which findings sit there (a finding may appear more than once) and the field of action NetCore would work on. If offline, use the Reference Material box.</w:t>
            </w:r>
          </w:p>
        </w:tc>
      </w:tr>
    </w:tbl>
    <w:p>
      <w:pPr>
        <w:spacing w:after="80" w:before="0"/>
      </w:pPr>
      <w:r>
        <w:rPr>
          <w:rFonts w:ascii="Calibri" w:cs="Calibri" w:eastAsia="Calibri" w:hAnsi="Calibri"/>
          <w:b w:val="false"/>
          <w:bCs w:val="false"/>
          <w:i w:val="false"/>
          <w:iCs w:val="false"/>
          <w:color w:val="1B1230"/>
          <w:sz w:val="22"/>
          <w:szCs w:val="22"/>
        </w:rPr>
        <w:t xml:space="preserve"/>
      </w:r>
    </w:p>
    <w:p>
      <w:pPr>
        <w:spacing w:after="80" w:before="0"/>
      </w:pPr>
      <w:r>
        <w:rPr>
          <w:rFonts w:ascii="Calibri" w:cs="Calibri" w:eastAsia="Calibri" w:hAnsi="Calibri"/>
          <w:b w:val="false"/>
          <w:bCs w:val="false"/>
          <w:i/>
          <w:iCs/>
          <w:color w:val="6B6484"/>
          <w:sz w:val="20"/>
          <w:szCs w:val="20"/>
        </w:rPr>
        <w:t xml:space="preserve">Working definitions — Energy consumption: what draws power. Resource consumption: what is made or thrown away. Service life: how long a device is kept. Operating model: how the estate is run. Procurement: what is bought and on what basis. Management: who steers, and on what data.</w:t>
      </w:r>
    </w:p>
    <w:p>
      <w:pPr>
        <w:spacing w:after="6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Perspective</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Which findings (write F#)</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Field of action — what NetCore would work on (one sentence)</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Energy consumption</w:t>
            </w:r>
          </w:p>
        </w:tc>
        <w:tc>
          <w:tcPr>
            <w:tcW w:type="dxa" w:w="1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55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Resource consumption</w:t>
            </w:r>
          </w:p>
        </w:tc>
        <w:tc>
          <w:tcPr>
            <w:tcW w:type="dxa" w:w="1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55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Service life</w:t>
            </w:r>
          </w:p>
        </w:tc>
        <w:tc>
          <w:tcPr>
            <w:tcW w:type="dxa" w:w="1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55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Operating model</w:t>
            </w:r>
          </w:p>
        </w:tc>
        <w:tc>
          <w:tcPr>
            <w:tcW w:type="dxa" w:w="1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55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Procurement</w:t>
            </w:r>
          </w:p>
        </w:tc>
        <w:tc>
          <w:tcPr>
            <w:tcW w:type="dxa" w:w="1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55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Management</w:t>
            </w:r>
          </w:p>
        </w:tc>
        <w:tc>
          <w:tcPr>
            <w:tcW w:type="dxa" w:w="1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55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c>
          <w:tcPr>
            <w:tcBorders>
              <w:top w:val="single" w:color="D9D3EA" w:sz="4"/>
              <w:left w:val="single" w:color="D9D3EA" w:sz="4"/>
              <w:bottom w:val="single" w:color="D9D3EA" w:sz="4"/>
              <w:right w:val="single" w:color="D9D3EA"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5624D0"/>
                <w:sz w:val="20"/>
                <w:szCs w:val="20"/>
              </w:rPr>
              <w:t xml:space="preserve">CHECK</w:t>
            </w:r>
          </w:p>
        </w:tc>
        <w:tc>
          <w:tcPr>
            <w:tcBorders>
              <w:top w:val="single" w:color="D9D3EA" w:sz="4"/>
              <w:left w:val="single" w:color="D9D3EA" w:sz="4"/>
              <w:bottom w:val="single" w:color="D9D3EA" w:sz="4"/>
              <w:right w:val="single" w:color="D9D3EA"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iCs/>
                <w:color w:val="6B6484"/>
                <w:sz w:val="20"/>
                <w:szCs w:val="20"/>
              </w:rPr>
              <w:t xml:space="preserve">F1–F8 all used?</w:t>
            </w:r>
          </w:p>
        </w:tc>
        <w:tc>
          <w:tcPr>
            <w:tcBorders>
              <w:top w:val="single" w:color="D9D3EA" w:sz="4"/>
              <w:left w:val="single" w:color="D9D3EA" w:sz="4"/>
              <w:bottom w:val="single" w:color="D9D3EA" w:sz="4"/>
              <w:right w:val="single" w:color="D9D3EA"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iCs/>
                <w:color w:val="6B6484"/>
                <w:sz w:val="20"/>
                <w:szCs w:val="20"/>
              </w:rPr>
              <w:t xml:space="preserve">Every finding from F1 to F8 must appear in at least one perspective.</w:t>
            </w:r>
          </w:p>
        </w:tc>
      </w:tr>
    </w:tbl>
    <w:p>
      <w:pPr>
        <w:spacing w:after="120" w:before="240"/>
      </w:pPr>
      <w:r>
        <w:rPr>
          <w:rFonts w:ascii="Calibri" w:cs="Calibri" w:eastAsia="Calibri" w:hAnsi="Calibri"/>
          <w:b/>
          <w:bCs/>
          <w:i w:val="false"/>
          <w:iCs w:val="false"/>
          <w:color w:val="231A45"/>
          <w:sz w:val="30"/>
          <w:szCs w:val="30"/>
        </w:rPr>
        <w:t xml:space="preserve">Section B · Four priority action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1" w:sz="4"/>
              <w:left w:val="single" w:color="FBEFE1" w:sz="4"/>
              <w:bottom w:val="single" w:color="FBEFE1" w:sz="4"/>
              <w:right w:val="single" w:color="FBEFE1"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7A3D0A"/>
                <w:sz w:val="20"/>
                <w:szCs w:val="20"/>
              </w:rPr>
              <w:t xml:space="preserve">JUDGED — marked with a rubric</w:t>
            </w:r>
          </w:p>
        </w:tc>
      </w:tr>
    </w:tbl>
    <w:p>
      <w:pPr>
        <w:spacing w:after="8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5624D0" w:sz="4"/>
              <w:left w:val="single" w:color="5624D0" w:sz="4"/>
              <w:bottom w:val="single" w:color="5624D0" w:sz="4"/>
              <w:right w:val="single" w:color="5624D0" w:sz="4"/>
            </w:tcBorders>
            <w:shd w:fill="5624D0" w:color="auto" w:val="clear"/>
            <w:tcMar>
              <w:top w:type="dxa" w:w="0"/>
              <w:left w:type="dxa" w:w="0"/>
              <w:bottom w:type="dxa" w:w="0"/>
              <w:right w:type="dxa" w:w="0"/>
            </w:tcMar>
          </w:tcPr>
          <w:p>
            <w:r>
              <w:rPr>
                <w:rFonts w:ascii="Calibri" w:cs="Calibri" w:eastAsia="Calibri" w:hAnsi="Calibri"/>
                <w:b w:val="false"/>
                <w:bCs w:val="false"/>
                <w:i w:val="false"/>
                <w:iCs w:val="false"/>
                <w:color w:val="1B1230"/>
                <w:sz w:val="22"/>
                <w:szCs w:val="22"/>
              </w:rPr>
              <w:t xml:space="preserve"/>
            </w:r>
          </w:p>
        </w:tc>
        <w:tc>
          <w:tcPr>
            <w:tcW w:type="dxa" w:w="9100"/>
            <w:tcBorders>
              <w:top w:val="single" w:color="F7F4FB" w:sz="4"/>
              <w:left w:val="single" w:color="F7F4FB" w:sz="4"/>
              <w:bottom w:val="single" w:color="F7F4FB" w:sz="4"/>
              <w:right w:val="single" w:color="F7F4FB"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5624D0"/>
                <w:sz w:val="20"/>
                <w:szCs w:val="20"/>
              </w:rPr>
              <w:t xml:space="preserve">WHERE TO LOOK · </w:t>
            </w:r>
            <w:r>
              <w:rPr>
                <w:rFonts w:ascii="Calibri" w:cs="Calibri" w:eastAsia="Calibri" w:hAnsi="Calibri"/>
                <w:b w:val="false"/>
                <w:bCs w:val="false"/>
                <w:i w:val="false"/>
                <w:iCs w:val="false"/>
                <w:color w:val="1B1230"/>
                <w:sz w:val="20"/>
                <w:szCs w:val="20"/>
              </w:rPr>
              <w:t xml:space="preserve">Answered from this sheet. Copy the action-area name from the reference, and cite at least one finding (F#) that drives it.</w:t>
            </w:r>
          </w:p>
        </w:tc>
      </w:tr>
    </w:tbl>
    <w:p>
      <w:pPr>
        <w:spacing w:after="10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Action area (copy the name)</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Why it is a priority for NetCore — cite at least one F#</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jc w:val="center"/>
            </w:pPr>
            <w:r>
              <w:rPr>
                <w:rFonts w:ascii="Calibri" w:cs="Calibri" w:eastAsia="Calibri" w:hAnsi="Calibri"/>
                <w:b/>
                <w:bCs/>
                <w:i w:val="false"/>
                <w:iCs w:val="false"/>
                <w:color w:val="1B1230"/>
                <w:sz w:val="20"/>
                <w:szCs w:val="20"/>
              </w:rPr>
              <w:t xml:space="preserve">1</w:t>
            </w:r>
          </w:p>
        </w:tc>
        <w:tc>
          <w:tcPr>
            <w:tcW w:type="dxa" w:w="2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62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jc w:val="center"/>
            </w:pPr>
            <w:r>
              <w:rPr>
                <w:rFonts w:ascii="Calibri" w:cs="Calibri" w:eastAsia="Calibri" w:hAnsi="Calibri"/>
                <w:b/>
                <w:bCs/>
                <w:i w:val="false"/>
                <w:iCs w:val="false"/>
                <w:color w:val="1B1230"/>
                <w:sz w:val="20"/>
                <w:szCs w:val="20"/>
              </w:rPr>
              <w:t xml:space="preserve">2</w:t>
            </w:r>
          </w:p>
        </w:tc>
        <w:tc>
          <w:tcPr>
            <w:tcW w:type="dxa" w:w="2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62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jc w:val="center"/>
            </w:pPr>
            <w:r>
              <w:rPr>
                <w:rFonts w:ascii="Calibri" w:cs="Calibri" w:eastAsia="Calibri" w:hAnsi="Calibri"/>
                <w:b/>
                <w:bCs/>
                <w:i w:val="false"/>
                <w:iCs w:val="false"/>
                <w:color w:val="1B1230"/>
                <w:sz w:val="20"/>
                <w:szCs w:val="20"/>
              </w:rPr>
              <w:t xml:space="preserve">3</w:t>
            </w:r>
          </w:p>
        </w:tc>
        <w:tc>
          <w:tcPr>
            <w:tcW w:type="dxa" w:w="2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62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jc w:val="center"/>
            </w:pPr>
            <w:r>
              <w:rPr>
                <w:rFonts w:ascii="Calibri" w:cs="Calibri" w:eastAsia="Calibri" w:hAnsi="Calibri"/>
                <w:b/>
                <w:bCs/>
                <w:i w:val="false"/>
                <w:iCs w:val="false"/>
                <w:color w:val="1B1230"/>
                <w:sz w:val="20"/>
                <w:szCs w:val="20"/>
              </w:rPr>
              <w:t xml:space="preserve">4</w:t>
            </w:r>
          </w:p>
        </w:tc>
        <w:tc>
          <w:tcPr>
            <w:tcW w:type="dxa" w:w="26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62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c>
          <w:tcPr>
            <w:tcBorders>
              <w:top w:val="single" w:color="D9D3EA" w:sz="4"/>
              <w:left w:val="single" w:color="D9D3EA" w:sz="4"/>
              <w:bottom w:val="single" w:color="D9D3EA" w:sz="4"/>
              <w:right w:val="single" w:color="D9D3EA"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5624D0"/>
                <w:sz w:val="20"/>
                <w:szCs w:val="20"/>
              </w:rPr>
              <w:t xml:space="preserve">CHECK</w:t>
            </w:r>
          </w:p>
        </w:tc>
        <w:tc>
          <w:tcPr>
            <w:tcBorders>
              <w:top w:val="single" w:color="D9D3EA" w:sz="4"/>
              <w:left w:val="single" w:color="D9D3EA" w:sz="4"/>
              <w:bottom w:val="single" w:color="D9D3EA" w:sz="4"/>
              <w:right w:val="single" w:color="D9D3EA"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iCs/>
                <w:color w:val="6B6484"/>
                <w:sz w:val="20"/>
                <w:szCs w:val="20"/>
              </w:rPr>
              <w:t xml:space="preserve">four different areas</w:t>
            </w:r>
          </w:p>
        </w:tc>
        <w:tc>
          <w:tcPr>
            <w:tcBorders>
              <w:top w:val="single" w:color="D9D3EA" w:sz="4"/>
              <w:left w:val="single" w:color="D9D3EA" w:sz="4"/>
              <w:bottom w:val="single" w:color="D9D3EA" w:sz="4"/>
              <w:right w:val="single" w:color="D9D3EA"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iCs/>
                <w:color w:val="6B6484"/>
                <w:sz w:val="20"/>
                <w:szCs w:val="20"/>
              </w:rPr>
              <w:t xml:space="preserve">You should end up with FOUR different action areas — if two rows repeat, fix it.</w:t>
            </w:r>
          </w:p>
        </w:tc>
      </w:tr>
    </w:tbl>
    <w:p>
      <w:pPr>
        <w:spacing w:after="120" w:before="240"/>
      </w:pPr>
      <w:r>
        <w:rPr>
          <w:rFonts w:ascii="Calibri" w:cs="Calibri" w:eastAsia="Calibri" w:hAnsi="Calibri"/>
          <w:b/>
          <w:bCs/>
          <w:i w:val="false"/>
          <w:iCs w:val="false"/>
          <w:color w:val="231A45"/>
          <w:sz w:val="30"/>
          <w:szCs w:val="30"/>
        </w:rPr>
        <w:t xml:space="preserve">Section C · Short-term, medium-term and structural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1" w:sz="4"/>
              <w:left w:val="single" w:color="FBEFE1" w:sz="4"/>
              <w:bottom w:val="single" w:color="FBEFE1" w:sz="4"/>
              <w:right w:val="single" w:color="FBEFE1"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7A3D0A"/>
                <w:sz w:val="20"/>
                <w:szCs w:val="20"/>
              </w:rPr>
              <w:t xml:space="preserve">JUDGED — marked with a rubric</w:t>
            </w:r>
          </w:p>
        </w:tc>
      </w:tr>
    </w:tbl>
    <w:p>
      <w:pPr>
        <w:spacing w:after="8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5624D0" w:sz="4"/>
              <w:left w:val="single" w:color="5624D0" w:sz="4"/>
              <w:bottom w:val="single" w:color="5624D0" w:sz="4"/>
              <w:right w:val="single" w:color="5624D0" w:sz="4"/>
            </w:tcBorders>
            <w:shd w:fill="5624D0" w:color="auto" w:val="clear"/>
            <w:tcMar>
              <w:top w:type="dxa" w:w="0"/>
              <w:left w:type="dxa" w:w="0"/>
              <w:bottom w:type="dxa" w:w="0"/>
              <w:right w:type="dxa" w:w="0"/>
            </w:tcMar>
          </w:tcPr>
          <w:p>
            <w:r>
              <w:rPr>
                <w:rFonts w:ascii="Calibri" w:cs="Calibri" w:eastAsia="Calibri" w:hAnsi="Calibri"/>
                <w:b w:val="false"/>
                <w:bCs w:val="false"/>
                <w:i w:val="false"/>
                <w:iCs w:val="false"/>
                <w:color w:val="1B1230"/>
                <w:sz w:val="22"/>
                <w:szCs w:val="22"/>
              </w:rPr>
              <w:t xml:space="preserve"/>
            </w:r>
          </w:p>
        </w:tc>
        <w:tc>
          <w:tcPr>
            <w:tcW w:type="dxa" w:w="9100"/>
            <w:tcBorders>
              <w:top w:val="single" w:color="F7F4FB" w:sz="4"/>
              <w:left w:val="single" w:color="F7F4FB" w:sz="4"/>
              <w:bottom w:val="single" w:color="F7F4FB" w:sz="4"/>
              <w:right w:val="single" w:color="F7F4FB"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5624D0"/>
                <w:sz w:val="20"/>
                <w:szCs w:val="20"/>
              </w:rPr>
              <w:t xml:space="preserve">WHERE TO LOOK · </w:t>
            </w:r>
            <w:r>
              <w:rPr>
                <w:rFonts w:ascii="Calibri" w:cs="Calibri" w:eastAsia="Calibri" w:hAnsi="Calibri"/>
                <w:b w:val="false"/>
                <w:bCs w:val="false"/>
                <w:i w:val="false"/>
                <w:iCs w:val="false"/>
                <w:color w:val="1B1230"/>
                <w:sz w:val="20"/>
                <w:szCs w:val="20"/>
              </w:rPr>
              <w:t xml:space="preserve">Answered from this sheet. Short-term = startable now. Medium-term = needs a decision, a budget or a supplier. Structural = changes how decisions are made.</w:t>
            </w:r>
          </w:p>
        </w:tc>
      </w:tr>
    </w:tbl>
    <w:p>
      <w:pPr>
        <w:spacing w:after="10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Action area (from Section B)</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Short-term step</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Medium-term step</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Structural step</w:t>
            </w:r>
          </w:p>
        </w:tc>
      </w:tr>
      <w:tr>
        <w:trPr>
          <w:trHeight w:val="620" w:hRule="atLeast"/>
        </w:trPr>
        <w:tc>
          <w:tcPr>
            <w:tcW w:type="dxa" w:w="21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W w:type="dxa" w:w="21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W w:type="dxa" w:w="21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W w:type="dxa" w:w="21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bl>
    <w:p>
      <w:pPr>
        <w:spacing w:after="120" w:before="240"/>
      </w:pPr>
      <w:r>
        <w:rPr>
          <w:rFonts w:ascii="Calibri" w:cs="Calibri" w:eastAsia="Calibri" w:hAnsi="Calibri"/>
          <w:b/>
          <w:bCs/>
          <w:i w:val="false"/>
          <w:iCs w:val="false"/>
          <w:color w:val="231A45"/>
          <w:sz w:val="30"/>
          <w:szCs w:val="30"/>
        </w:rPr>
        <w:t xml:space="preserve">Section D · Which measure is carried out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1" w:sz="4"/>
              <w:left w:val="single" w:color="FBEFE1" w:sz="4"/>
              <w:bottom w:val="single" w:color="FBEFE1" w:sz="4"/>
              <w:right w:val="single" w:color="FBEFE1"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7A3D0A"/>
                <w:sz w:val="20"/>
                <w:szCs w:val="20"/>
              </w:rPr>
              <w:t xml:space="preserve">JUDGED — marked with a rubric</w:t>
            </w:r>
          </w:p>
        </w:tc>
      </w:tr>
    </w:tbl>
    <w:p>
      <w:pPr>
        <w:spacing w:after="8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5624D0" w:sz="4"/>
              <w:left w:val="single" w:color="5624D0" w:sz="4"/>
              <w:bottom w:val="single" w:color="5624D0" w:sz="4"/>
              <w:right w:val="single" w:color="5624D0" w:sz="4"/>
            </w:tcBorders>
            <w:shd w:fill="5624D0" w:color="auto" w:val="clear"/>
            <w:tcMar>
              <w:top w:type="dxa" w:w="0"/>
              <w:left w:type="dxa" w:w="0"/>
              <w:bottom w:type="dxa" w:w="0"/>
              <w:right w:type="dxa" w:w="0"/>
            </w:tcMar>
          </w:tcPr>
          <w:p>
            <w:r>
              <w:rPr>
                <w:rFonts w:ascii="Calibri" w:cs="Calibri" w:eastAsia="Calibri" w:hAnsi="Calibri"/>
                <w:b w:val="false"/>
                <w:bCs w:val="false"/>
                <w:i w:val="false"/>
                <w:iCs w:val="false"/>
                <w:color w:val="1B1230"/>
                <w:sz w:val="22"/>
                <w:szCs w:val="22"/>
              </w:rPr>
              <w:t xml:space="preserve"/>
            </w:r>
          </w:p>
        </w:tc>
        <w:tc>
          <w:tcPr>
            <w:tcW w:type="dxa" w:w="9100"/>
            <w:tcBorders>
              <w:top w:val="single" w:color="EEE9F9" w:sz="4"/>
              <w:left w:val="single" w:color="EEE9F9" w:sz="4"/>
              <w:bottom w:val="single" w:color="EEE9F9" w:sz="4"/>
              <w:right w:val="single" w:color="EEE9F9" w:sz="4"/>
            </w:tcBorders>
            <w:shd w:fill="EEE9F9" w:color="auto" w:val="clear"/>
            <w:tcMar>
              <w:top w:type="dxa" w:w="80"/>
              <w:left w:type="dxa" w:w="120"/>
              <w:bottom w:type="dxa" w:w="80"/>
              <w:right w:type="dxa" w:w="120"/>
            </w:tcMar>
            <w:vAlign w:val="top"/>
          </w:tcPr>
          <w:p>
            <w:pPr>
              <w:spacing w:after="40" w:before="0"/>
            </w:pPr>
            <w:r>
              <w:rPr>
                <w:rFonts w:ascii="Calibri" w:cs="Calibri" w:eastAsia="Calibri" w:hAnsi="Calibri"/>
                <w:b/>
                <w:bCs/>
                <w:i w:val="false"/>
                <w:iCs w:val="false"/>
                <w:color w:val="5624D0"/>
                <w:sz w:val="20"/>
                <w:szCs w:val="20"/>
              </w:rPr>
              <w:t xml:space="preserve">IF YOU HAVE THE APP · </w:t>
            </w:r>
            <w:r>
              <w:rPr>
                <w:rFonts w:ascii="Calibri" w:cs="Calibri" w:eastAsia="Calibri" w:hAnsi="Calibri"/>
                <w:b w:val="false"/>
                <w:bCs w:val="false"/>
                <w:i w:val="false"/>
                <w:iCs w:val="false"/>
                <w:color w:val="1B1230"/>
                <w:sz w:val="20"/>
                <w:szCs w:val="20"/>
              </w:rPr>
              <w:t xml:space="preserve">https://aion-green-it-day2.vercel.app/case/nordcom/ — the “Which measure is implemented first?” widget below the board.</w:t>
            </w:r>
          </w:p>
          <w:p>
            <w:pPr>
              <w:spacing w:after="0" w:before="0"/>
            </w:pPr>
            <w:r>
              <w:rPr>
                <w:rFonts w:ascii="Calibri" w:cs="Calibri" w:eastAsia="Calibri" w:hAnsi="Calibri"/>
                <w:b/>
                <w:bCs/>
                <w:i w:val="false"/>
                <w:iCs w:val="false"/>
                <w:color w:val="5624D0"/>
                <w:sz w:val="20"/>
                <w:szCs w:val="20"/>
              </w:rPr>
              <w:t xml:space="preserve">HOW · </w:t>
            </w:r>
            <w:r>
              <w:rPr>
                <w:rFonts w:ascii="Calibri" w:cs="Calibri" w:eastAsia="Calibri" w:hAnsi="Calibri"/>
                <w:b w:val="false"/>
                <w:bCs w:val="false"/>
                <w:i w:val="false"/>
                <w:iCs w:val="false"/>
                <w:color w:val="1B1230"/>
                <w:sz w:val="20"/>
                <w:szCs w:val="20"/>
              </w:rPr>
              <w:t xml:space="preserve">Commit one action area, read what it buys and costs, then justify across impact, risk and feasibility. If offline, decide from the reference.</w:t>
            </w:r>
          </w:p>
        </w:tc>
      </w:tr>
    </w:tbl>
    <w:p>
      <w:pPr>
        <w:spacing w:after="10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Question</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Your answer</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D1 · Which action area do you start first?  Circle:   AA1   /   AA2   /   AA3   /   AA4</w:t>
            </w:r>
          </w:p>
        </w:tc>
        <w:tc>
          <w:tcPr>
            <w:tcW w:type="dxa" w:w="57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D2 · Impact — why this first? (one sentence, cite ≥1 F#)</w:t>
            </w:r>
          </w:p>
        </w:tc>
        <w:tc>
          <w:tcPr>
            <w:tcW w:type="dxa" w:w="57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D3 · Risk — what it costs or exposes (one sentence)</w:t>
            </w:r>
          </w:p>
        </w:tc>
        <w:tc>
          <w:tcPr>
            <w:tcW w:type="dxa" w:w="57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D4 · Feasibility — why it is startable now (one sentence)</w:t>
            </w:r>
          </w:p>
        </w:tc>
        <w:tc>
          <w:tcPr>
            <w:tcW w:type="dxa" w:w="57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bl>
    <w:p>
      <w:pPr>
        <w:spacing w:after="120" w:before="240"/>
      </w:pPr>
      <w:r>
        <w:rPr>
          <w:rFonts w:ascii="Calibri" w:cs="Calibri" w:eastAsia="Calibri" w:hAnsi="Calibri"/>
          <w:b/>
          <w:bCs/>
          <w:i w:val="false"/>
          <w:iCs w:val="false"/>
          <w:color w:val="231A45"/>
          <w:sz w:val="30"/>
          <w:szCs w:val="30"/>
        </w:rPr>
        <w:t xml:space="preserve">Section E · Anchoring responsibility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1" w:sz="4"/>
              <w:left w:val="single" w:color="FBEFE1" w:sz="4"/>
              <w:bottom w:val="single" w:color="FBEFE1" w:sz="4"/>
              <w:right w:val="single" w:color="FBEFE1"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7A3D0A"/>
                <w:sz w:val="20"/>
                <w:szCs w:val="20"/>
              </w:rPr>
              <w:t xml:space="preserve">JUDGED — marked with a rubric</w:t>
            </w:r>
          </w:p>
        </w:tc>
      </w:tr>
    </w:tbl>
    <w:p>
      <w:pPr>
        <w:spacing w:after="8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5624D0" w:sz="4"/>
              <w:left w:val="single" w:color="5624D0" w:sz="4"/>
              <w:bottom w:val="single" w:color="5624D0" w:sz="4"/>
              <w:right w:val="single" w:color="5624D0" w:sz="4"/>
            </w:tcBorders>
            <w:shd w:fill="5624D0" w:color="auto" w:val="clear"/>
            <w:tcMar>
              <w:top w:type="dxa" w:w="0"/>
              <w:left w:type="dxa" w:w="0"/>
              <w:bottom w:type="dxa" w:w="0"/>
              <w:right w:type="dxa" w:w="0"/>
            </w:tcMar>
          </w:tcPr>
          <w:p>
            <w:r>
              <w:rPr>
                <w:rFonts w:ascii="Calibri" w:cs="Calibri" w:eastAsia="Calibri" w:hAnsi="Calibri"/>
                <w:b w:val="false"/>
                <w:bCs w:val="false"/>
                <w:i w:val="false"/>
                <w:iCs w:val="false"/>
                <w:color w:val="1B1230"/>
                <w:sz w:val="22"/>
                <w:szCs w:val="22"/>
              </w:rPr>
              <w:t xml:space="preserve"/>
            </w:r>
          </w:p>
        </w:tc>
        <w:tc>
          <w:tcPr>
            <w:tcW w:type="dxa" w:w="9100"/>
            <w:tcBorders>
              <w:top w:val="single" w:color="F7F4FB" w:sz="4"/>
              <w:left w:val="single" w:color="F7F4FB" w:sz="4"/>
              <w:bottom w:val="single" w:color="F7F4FB" w:sz="4"/>
              <w:right w:val="single" w:color="F7F4FB" w:sz="4"/>
            </w:tcBorders>
            <w:shd w:fill="F7F4FB"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5624D0"/>
                <w:sz w:val="20"/>
                <w:szCs w:val="20"/>
              </w:rPr>
              <w:t xml:space="preserve">WHERE TO LOOK · </w:t>
            </w:r>
            <w:r>
              <w:rPr>
                <w:rFonts w:ascii="Calibri" w:cs="Calibri" w:eastAsia="Calibri" w:hAnsi="Calibri"/>
                <w:b w:val="false"/>
                <w:bCs w:val="false"/>
                <w:i w:val="false"/>
                <w:iCs w:val="false"/>
                <w:color w:val="1B1230"/>
                <w:sz w:val="20"/>
                <w:szCs w:val="20"/>
              </w:rPr>
              <w:t xml:space="preserve">Answered from this sheet. A name without a reporting line is not an anchor.</w:t>
            </w:r>
          </w:p>
        </w:tc>
      </w:tr>
    </w:tbl>
    <w:p>
      <w:pPr>
        <w:spacing w:after="100" w:before="0"/>
      </w:pPr>
      <w:r>
        <w:rPr>
          <w:rFonts w:ascii="Calibri" w:cs="Calibri" w:eastAsia="Calibri" w:hAnsi="Calibri"/>
          <w:b w:val="false"/>
          <w:bCs w:val="false"/>
          <w:i w:val="false"/>
          <w:iCs w:val="false"/>
          <w:color w:val="1B12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Element</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Your choice</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One-line reason</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Sustainable-IT owner (a single named role)</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39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Reports to</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39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Reporting rhythm</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39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Who is consulted before decisions</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39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r>
        <w:trPr>
          <w:trHeight w:val="620" w:hRule="atLeast"/>
        </w:trP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20"/>
                <w:szCs w:val="20"/>
              </w:rPr>
              <w:t xml:space="preserve">Escalation trigger</w:t>
            </w:r>
          </w:p>
        </w:tc>
        <w:tc>
          <w:tcPr>
            <w:tcW w:type="dxa" w:w="240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c>
          <w:tcPr>
            <w:tcW w:type="dxa" w:w="3960"/>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20"/>
                <w:szCs w:val="20"/>
              </w:rPr>
              <w:t xml:space="preserve"> </w:t>
            </w:r>
          </w:p>
        </w:tc>
      </w:tr>
    </w:tbl>
    <w:p>
      <w:pPr>
        <w:spacing w:after="120" w:before="240"/>
      </w:pPr>
      <w:r>
        <w:rPr>
          <w:rFonts w:ascii="Calibri" w:cs="Calibri" w:eastAsia="Calibri" w:hAnsi="Calibri"/>
          <w:b/>
          <w:bCs/>
          <w:i w:val="false"/>
          <w:iCs w:val="false"/>
          <w:color w:val="231A45"/>
          <w:sz w:val="30"/>
          <w:szCs w:val="30"/>
        </w:rPr>
        <w:t xml:space="preserve">How this is marked</w:t>
      </w:r>
    </w:p>
    <w:p>
      <w:pPr>
        <w:spacing w:after="80" w:before="0"/>
      </w:pPr>
      <w:r>
        <w:rPr>
          <w:rFonts w:ascii="Calibri" w:cs="Calibri" w:eastAsia="Calibri" w:hAnsi="Calibri"/>
          <w:b w:val="false"/>
          <w:bCs w:val="false"/>
          <w:i w:val="false"/>
          <w:iCs w:val="false"/>
          <w:color w:val="6B6484"/>
          <w:sz w:val="20"/>
          <w:szCs w:val="20"/>
        </w:rPr>
        <w:t xml:space="preserve">L2 sections score on a 4-point scale. Total possible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900"/>
        <w:gridCol w:w="1900"/>
        <w:gridCol w:w="1900"/>
      </w:tblGrid>
      <w:tr>
        <w:trPr>
          <w:tblHeader/>
        </w:trPr>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Section</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4 · Executive-ready</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3 · Solid</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2 · Partial</w:t>
            </w:r>
          </w:p>
        </w:tc>
        <w:tc>
          <w:tcPr>
            <w:tcBorders>
              <w:top w:val="single" w:color="D9D3EA" w:sz="4"/>
              <w:left w:val="single" w:color="D9D3EA" w:sz="4"/>
              <w:bottom w:val="single" w:color="D9D3EA" w:sz="4"/>
              <w:right w:val="single" w:color="D9D3EA" w:sz="4"/>
            </w:tcBorders>
            <w:shd w:fill="EEE9F9" w:color="auto" w:val="clear"/>
            <w:tcMar>
              <w:top w:type="dxa" w:w="80"/>
              <w:left w:type="dxa" w:w="120"/>
              <w:bottom w:type="dxa" w:w="80"/>
              <w:right w:type="dxa" w:w="120"/>
            </w:tcMar>
            <w:vAlign w:val="top"/>
          </w:tcPr>
          <w:p>
            <w:pPr>
              <w:spacing w:after="0" w:before="0"/>
            </w:pPr>
            <w:r>
              <w:rPr>
                <w:rFonts w:ascii="Calibri" w:cs="Calibri" w:eastAsia="Calibri" w:hAnsi="Calibri"/>
                <w:b/>
                <w:bCs/>
                <w:i w:val="false"/>
                <w:iCs w:val="false"/>
                <w:color w:val="231A45"/>
                <w:sz w:val="20"/>
                <w:szCs w:val="20"/>
              </w:rPr>
              <w:t xml:space="preserve">1 · Missing</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18"/>
                <w:szCs w:val="18"/>
              </w:rPr>
              <w:t xml:space="preserve">A · Six perspectives</w:t>
            </w:r>
          </w:p>
        </w:tc>
        <w:tc>
          <w:tcPr>
            <w:tcBorders>
              <w:top w:val="single" w:color="D9D3EA" w:sz="4"/>
              <w:left w:val="single" w:color="D9D3EA" w:sz="4"/>
              <w:bottom w:val="single" w:color="D9D3EA" w:sz="4"/>
              <w:right w:val="single" w:color="D9D3EA" w:sz="4"/>
            </w:tcBorders>
            <w:shd w:fill="EAF4EE"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All F1–F8 placed; every field of action is a lever, not a symptom.</w:t>
            </w:r>
          </w:p>
        </w:tc>
        <w:tc>
          <w:tcPr>
            <w:tcBorders>
              <w:top w:val="single" w:color="D9D3EA" w:sz="4"/>
              <w:left w:val="single" w:color="D9D3EA" w:sz="4"/>
              <w:bottom w:val="single" w:color="D9D3EA" w:sz="4"/>
              <w:right w:val="single" w:color="D9D3EA" w:sz="4"/>
            </w:tcBorders>
            <w:shd w:fill="EDF2F6"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Most placed; fields mostly levers.</w:t>
            </w:r>
          </w:p>
        </w:tc>
        <w:tc>
          <w:tcPr>
            <w:tcBorders>
              <w:top w:val="single" w:color="D9D3EA" w:sz="4"/>
              <w:left w:val="single" w:color="D9D3EA" w:sz="4"/>
              <w:bottom w:val="single" w:color="D9D3EA" w:sz="4"/>
              <w:right w:val="single" w:color="D9D3EA"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Some placed.</w:t>
            </w:r>
          </w:p>
        </w:tc>
        <w:tc>
          <w:tcPr>
            <w:tcBorders>
              <w:top w:val="single" w:color="D9D3EA" w:sz="4"/>
              <w:left w:val="single" w:color="D9D3EA" w:sz="4"/>
              <w:bottom w:val="single" w:color="D9D3EA" w:sz="4"/>
              <w:right w:val="single" w:color="D9D3EA" w:sz="4"/>
            </w:tcBorders>
            <w:shd w:fill="F6E4E4"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Missing or symptom-list.</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18"/>
                <w:szCs w:val="18"/>
              </w:rPr>
              <w:t xml:space="preserve">B · Four priorities</w:t>
            </w:r>
          </w:p>
        </w:tc>
        <w:tc>
          <w:tcPr>
            <w:tcBorders>
              <w:top w:val="single" w:color="D9D3EA" w:sz="4"/>
              <w:left w:val="single" w:color="D9D3EA" w:sz="4"/>
              <w:bottom w:val="single" w:color="D9D3EA" w:sz="4"/>
              <w:right w:val="single" w:color="D9D3EA" w:sz="4"/>
            </w:tcBorders>
            <w:shd w:fill="EAF4EE"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Four distinct areas, each driven by a cited F#.</w:t>
            </w:r>
          </w:p>
        </w:tc>
        <w:tc>
          <w:tcPr>
            <w:tcBorders>
              <w:top w:val="single" w:color="D9D3EA" w:sz="4"/>
              <w:left w:val="single" w:color="D9D3EA" w:sz="4"/>
              <w:bottom w:val="single" w:color="D9D3EA" w:sz="4"/>
              <w:right w:val="single" w:color="D9D3EA" w:sz="4"/>
            </w:tcBorders>
            <w:shd w:fill="EDF2F6"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Four areas, thin evidence.</w:t>
            </w:r>
          </w:p>
        </w:tc>
        <w:tc>
          <w:tcPr>
            <w:tcBorders>
              <w:top w:val="single" w:color="D9D3EA" w:sz="4"/>
              <w:left w:val="single" w:color="D9D3EA" w:sz="4"/>
              <w:bottom w:val="single" w:color="D9D3EA" w:sz="4"/>
              <w:right w:val="single" w:color="D9D3EA"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Fewer than four or repeats.</w:t>
            </w:r>
          </w:p>
        </w:tc>
        <w:tc>
          <w:tcPr>
            <w:tcBorders>
              <w:top w:val="single" w:color="D9D3EA" w:sz="4"/>
              <w:left w:val="single" w:color="D9D3EA" w:sz="4"/>
              <w:bottom w:val="single" w:color="D9D3EA" w:sz="4"/>
              <w:right w:val="single" w:color="D9D3EA" w:sz="4"/>
            </w:tcBorders>
            <w:shd w:fill="F6E4E4"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Missing.</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18"/>
                <w:szCs w:val="18"/>
              </w:rPr>
              <w:t xml:space="preserve">C · Short/med/structural</w:t>
            </w:r>
          </w:p>
        </w:tc>
        <w:tc>
          <w:tcPr>
            <w:tcBorders>
              <w:top w:val="single" w:color="D9D3EA" w:sz="4"/>
              <w:left w:val="single" w:color="D9D3EA" w:sz="4"/>
              <w:bottom w:val="single" w:color="D9D3EA" w:sz="4"/>
              <w:right w:val="single" w:color="D9D3EA" w:sz="4"/>
            </w:tcBorders>
            <w:shd w:fill="EAF4EE"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Each lever split cleanly across the three horizons.</w:t>
            </w:r>
          </w:p>
        </w:tc>
        <w:tc>
          <w:tcPr>
            <w:tcBorders>
              <w:top w:val="single" w:color="D9D3EA" w:sz="4"/>
              <w:left w:val="single" w:color="D9D3EA" w:sz="4"/>
              <w:bottom w:val="single" w:color="D9D3EA" w:sz="4"/>
              <w:right w:val="single" w:color="D9D3EA" w:sz="4"/>
            </w:tcBorders>
            <w:shd w:fill="EDF2F6"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Mostly split.</w:t>
            </w:r>
          </w:p>
        </w:tc>
        <w:tc>
          <w:tcPr>
            <w:tcBorders>
              <w:top w:val="single" w:color="D9D3EA" w:sz="4"/>
              <w:left w:val="single" w:color="D9D3EA" w:sz="4"/>
              <w:bottom w:val="single" w:color="D9D3EA" w:sz="4"/>
              <w:right w:val="single" w:color="D9D3EA"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Partial.</w:t>
            </w:r>
          </w:p>
        </w:tc>
        <w:tc>
          <w:tcPr>
            <w:tcBorders>
              <w:top w:val="single" w:color="D9D3EA" w:sz="4"/>
              <w:left w:val="single" w:color="D9D3EA" w:sz="4"/>
              <w:bottom w:val="single" w:color="D9D3EA" w:sz="4"/>
              <w:right w:val="single" w:color="D9D3EA" w:sz="4"/>
            </w:tcBorders>
            <w:shd w:fill="F6E4E4"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Missing.</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18"/>
                <w:szCs w:val="18"/>
              </w:rPr>
              <w:t xml:space="preserve">D · First measure</w:t>
            </w:r>
          </w:p>
        </w:tc>
        <w:tc>
          <w:tcPr>
            <w:tcBorders>
              <w:top w:val="single" w:color="D9D3EA" w:sz="4"/>
              <w:left w:val="single" w:color="D9D3EA" w:sz="4"/>
              <w:bottom w:val="single" w:color="D9D3EA" w:sz="4"/>
              <w:right w:val="single" w:color="D9D3EA" w:sz="4"/>
            </w:tcBorders>
            <w:shd w:fill="EAF4EE"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A decision defended across impact, risk AND feasibility with F# evidence.</w:t>
            </w:r>
          </w:p>
        </w:tc>
        <w:tc>
          <w:tcPr>
            <w:tcBorders>
              <w:top w:val="single" w:color="D9D3EA" w:sz="4"/>
              <w:left w:val="single" w:color="D9D3EA" w:sz="4"/>
              <w:bottom w:val="single" w:color="D9D3EA" w:sz="4"/>
              <w:right w:val="single" w:color="D9D3EA" w:sz="4"/>
            </w:tcBorders>
            <w:shd w:fill="EDF2F6"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Defended on two of three.</w:t>
            </w:r>
          </w:p>
        </w:tc>
        <w:tc>
          <w:tcPr>
            <w:tcBorders>
              <w:top w:val="single" w:color="D9D3EA" w:sz="4"/>
              <w:left w:val="single" w:color="D9D3EA" w:sz="4"/>
              <w:bottom w:val="single" w:color="D9D3EA" w:sz="4"/>
              <w:right w:val="single" w:color="D9D3EA"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A pick with weak reasons.</w:t>
            </w:r>
          </w:p>
        </w:tc>
        <w:tc>
          <w:tcPr>
            <w:tcBorders>
              <w:top w:val="single" w:color="D9D3EA" w:sz="4"/>
              <w:left w:val="single" w:color="D9D3EA" w:sz="4"/>
              <w:bottom w:val="single" w:color="D9D3EA" w:sz="4"/>
              <w:right w:val="single" w:color="D9D3EA" w:sz="4"/>
            </w:tcBorders>
            <w:shd w:fill="F6E4E4"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No decision.</w:t>
            </w:r>
          </w:p>
        </w:tc>
      </w:tr>
      <w:tr>
        <w:tc>
          <w:tcPr>
            <w:tcBorders>
              <w:top w:val="single" w:color="D9D3EA" w:sz="4"/>
              <w:left w:val="single" w:color="D9D3EA" w:sz="4"/>
              <w:bottom w:val="single" w:color="D9D3EA" w:sz="4"/>
              <w:right w:val="single" w:color="D9D3EA" w:sz="4"/>
            </w:tcBorders>
            <w:tcMar>
              <w:top w:type="dxa" w:w="80"/>
              <w:left w:type="dxa" w:w="120"/>
              <w:bottom w:type="dxa" w:w="80"/>
              <w:right w:type="dxa" w:w="120"/>
            </w:tcMar>
            <w:vAlign w:val="top"/>
          </w:tcPr>
          <w:p>
            <w:pPr>
              <w:spacing w:after="0" w:before="0"/>
            </w:pPr>
            <w:r>
              <w:rPr>
                <w:rFonts w:ascii="Calibri" w:cs="Calibri" w:eastAsia="Calibri" w:hAnsi="Calibri"/>
                <w:b/>
                <w:bCs/>
                <w:i w:val="false"/>
                <w:iCs w:val="false"/>
                <w:color w:val="1B1230"/>
                <w:sz w:val="18"/>
                <w:szCs w:val="18"/>
              </w:rPr>
              <w:t xml:space="preserve">E · Anchoring</w:t>
            </w:r>
          </w:p>
        </w:tc>
        <w:tc>
          <w:tcPr>
            <w:tcBorders>
              <w:top w:val="single" w:color="D9D3EA" w:sz="4"/>
              <w:left w:val="single" w:color="D9D3EA" w:sz="4"/>
              <w:bottom w:val="single" w:color="D9D3EA" w:sz="4"/>
              <w:right w:val="single" w:color="D9D3EA" w:sz="4"/>
            </w:tcBorders>
            <w:shd w:fill="EAF4EE"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Named owner, reporting line, rhythm, consultation and escalation.</w:t>
            </w:r>
          </w:p>
        </w:tc>
        <w:tc>
          <w:tcPr>
            <w:tcBorders>
              <w:top w:val="single" w:color="D9D3EA" w:sz="4"/>
              <w:left w:val="single" w:color="D9D3EA" w:sz="4"/>
              <w:bottom w:val="single" w:color="D9D3EA" w:sz="4"/>
              <w:right w:val="single" w:color="D9D3EA" w:sz="4"/>
            </w:tcBorders>
            <w:shd w:fill="EDF2F6"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Most elements present.</w:t>
            </w:r>
          </w:p>
        </w:tc>
        <w:tc>
          <w:tcPr>
            <w:tcBorders>
              <w:top w:val="single" w:color="D9D3EA" w:sz="4"/>
              <w:left w:val="single" w:color="D9D3EA" w:sz="4"/>
              <w:bottom w:val="single" w:color="D9D3EA" w:sz="4"/>
              <w:right w:val="single" w:color="D9D3EA" w:sz="4"/>
            </w:tcBorders>
            <w:shd w:fill="FBEFE1"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Some elements.</w:t>
            </w:r>
          </w:p>
        </w:tc>
        <w:tc>
          <w:tcPr>
            <w:tcBorders>
              <w:top w:val="single" w:color="D9D3EA" w:sz="4"/>
              <w:left w:val="single" w:color="D9D3EA" w:sz="4"/>
              <w:bottom w:val="single" w:color="D9D3EA" w:sz="4"/>
              <w:right w:val="single" w:color="D9D3EA" w:sz="4"/>
            </w:tcBorders>
            <w:shd w:fill="F6E4E4" w:color="auto" w:val="clear"/>
            <w:tcMar>
              <w:top w:type="dxa" w:w="80"/>
              <w:left w:type="dxa" w:w="120"/>
              <w:bottom w:type="dxa" w:w="80"/>
              <w:right w:type="dxa" w:w="120"/>
            </w:tcMar>
            <w:vAlign w:val="top"/>
          </w:tcPr>
          <w:p>
            <w:pPr>
              <w:spacing w:after="0" w:before="0"/>
            </w:pPr>
            <w:r>
              <w:rPr>
                <w:rFonts w:ascii="Calibri" w:cs="Calibri" w:eastAsia="Calibri" w:hAnsi="Calibri"/>
                <w:b w:val="false"/>
                <w:bCs w:val="false"/>
                <w:i w:val="false"/>
                <w:iCs w:val="false"/>
                <w:color w:val="1B1230"/>
                <w:sz w:val="16"/>
                <w:szCs w:val="16"/>
              </w:rPr>
              <w:t xml:space="preserve">Missing.</w:t>
            </w:r>
          </w:p>
        </w:tc>
      </w:tr>
    </w:tbl>
    <w:p>
      <w:pPr>
        <w:spacing w:after="120" w:before="240"/>
      </w:pPr>
      <w:r>
        <w:rPr>
          <w:rFonts w:ascii="Calibri" w:cs="Calibri" w:eastAsia="Calibri" w:hAnsi="Calibri"/>
          <w:b/>
          <w:bCs/>
          <w:i w:val="false"/>
          <w:iCs w:val="false"/>
          <w:color w:val="231A45"/>
          <w:sz w:val="30"/>
          <w:szCs w:val="30"/>
        </w:rPr>
        <w:t xml:space="preserve">One-line closing</w:t>
      </w:r>
    </w:p>
    <w:p>
      <w:pPr>
        <w:spacing w:after="80" w:before="0"/>
      </w:pPr>
      <w:r>
        <w:rPr>
          <w:rFonts w:ascii="Calibri" w:cs="Calibri" w:eastAsia="Calibri" w:hAnsi="Calibri"/>
          <w:b w:val="false"/>
          <w:bCs w:val="false"/>
          <w:i/>
          <w:iCs/>
          <w:color w:val="1B1230"/>
          <w:sz w:val="22"/>
          <w:szCs w:val="22"/>
        </w:rPr>
        <w:t xml:space="preserve">The model solution's core idea: the greatest leverage is not a premature investment, but first building the ability to steer — transparency and consolidation, with simple operating rules. </w:t>
      </w:r>
      <w:r>
        <w:rPr>
          <w:rFonts w:ascii="Calibri" w:cs="Calibri" w:eastAsia="Calibri" w:hAnsi="Calibri"/>
          <w:b w:val="false"/>
          <w:bCs w:val="false"/>
          <w:i w:val="false"/>
          <w:iCs w:val="false"/>
          <w:color w:val="1B1230"/>
          <w:sz w:val="22"/>
          <w:szCs w:val="22"/>
        </w:rPr>
        <w:t xml:space="preserve">Whether you follow that or defend a different first step, defend it with evidence, not aesthetics.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2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eei7bhnp3sazlujpmysn" Type="http://schemas.openxmlformats.org/officeDocument/2006/relationships/hyperlink" Target="https://aion-green-it-day2.vercel.app/case/nordcom/" TargetMode="External"/><Relationship Id="rIdsshbleqw5ghwwco3kkotw" Type="http://schemas.openxmlformats.org/officeDocument/2006/relationships/hyperlink" Target="https://aion-green-it-day2.vercel.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3 — NetCore — Task 3 — L2</dc:title>
  <dc:creator>Un-named</dc:creator>
  <dc:description>AION Green IT Module 2 learner worksheet</dc:description>
  <cp:lastModifiedBy>Un-named</cp:lastModifiedBy>
  <cp:revision>1</cp:revision>
  <dcterms:created xsi:type="dcterms:W3CDTF">2026-08-30T10:47:32.930Z</dcterms:created>
  <dcterms:modified xsi:type="dcterms:W3CDTF">2026-08-30T10:47:32.930Z</dcterms:modified>
</cp:coreProperties>
</file>

<file path=docProps/custom.xml><?xml version="1.0" encoding="utf-8"?>
<Properties xmlns="http://schemas.openxmlformats.org/officeDocument/2006/custom-properties" xmlns:vt="http://schemas.openxmlformats.org/officeDocument/2006/docPropsVTypes"/>
</file>