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40"/>
          <w:szCs w:val="40"/>
        </w:rPr>
        <w:t xml:space="preserve">Worksheet 4 — Building a Green IT decision architecture for Artemis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6B6484"/>
          <w:sz w:val="20"/>
          <w:szCs w:val="20"/>
        </w:rPr>
        <w:t xml:space="preserve">Task 4 · Level 3 · Case: Artemis Digital Industries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Module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Module 2 (Day 2) — IT as an Environmental Factor: Energy, Raw Materials, Waste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Level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L3 · Management decision — decision architecture and accountability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Playground page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hyperlink w:history="1" r:id="rId7432hx4ircp7yklier7gd">
              <w:r>
                <w:rPr>
                  <w:rFonts w:ascii="Calibri" w:cs="Calibri" w:eastAsia="Calibri" w:hAnsi="Calibri"/>
                  <w:b/>
                  <w:bCs/>
                  <w:color w:val="5624D0"/>
                  <w:sz w:val="20"/>
                  <w:szCs w:val="20"/>
                  <w:u w:val="single"/>
                </w:rPr>
                <w:t xml:space="preserve">https://aion-green-it-day2-it-as-an-environ.vercel.app/case/auron/</w:t>
              </w:r>
            </w:hyperlink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Full playground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hyperlink w:history="1" r:id="rIdwpemt1mmnej7kkm6wajxs">
              <w:r>
                <w:rPr>
                  <w:rFonts w:ascii="Calibri" w:cs="Calibri" w:eastAsia="Calibri" w:hAnsi="Calibri"/>
                  <w:b/>
                  <w:bCs/>
                  <w:color w:val="5624D0"/>
                  <w:sz w:val="20"/>
                  <w:szCs w:val="20"/>
                  <w:u w:val="single"/>
                </w:rPr>
                <w:t xml:space="preserve">https://aion-green-it-day2-it-as-an-environ.vercel.app/</w:t>
              </w:r>
            </w:hyperlink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Estimated time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~ 120 minutes (transfer project)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How it is marked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Rubric-graded on a 4-point scale. Judged on internal consistency, not on matching a fixed solution.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Self-contained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Yes. The role, ten findings, seven measures and the capacity constraint are printed below.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Name / Group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Date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How to use this sheet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624D0"/>
          <w:sz w:val="22"/>
          <w:szCs w:val="22"/>
        </w:rPr>
        <w:t xml:space="preserve">1.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Read the Reference Material box below. It carries your role, all ten findings (F1–F10), the seven measures (M1–M7) with their point costs, and the capacity constraint — you can complete this worksheet from paper alone.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624D0"/>
          <w:sz w:val="22"/>
          <w:szCs w:val="22"/>
        </w:rPr>
        <w:t xml:space="preserve">2.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Optional: open the Artemis page (link in the header). Click the ten findings; the allocation widget lets you fund measures against a 10-point capacity.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624D0"/>
          <w:sz w:val="22"/>
          <w:szCs w:val="22"/>
        </w:rPr>
        <w:t xml:space="preserve">3.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Follow the section order: A → B → C.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624D0"/>
          <w:sz w:val="22"/>
          <w:szCs w:val="22"/>
        </w:rPr>
        <w:t xml:space="preserve">4.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This is an L3 management task. The examiner is looking for a decision architecture — a rule the next person could apply — not a technical opinion.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Reference material — everything you need to complete this worksheet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C08A00" w:sz="4"/>
              <w:left w:val="single" w:color="C08A00" w:sz="4"/>
              <w:bottom w:val="single" w:color="C08A00" w:sz="4"/>
              <w:right w:val="single" w:color="C08A00" w:sz="4"/>
            </w:tcBorders>
            <w:shd w:fill="C08A0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FFF6DF" w:sz="4"/>
              <w:left w:val="single" w:color="FFF6DF" w:sz="4"/>
              <w:bottom w:val="single" w:color="FFF6DF" w:sz="4"/>
              <w:right w:val="single" w:color="FFF6DF" w:sz="4"/>
            </w:tcBorders>
            <w:shd w:fill="FFF6D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2"/>
                <w:szCs w:val="22"/>
              </w:rPr>
              <w:t xml:space="preserve">REFERENCE MATERIAL ·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2"/>
                <w:szCs w:val="22"/>
              </w:rPr>
              <w:t xml:space="preserve">Artemis Digital Industries — the ten findings and the seven measures in the 12-month roadmap.</w:t>
            </w:r>
          </w:p>
          <w:p>
            <w:pPr>
              <w:spacing w:after="1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You do not need the app for this worksheet — everything you need is printed below. The app is a nice-to-have if you want to explore visually.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You take on the role of head of IT strategy / CIO advisor for Artemis Digital Industries. The company is growing, operates hybrid IT structures, procures in a decentralised way, has rising operating costs, and is under increasing pressure to reduce environmental impacts in a comprehensible way without jeopardising the performance of IT.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The six general conditions (F1–F6):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Differing interests of IT operations, purchasing, finance and management.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High requirements for availability and performance.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Incomplete data transparency on consumption and inventories.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Budget restrictions and the expectation of short-term results.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Existing replacement and procurement routines have grown historically.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Sustainability should become visible, but must not remain mere symbolic politics.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The four state-of-IT findings (F7–F10):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The company is growing and operates across several sites.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The company operates hybrid IT structures.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F9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The company procures in a decentralised way.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The company has rising operating costs.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The seven roadmap measures (M# · name (points) — description):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M1 · Sustainable-IT owner (1 pt)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Appoint a sustainable-IT owner with decision rights. One named person who can settle a question between IT, purchasing and finance without escalating it.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M2 · Baseline across sites (3 pt)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Baseline across all sites: consumption and device inventory. A first picture of what is actually running and how old it is, in a landscape that is not uniform.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M3 · Energy &amp; usage rules (2 pt)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Binding energy and usage rules (shutdown and operating). The small, visible waste stopped now — devices and infrastructure that run when nobody benefits.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M4 · Consolidate low-utilisation systems (4 pt)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Consolidate low-utilisation systems and review the operating model. Work on the largest idle-capacity waste, where the rising operating cost on the board originates.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M5 · Device service-life extension (3 pt)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Device service-life extension through repair and reuse. Longer service life on equipment that already exists — the clearest resource effect available here.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M6 · Procurement criteria (life-cycle) (2 pt)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Procurement criteria with a life-cycle perspective. A rule that applies at the moment of buying, which is the only moment a device's lifetime is actually set.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M7 · ESG reporting integration (3 pt)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Integration into ESG and sustainability reporting. The traceable statement customers and the board are asking for, on the reporting pressure already running.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33A3A"/>
                <w:sz w:val="20"/>
                <w:szCs w:val="20"/>
              </w:rPr>
              <w:t xml:space="preserve">Total capacity requested: 18 points. Capacity available: 10 points. The shortfall is deliberate — a prioritised roadmap is one where some things sit late on purpose.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Playground map — where each section takes you (if you use the app)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484"/>
          <w:sz w:val="20"/>
          <w:szCs w:val="20"/>
        </w:rPr>
        <w:t xml:space="preserve">One overview so you never hunt.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80"/>
        <w:gridCol w:w="408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Section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Where to look in the app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What you do there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A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Artemis board — click the ten findings.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Answer the seven decision-architecture elements.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B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Artemis page → the capacity-allocation widget.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Fund a first line of measures within 10 points.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/learn → L2 scenario &amp; W6 “Decision under incomplete information” rehearse this (optional).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Clue: name the decision, the missing fact, your rule for deciding anyway, and a revisit trigger.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Section A · The seven-element decision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FE1" w:sz="4"/>
              <w:left w:val="single" w:color="FBEFE1" w:sz="4"/>
              <w:bottom w:val="single" w:color="FBEFE1" w:sz="4"/>
              <w:right w:val="single" w:color="FBEFE1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A3D0A"/>
                <w:sz w:val="20"/>
                <w:szCs w:val="20"/>
              </w:rPr>
              <w:t xml:space="preserve">JUDGED — marked with a rubric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5624D0" w:sz="4"/>
              <w:left w:val="single" w:color="5624D0" w:sz="4"/>
              <w:bottom w:val="single" w:color="5624D0" w:sz="4"/>
              <w:right w:val="single" w:color="5624D0" w:sz="4"/>
            </w:tcBorders>
            <w:shd w:fill="5624D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EEE9F9" w:sz="4"/>
              <w:left w:val="single" w:color="EEE9F9" w:sz="4"/>
              <w:bottom w:val="single" w:color="EEE9F9" w:sz="4"/>
              <w:right w:val="single" w:color="EEE9F9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IF YOU HAVE THE APP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https://aion-green-it-day2-it-as-an-environ.vercel.app/case/auron/ — click each of the ten findings on the board.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HOW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Answer each element. Cite at least one finding (F#) and name the trade-off you own. If offline, use the Reference Material box.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3300"/>
        <w:gridCol w:w="336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#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Element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Prompt (what to answer)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Your decision — cite ≥1 F# and name the trade-off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Strategic relevance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A management view of why energy and resource consumption in IT are strategically relevant.</w:t>
            </w:r>
          </w:p>
        </w:tc>
        <w:tc>
          <w:tcPr>
            <w:tcW w:type="dxa" w:w="3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Three decision fields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Name the three most important decision fields for the next twelve months.</w:t>
            </w:r>
          </w:p>
        </w:tc>
        <w:tc>
          <w:tcPr>
            <w:tcW w:type="dxa" w:w="3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Decision logic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Develop a decision logic according to which measures are to be prioritised.</w:t>
            </w:r>
          </w:p>
        </w:tc>
        <w:tc>
          <w:tcPr>
            <w:tcW w:type="dxa" w:w="3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Central trade-offs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Analyse the central trade-offs between efficiency, investment, usability, availability and sustainability.</w:t>
            </w:r>
          </w:p>
        </w:tc>
        <w:tc>
          <w:tcPr>
            <w:tcW w:type="dxa" w:w="3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First prioritised line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Recommend a first prioritised line of measures, with justification.</w:t>
            </w:r>
          </w:p>
        </w:tc>
        <w:tc>
          <w:tcPr>
            <w:tcW w:type="dxa" w:w="3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Responsibilities &amp; review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Propose responsibilities, management and review mechanisms.</w:t>
            </w:r>
          </w:p>
        </w:tc>
        <w:tc>
          <w:tcPr>
            <w:tcW w:type="dxa" w:w="3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Decision now, under uncertainty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Name at least one decision that should be taken immediately despite an incomplete information situation.</w:t>
            </w:r>
          </w:p>
        </w:tc>
        <w:tc>
          <w:tcPr>
            <w:tcW w:type="dxa" w:w="3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Section B · The first prioritised line of measures (allocation)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FE1" w:sz="4"/>
              <w:left w:val="single" w:color="FBEFE1" w:sz="4"/>
              <w:bottom w:val="single" w:color="FBEFE1" w:sz="4"/>
              <w:right w:val="single" w:color="FBEFE1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A3D0A"/>
                <w:sz w:val="20"/>
                <w:szCs w:val="20"/>
              </w:rPr>
              <w:t xml:space="preserve">JUDGED — marked with a rubric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5624D0" w:sz="4"/>
              <w:left w:val="single" w:color="5624D0" w:sz="4"/>
              <w:bottom w:val="single" w:color="5624D0" w:sz="4"/>
              <w:right w:val="single" w:color="5624D0" w:sz="4"/>
            </w:tcBorders>
            <w:shd w:fill="5624D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EEE9F9" w:sz="4"/>
              <w:left w:val="single" w:color="EEE9F9" w:sz="4"/>
              <w:bottom w:val="single" w:color="EEE9F9" w:sz="4"/>
              <w:right w:val="single" w:color="EEE9F9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IF YOU HAVE THE APP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https://aion-green-it-day2-it-as-an-environ.vercel.app/case/auron/ — the capacity-allocation widget.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HOW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Fund a first line of measures within the 10-point capacity. For each measure, write a start quarter (Q1–Q4) or “defer”, and a one-line reason. If offline, decide from the reference.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900"/>
        <w:gridCol w:w="2000"/>
        <w:gridCol w:w="296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#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Measure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Points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Start quarter (Q1–Q4) or “defer”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One-line reason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M1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Sustainable-IT owner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2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M2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Baseline across sites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2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M3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Energy &amp; usage rules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2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M4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Consolidate low-utilisation systems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2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M5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Device service-life extension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2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M6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Procurement criteria (life-cycle)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2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M7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ESG reporting integration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2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TOTAL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20"/>
                <w:szCs w:val="20"/>
              </w:rPr>
              <w:t xml:space="preserve">Total funded points (add the points of measures NOT marked “defer”):</w:t>
            </w:r>
          </w:p>
        </w:tc>
        <w:tc>
          <w:tcPr>
            <w:tcW w:type="dxa" w:w="9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33A3A"/>
                <w:sz w:val="20"/>
                <w:szCs w:val="20"/>
              </w:rPr>
              <w:t xml:space="preserve">≤ 10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B33A3A"/>
                <w:sz w:val="20"/>
                <w:szCs w:val="20"/>
              </w:rPr>
              <w:t xml:space="preserve">Constraint: this total must be 10 or less.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Section C · The decision you consciously answer for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FE1" w:sz="4"/>
              <w:left w:val="single" w:color="FBEFE1" w:sz="4"/>
              <w:bottom w:val="single" w:color="FBEFE1" w:sz="4"/>
              <w:right w:val="single" w:color="FBEFE1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A3D0A"/>
                <w:sz w:val="20"/>
                <w:szCs w:val="20"/>
              </w:rPr>
              <w:t xml:space="preserve">JUDGED — marked with a rubric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5624D0" w:sz="4"/>
              <w:left w:val="single" w:color="5624D0" w:sz="4"/>
              <w:bottom w:val="single" w:color="5624D0" w:sz="4"/>
              <w:right w:val="single" w:color="5624D0" w:sz="4"/>
            </w:tcBorders>
            <w:shd w:fill="5624D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F7F4FB" w:sz="4"/>
              <w:left w:val="single" w:color="F7F4FB" w:sz="4"/>
              <w:bottom w:val="single" w:color="F7F4FB" w:sz="4"/>
              <w:right w:val="single" w:color="F7F4FB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WHERE TO LOOK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Answered from this sheet. This is the senior-level requirement: one decision you own under incomplete information.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6B6484"/>
                <w:sz w:val="18"/>
                <w:szCs w:val="18"/>
              </w:rPr>
              <w:t xml:space="preserve">In the app (optional) ·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https://aion-green-it-day2-it-as-an-environ.vercel.app/learn/ — the L2 scenario and W6 “Decision under incomplete information”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Question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Your answer</w:t>
            </w:r>
          </w:p>
        </w:tc>
      </w:tr>
      <w:tr>
        <w:trPr>
          <w:trHeight w:val="68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C1 · Which single decision (from Section A, element 7) do you OWN now?</w:t>
            </w:r>
          </w:p>
        </w:tc>
        <w:tc>
          <w:tcPr>
            <w:tcW w:type="dxa" w:w="5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8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C2 · Which information do you NOT have that would change it?</w:t>
            </w:r>
          </w:p>
        </w:tc>
        <w:tc>
          <w:tcPr>
            <w:tcW w:type="dxa" w:w="5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8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C3 · Your rule for deciding anyway — start: “I will decide X on the basis of Y, and I will revisit if Z happens.”</w:t>
            </w:r>
          </w:p>
        </w:tc>
        <w:tc>
          <w:tcPr>
            <w:tcW w:type="dxa" w:w="5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8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C4 · Who else in the room disagrees, and on what grounds?</w:t>
            </w:r>
          </w:p>
        </w:tc>
        <w:tc>
          <w:tcPr>
            <w:tcW w:type="dxa" w:w="5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8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C5 · What is the cost of NOT deciding — of deferring six months?</w:t>
            </w:r>
          </w:p>
        </w:tc>
        <w:tc>
          <w:tcPr>
            <w:tcW w:type="dxa" w:w="5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How this is marked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484"/>
          <w:sz w:val="20"/>
          <w:szCs w:val="20"/>
        </w:rPr>
        <w:t xml:space="preserve">L3 sections score on a 4-point scale. Executive-ready means both a decision AND a rule the next person could apply. Total possible = 12.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0"/>
        <w:gridCol w:w="1900"/>
        <w:gridCol w:w="1900"/>
        <w:gridCol w:w="1900"/>
        <w:gridCol w:w="190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Section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4 · Executive-ready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3 · Solid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2 · Partial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1 · Missing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18"/>
                <w:szCs w:val="18"/>
              </w:rPr>
              <w:t xml:space="preserve">A · Decision architecture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AF4E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6"/>
                <w:szCs w:val="16"/>
              </w:rPr>
              <w:t xml:space="preserve">All seven elements answered; each cites an F# and names a trade-off; element 3 reads as a rule.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DF2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6"/>
                <w:szCs w:val="16"/>
              </w:rPr>
              <w:t xml:space="preserve">Most elements answered with evidence.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6"/>
                <w:szCs w:val="16"/>
              </w:rPr>
              <w:t xml:space="preserve">Some elements; thin evidence.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6E4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6"/>
                <w:szCs w:val="16"/>
              </w:rPr>
              <w:t xml:space="preserve">Missing or opinion-only.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18"/>
                <w:szCs w:val="18"/>
              </w:rPr>
              <w:t xml:space="preserve">B · Allocation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AF4E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6"/>
                <w:szCs w:val="16"/>
              </w:rPr>
              <w:t xml:space="preserve">A funded line ≤ 10 points, with each deferral named and justified.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DF2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6"/>
                <w:szCs w:val="16"/>
              </w:rPr>
              <w:t xml:space="preserve">A valid line; some reasons thin.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6"/>
                <w:szCs w:val="16"/>
              </w:rPr>
              <w:t xml:space="preserve">Over budget or reasons missing.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6E4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6"/>
                <w:szCs w:val="16"/>
              </w:rPr>
              <w:t xml:space="preserve">No allocation.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18"/>
                <w:szCs w:val="18"/>
              </w:rPr>
              <w:t xml:space="preserve">C · Owned decision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AF4E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6"/>
                <w:szCs w:val="16"/>
              </w:rPr>
              <w:t xml:space="preserve">Owns a decision, names the missing fact, states a revisit trigger and the cost of deferral.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DF2F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6"/>
                <w:szCs w:val="16"/>
              </w:rPr>
              <w:t xml:space="preserve">Most present.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6"/>
                <w:szCs w:val="16"/>
              </w:rPr>
              <w:t xml:space="preserve">Partial.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6E4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6"/>
                <w:szCs w:val="16"/>
              </w:rPr>
              <w:t xml:space="preserve">Missing.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One-line closing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1B1230"/>
          <w:sz w:val="22"/>
          <w:szCs w:val="22"/>
        </w:rPr>
        <w:t xml:space="preserve">A management decision is not a technical opinion with authority attached.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It is a rule under which the next decision can be taken by someone else. If your Section A does not read like a rule, rewrite it.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2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432hx4ircp7yklier7gd" Type="http://schemas.openxmlformats.org/officeDocument/2006/relationships/hyperlink" Target="https://aion-green-it-day2-it-as-an-environ.vercel.app/case/auron/" TargetMode="External"/><Relationship Id="rIdwpemt1mmnej7kkm6wajxs" Type="http://schemas.openxmlformats.org/officeDocument/2006/relationships/hyperlink" Target="https://aion-green-it-day2-it-as-an-environ.vercel.app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4 — Artemis — Task 4 — L3</dc:title>
  <dc:creator>Un-named</dc:creator>
  <dc:description>AION Green IT Module 2 learner worksheet</dc:description>
  <cp:lastModifiedBy>Un-named</cp:lastModifiedBy>
  <cp:revision>1</cp:revision>
  <dcterms:created xsi:type="dcterms:W3CDTF">2026-08-30T15:35:31.959Z</dcterms:created>
  <dcterms:modified xsi:type="dcterms:W3CDTF">2026-08-30T15:35:31.959Z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