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13 · TRAINER DOCUMENT · COACHING, FEEDBACK AND MODEL SOLUTIONS · NOT FOR PARTICIPANTS</w:t>
      </w:r>
    </w:p>
    <w:p>
      <w:pPr>
        <w:spacing w:before="0" w:after="80" w:line="240" w:lineRule="auto"/>
      </w:pPr>
      <w:r>
        <w:rPr>
          <w:b/>
          <w:sz w:val="52"/>
        </w:rPr>
        <w:t>AccessLearn: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13 · Module 6 (day 1 of 2): Fundamentals of inclusive UX/UI design for learning platforms, accessibility in practice: WCAG standards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AccessLearn, a platform with barriers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Accessibility as a Quality and Compliance Factor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13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3"/>
        <w:gridCol w:w="593"/>
        <w:gridCol w:w="1990"/>
        <w:gridCol w:w="3166"/>
        <w:gridCol w:w="1476"/>
        <w:gridCol w:w="1820"/>
      </w:tblGrid>
      <w:tr>
        <w:trPr>
          <w:cantSplit/>
          <w:tblHeader/>
        </w:trPr>
        <w:tc>
          <w:tcPr>
            <w:tcW w:type="dxa" w:w="593"/>
            <w:shd w:val="clear" w:color="auto" w:fill="E6ECF4"/>
          </w:tcPr>
          <w:p>
            <w:pPr>
              <w:spacing w:before="0" w:after="0"/>
            </w:pPr>
            <w:r>
              <w:rPr>
                <w:b/>
                <w:sz w:val="19"/>
              </w:rPr>
              <w:t>UE</w:t>
            </w:r>
          </w:p>
        </w:tc>
        <w:tc>
          <w:tcPr>
            <w:tcW w:type="dxa" w:w="593"/>
            <w:shd w:val="clear" w:color="auto" w:fill="E6ECF4"/>
          </w:tcPr>
          <w:p>
            <w:pPr>
              <w:spacing w:before="0" w:after="0"/>
            </w:pPr>
            <w:r>
              <w:rPr>
                <w:b/>
                <w:sz w:val="19"/>
              </w:rPr>
              <w:t>Min</w:t>
            </w:r>
          </w:p>
        </w:tc>
        <w:tc>
          <w:tcPr>
            <w:tcW w:type="dxa" w:w="1990"/>
            <w:shd w:val="clear" w:color="auto" w:fill="E6ECF4"/>
          </w:tcPr>
          <w:p>
            <w:pPr>
              <w:spacing w:before="0" w:after="0"/>
            </w:pPr>
            <w:r>
              <w:rPr>
                <w:b/>
                <w:sz w:val="19"/>
              </w:rPr>
              <w:t>Plan item</w:t>
            </w:r>
          </w:p>
        </w:tc>
        <w:tc>
          <w:tcPr>
            <w:tcW w:type="dxa" w:w="3166"/>
            <w:shd w:val="clear" w:color="auto" w:fill="E6ECF4"/>
          </w:tcPr>
          <w:p>
            <w:pPr>
              <w:spacing w:before="0" w:after="0"/>
            </w:pPr>
            <w:r>
              <w:rPr>
                <w:b/>
                <w:sz w:val="19"/>
              </w:rPr>
              <w:t>What happens</w:t>
            </w:r>
          </w:p>
        </w:tc>
        <w:tc>
          <w:tcPr>
            <w:tcW w:type="dxa" w:w="1476"/>
            <w:shd w:val="clear" w:color="auto" w:fill="E6ECF4"/>
          </w:tcPr>
          <w:p>
            <w:pPr>
              <w:spacing w:before="0" w:after="0"/>
            </w:pPr>
            <w:r>
              <w:rPr>
                <w:b/>
                <w:sz w:val="19"/>
              </w:rPr>
              <w:t>Material</w:t>
            </w:r>
          </w:p>
        </w:tc>
        <w:tc>
          <w:tcPr>
            <w:tcW w:type="dxa" w:w="1820"/>
            <w:shd w:val="clear" w:color="auto" w:fill="E6ECF4"/>
          </w:tcPr>
          <w:p>
            <w:pPr>
              <w:spacing w:before="0" w:after="0"/>
            </w:pPr>
            <w:r>
              <w:rPr>
                <w:b/>
                <w:sz w:val="19"/>
              </w:rPr>
              <w:t>Format</w:t>
            </w:r>
          </w:p>
        </w:tc>
      </w:tr>
      <w:tr>
        <w:trPr>
          <w:cantSplit/>
        </w:trPr>
        <w:tc>
          <w:tcPr>
            <w:tcW w:type="dxa" w:w="593"/>
          </w:tcPr>
          <w:p>
            <w:pPr>
              <w:spacing w:before="0" w:after="0"/>
            </w:pPr>
            <w:r>
              <w:rPr>
                <w:b/>
                <w:sz w:val="19"/>
              </w:rPr>
              <w:t>1</w:t>
            </w:r>
          </w:p>
        </w:tc>
        <w:tc>
          <w:tcPr>
            <w:tcW w:type="dxa" w:w="593"/>
          </w:tcPr>
          <w:p>
            <w:pPr>
              <w:spacing w:before="0" w:after="0"/>
            </w:pPr>
            <w:r>
              <w:rPr>
                <w:sz w:val="19"/>
              </w:rPr>
              <w:t>45</w:t>
            </w:r>
          </w:p>
        </w:tc>
        <w:tc>
          <w:tcPr>
            <w:tcW w:type="dxa" w:w="1990"/>
          </w:tcPr>
          <w:p>
            <w:pPr>
              <w:spacing w:before="0" w:after="0"/>
            </w:pPr>
            <w:r>
              <w:rPr>
                <w:sz w:val="19"/>
              </w:rPr>
              <w:t>Knowledge transfer · Level 1</w:t>
            </w:r>
          </w:p>
        </w:tc>
        <w:tc>
          <w:tcPr>
            <w:tcW w:type="dxa" w:w="316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76"/>
          </w:tcPr>
          <w:p>
            <w:pPr>
              <w:spacing w:before="0" w:after="0"/>
            </w:pPr>
            <w:r>
              <w:rPr>
                <w:sz w:val="19"/>
              </w:rPr>
              <w:t>Materi A (Route 1)</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2</w:t>
            </w:r>
          </w:p>
        </w:tc>
        <w:tc>
          <w:tcPr>
            <w:tcW w:type="dxa" w:w="593"/>
          </w:tcPr>
          <w:p>
            <w:pPr>
              <w:spacing w:before="0" w:after="0"/>
            </w:pPr>
            <w:r>
              <w:rPr>
                <w:sz w:val="19"/>
              </w:rPr>
              <w:t>45</w:t>
            </w:r>
          </w:p>
        </w:tc>
        <w:tc>
          <w:tcPr>
            <w:tcW w:type="dxa" w:w="1990"/>
          </w:tcPr>
          <w:p>
            <w:pPr>
              <w:spacing w:before="0" w:after="0"/>
            </w:pPr>
            <w:r>
              <w:rPr>
                <w:sz w:val="19"/>
              </w:rPr>
              <w:t>Level 1 · Task 1</w:t>
            </w:r>
          </w:p>
        </w:tc>
        <w:tc>
          <w:tcPr>
            <w:tcW w:type="dxa" w:w="3166"/>
          </w:tcPr>
          <w:p>
            <w:pPr>
              <w:spacing w:before="0" w:after="0"/>
            </w:pPr>
            <w:r>
              <w:rPr>
                <w:sz w:val="19"/>
              </w:rPr>
              <w:t>Individual work on Block 1.1 (Core, about 13 min). Pairs then compare their results and the trainer collects open questions.</w:t>
            </w:r>
          </w:p>
        </w:tc>
        <w:tc>
          <w:tcPr>
            <w:tcW w:type="dxa" w:w="1476"/>
          </w:tcPr>
          <w:p>
            <w:pPr>
              <w:spacing w:before="0" w:after="0"/>
            </w:pPr>
            <w:r>
              <w:rPr>
                <w:sz w:val="19"/>
              </w:rPr>
              <w:t>Task 1 · Part 1 · Block 1.1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3</w:t>
            </w:r>
          </w:p>
        </w:tc>
        <w:tc>
          <w:tcPr>
            <w:tcW w:type="dxa" w:w="593"/>
          </w:tcPr>
          <w:p>
            <w:pPr>
              <w:spacing w:before="0" w:after="0"/>
            </w:pPr>
            <w:r>
              <w:rPr>
                <w:sz w:val="19"/>
              </w:rPr>
              <w:t>45</w:t>
            </w:r>
          </w:p>
        </w:tc>
        <w:tc>
          <w:tcPr>
            <w:tcW w:type="dxa" w:w="1990"/>
          </w:tcPr>
          <w:p>
            <w:pPr>
              <w:spacing w:before="0" w:after="0"/>
            </w:pPr>
            <w:r>
              <w:rPr>
                <w:sz w:val="19"/>
              </w:rPr>
              <w:t>Level 1 · Task 2</w:t>
            </w:r>
          </w:p>
        </w:tc>
        <w:tc>
          <w:tcPr>
            <w:tcW w:type="dxa" w:w="316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76"/>
          </w:tcPr>
          <w:p>
            <w:pPr>
              <w:spacing w:before="0" w:after="0"/>
            </w:pPr>
            <w:r>
              <w:rPr>
                <w:sz w:val="19"/>
              </w:rPr>
              <w:t>Task 1 · Part 1 · Block 1.2</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4</w:t>
            </w:r>
          </w:p>
        </w:tc>
        <w:tc>
          <w:tcPr>
            <w:tcW w:type="dxa" w:w="593"/>
          </w:tcPr>
          <w:p>
            <w:pPr>
              <w:spacing w:before="0" w:after="0"/>
            </w:pPr>
            <w:r>
              <w:rPr>
                <w:sz w:val="19"/>
              </w:rPr>
              <w:t>45</w:t>
            </w:r>
          </w:p>
        </w:tc>
        <w:tc>
          <w:tcPr>
            <w:tcW w:type="dxa" w:w="1990"/>
          </w:tcPr>
          <w:p>
            <w:pPr>
              <w:spacing w:before="0" w:after="0"/>
            </w:pPr>
            <w:r>
              <w:rPr>
                <w:sz w:val="19"/>
              </w:rPr>
              <w:t>Coaching · transition from Level 1 to Level 2</w:t>
            </w:r>
          </w:p>
        </w:tc>
        <w:tc>
          <w:tcPr>
            <w:tcW w:type="dxa" w:w="316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76"/>
          </w:tcPr>
          <w:p>
            <w:pPr>
              <w:spacing w:before="0" w:after="0"/>
            </w:pPr>
            <w:r>
              <w:rPr>
                <w:sz w:val="19"/>
              </w:rPr>
              <w:t>Task 1 · Block 1.3</w:t>
            </w:r>
            <w:r>
              <w:br/>
            </w:r>
            <w:r>
              <w:rPr>
                <w:sz w:val="19"/>
              </w:rPr>
              <w:t>Trainer document, section Coaching</w:t>
            </w:r>
          </w:p>
        </w:tc>
        <w:tc>
          <w:tcPr>
            <w:tcW w:type="dxa" w:w="1820"/>
          </w:tcPr>
          <w:p>
            <w:pPr>
              <w:spacing w:before="0" w:after="0"/>
            </w:pPr>
            <w:r>
              <w:rPr>
                <w:sz w:val="19"/>
              </w:rPr>
              <w:t>Trainer only + Handout</w:t>
            </w:r>
          </w:p>
        </w:tc>
      </w:tr>
      <w:tr>
        <w:trPr>
          <w:cantSplit/>
        </w:trPr>
        <w:tc>
          <w:tcPr>
            <w:tcW w:type="dxa" w:w="593"/>
          </w:tcPr>
          <w:p>
            <w:pPr>
              <w:spacing w:before="0" w:after="0"/>
            </w:pPr>
            <w:r>
              <w:rPr>
                <w:b/>
                <w:sz w:val="19"/>
              </w:rPr>
              <w:t>5–6</w:t>
            </w:r>
          </w:p>
        </w:tc>
        <w:tc>
          <w:tcPr>
            <w:tcW w:type="dxa" w:w="593"/>
          </w:tcPr>
          <w:p>
            <w:pPr>
              <w:spacing w:before="0" w:after="0"/>
            </w:pPr>
            <w:r>
              <w:rPr>
                <w:sz w:val="19"/>
              </w:rPr>
              <w:t>90</w:t>
            </w:r>
          </w:p>
        </w:tc>
        <w:tc>
          <w:tcPr>
            <w:tcW w:type="dxa" w:w="1990"/>
          </w:tcPr>
          <w:p>
            <w:pPr>
              <w:spacing w:before="0" w:after="0"/>
            </w:pPr>
            <w:r>
              <w:rPr>
                <w:sz w:val="19"/>
              </w:rPr>
              <w:t>Level 2 · Case study AccessLearn (</w:t>
            </w:r>
            <w:r>
              <w:rPr>
                <w:b/>
                <w:sz w:val="19"/>
              </w:rPr>
              <w:t>2 UE</w:t>
            </w:r>
            <w:r>
              <w:rPr>
                <w:sz w:val="19"/>
              </w:rPr>
              <w:t>) incl. model solution</w:t>
            </w:r>
          </w:p>
        </w:tc>
        <w:tc>
          <w:tcPr>
            <w:tcW w:type="dxa" w:w="316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76"/>
          </w:tcPr>
          <w:p>
            <w:pPr>
              <w:spacing w:before="0" w:after="0"/>
            </w:pPr>
            <w:r>
              <w:rPr>
                <w:sz w:val="19"/>
              </w:rPr>
              <w:t>Task 1 · Part 2 · Blocks 2.1, 2.2</w:t>
            </w:r>
            <w:r>
              <w:br/>
            </w:r>
            <w:r>
              <w:rPr>
                <w:sz w:val="19"/>
              </w:rPr>
              <w:t>Trainer document, section Case study</w:t>
            </w:r>
          </w:p>
        </w:tc>
        <w:tc>
          <w:tcPr>
            <w:tcW w:type="dxa" w:w="1820"/>
          </w:tcPr>
          <w:p>
            <w:pPr>
              <w:spacing w:before="0" w:after="0"/>
            </w:pPr>
            <w:r>
              <w:rPr>
                <w:sz w:val="19"/>
              </w:rPr>
              <w:t>Handout; model solution shown after the work</w:t>
            </w:r>
          </w:p>
        </w:tc>
      </w:tr>
      <w:tr>
        <w:trPr>
          <w:cantSplit/>
        </w:trPr>
        <w:tc>
          <w:tcPr>
            <w:tcW w:type="dxa" w:w="593"/>
          </w:tcPr>
          <w:p>
            <w:pPr>
              <w:spacing w:before="0" w:after="0"/>
            </w:pPr>
            <w:r>
              <w:rPr>
                <w:b/>
                <w:sz w:val="19"/>
              </w:rPr>
              <w:t>7</w:t>
            </w:r>
          </w:p>
        </w:tc>
        <w:tc>
          <w:tcPr>
            <w:tcW w:type="dxa" w:w="593"/>
          </w:tcPr>
          <w:p>
            <w:pPr>
              <w:spacing w:before="0" w:after="0"/>
            </w:pPr>
            <w:r>
              <w:rPr>
                <w:sz w:val="19"/>
              </w:rPr>
              <w:t>45</w:t>
            </w:r>
          </w:p>
        </w:tc>
        <w:tc>
          <w:tcPr>
            <w:tcW w:type="dxa" w:w="1990"/>
          </w:tcPr>
          <w:p>
            <w:pPr>
              <w:spacing w:before="0" w:after="0"/>
            </w:pPr>
            <w:r>
              <w:rPr>
                <w:sz w:val="19"/>
              </w:rPr>
              <w:t>Level 2 + 3 · Feedback round with a management perspective</w:t>
            </w:r>
          </w:p>
        </w:tc>
        <w:tc>
          <w:tcPr>
            <w:tcW w:type="dxa" w:w="3166"/>
          </w:tcPr>
          <w:p>
            <w:pPr>
              <w:spacing w:before="0" w:after="0"/>
            </w:pPr>
            <w:r>
              <w:rPr>
                <w:sz w:val="19"/>
              </w:rPr>
              <w:t>Groups present their reasoning, not only their result. The trainer asks the day's Level 3 input questions and leads the discussion.</w:t>
            </w:r>
          </w:p>
        </w:tc>
        <w:tc>
          <w:tcPr>
            <w:tcW w:type="dxa" w:w="1476"/>
          </w:tcPr>
          <w:p>
            <w:pPr>
              <w:spacing w:before="0" w:after="0"/>
            </w:pPr>
            <w:r>
              <w:rPr>
                <w:sz w:val="19"/>
              </w:rPr>
              <w:t>Trainer document, section Feedback round</w:t>
            </w:r>
          </w:p>
        </w:tc>
        <w:tc>
          <w:tcPr>
            <w:tcW w:type="dxa" w:w="1820"/>
          </w:tcPr>
          <w:p>
            <w:pPr>
              <w:spacing w:before="0" w:after="0"/>
            </w:pPr>
            <w:r>
              <w:rPr>
                <w:sz w:val="19"/>
              </w:rPr>
              <w:t>Presentation by the groups; Trainer only</w:t>
            </w:r>
          </w:p>
        </w:tc>
      </w:tr>
      <w:tr>
        <w:trPr>
          <w:cantSplit/>
        </w:trPr>
        <w:tc>
          <w:tcPr>
            <w:tcW w:type="dxa" w:w="593"/>
          </w:tcPr>
          <w:p>
            <w:pPr>
              <w:spacing w:before="0" w:after="0"/>
            </w:pPr>
            <w:r>
              <w:rPr>
                <w:b/>
                <w:sz w:val="19"/>
              </w:rPr>
              <w:t>8</w:t>
            </w:r>
          </w:p>
        </w:tc>
        <w:tc>
          <w:tcPr>
            <w:tcW w:type="dxa" w:w="593"/>
          </w:tcPr>
          <w:p>
            <w:pPr>
              <w:spacing w:before="0" w:after="0"/>
            </w:pPr>
            <w:r>
              <w:rPr>
                <w:sz w:val="19"/>
              </w:rPr>
              <w:t>45</w:t>
            </w:r>
          </w:p>
        </w:tc>
        <w:tc>
          <w:tcPr>
            <w:tcW w:type="dxa" w:w="1990"/>
          </w:tcPr>
          <w:p>
            <w:pPr>
              <w:spacing w:before="0" w:after="0"/>
            </w:pPr>
            <w:r>
              <w:rPr>
                <w:sz w:val="19"/>
              </w:rPr>
              <w:t>Level 3 · Transfer project, Chief Accessibility Officer (</w:t>
            </w:r>
            <w:r>
              <w:rPr>
                <w:b/>
                <w:sz w:val="19"/>
              </w:rPr>
              <w:t>3 UE</w:t>
            </w:r>
            <w:r>
              <w:rPr>
                <w:sz w:val="19"/>
              </w:rPr>
              <w:t>: UE8–10)</w:t>
            </w:r>
          </w:p>
        </w:tc>
        <w:tc>
          <w:tcPr>
            <w:tcW w:type="dxa" w:w="3166"/>
          </w:tcPr>
          <w:p>
            <w:pPr>
              <w:spacing w:before="0" w:after="0"/>
            </w:pPr>
            <w:r>
              <w:rPr>
                <w:sz w:val="19"/>
              </w:rPr>
              <w:t>The trainer presents Materi B (B1, B2, B3; use the "In plain words" and "How to decide" boxes, the rest is handout) and sets the role and the brief.</w:t>
            </w:r>
          </w:p>
        </w:tc>
        <w:tc>
          <w:tcPr>
            <w:tcW w:type="dxa" w:w="1476"/>
          </w:tcPr>
          <w:p>
            <w:pPr>
              <w:spacing w:before="0" w:after="0"/>
            </w:pPr>
            <w:r>
              <w:rPr>
                <w:sz w:val="19"/>
              </w:rPr>
              <w:t>Materi B (Route 2)</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9</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Individual work or in pairs on Block 3.1 (Core, about 10 min).</w:t>
            </w:r>
          </w:p>
        </w:tc>
        <w:tc>
          <w:tcPr>
            <w:tcW w:type="dxa" w:w="1476"/>
          </w:tcPr>
          <w:p>
            <w:pPr>
              <w:spacing w:before="0" w:after="0"/>
            </w:pPr>
            <w:r>
              <w:rPr>
                <w:sz w:val="19"/>
              </w:rPr>
              <w:t>Task 2 · Block 3.1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10</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76"/>
          </w:tcPr>
          <w:p>
            <w:pPr>
              <w:spacing w:before="0" w:after="0"/>
            </w:pPr>
            <w:r>
              <w:rPr>
                <w:sz w:val="19"/>
              </w:rPr>
              <w:t>Task 2 · Block 3.2</w:t>
            </w:r>
            <w:r>
              <w:br/>
            </w:r>
            <w:r>
              <w:rPr>
                <w:sz w:val="19"/>
              </w:rPr>
              <w:t>Trainer document, section Transfer project</w:t>
            </w:r>
          </w:p>
        </w:tc>
        <w:tc>
          <w:tcPr>
            <w:tcW w:type="dxa" w:w="1820"/>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1"/>
        <w:gridCol w:w="1003"/>
        <w:gridCol w:w="1414"/>
        <w:gridCol w:w="2374"/>
        <w:gridCol w:w="2166"/>
      </w:tblGrid>
      <w:tr>
        <w:trPr>
          <w:cantSplit/>
          <w:tblHeader/>
        </w:trPr>
        <w:tc>
          <w:tcPr>
            <w:tcW w:type="dxa" w:w="2681"/>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4"/>
            <w:shd w:val="clear" w:color="auto" w:fill="E6ECF4"/>
          </w:tcPr>
          <w:p>
            <w:pPr>
              <w:spacing w:before="0" w:after="0"/>
            </w:pPr>
            <w:r>
              <w:rPr>
                <w:b/>
                <w:sz w:val="19"/>
              </w:rPr>
              <w:t>Participants work in</w:t>
            </w:r>
          </w:p>
        </w:tc>
        <w:tc>
          <w:tcPr>
            <w:tcW w:type="dxa" w:w="2166"/>
            <w:shd w:val="clear" w:color="auto" w:fill="E6ECF4"/>
          </w:tcPr>
          <w:p>
            <w:pPr>
              <w:spacing w:before="0" w:after="0"/>
            </w:pPr>
            <w:r>
              <w:rPr>
                <w:b/>
                <w:sz w:val="19"/>
              </w:rPr>
              <w:t>Model solution in</w:t>
            </w:r>
          </w:p>
        </w:tc>
      </w:tr>
      <w:tr>
        <w:trPr>
          <w:cantSplit/>
        </w:trPr>
        <w:tc>
          <w:tcPr>
            <w:tcW w:type="dxa" w:w="2681"/>
          </w:tcPr>
          <w:p>
            <w:pPr>
              <w:spacing w:before="0" w:after="0"/>
            </w:pPr>
            <w:r>
              <w:rPr>
                <w:b/>
                <w:sz w:val="19"/>
              </w:rPr>
              <w:t>Level 2 case study</w:t>
            </w:r>
            <w:r>
              <w:rPr>
                <w:sz w:val="19"/>
              </w:rPr>
              <w:t xml:space="preserve"> (AccessLearn)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4"/>
          </w:tcPr>
          <w:p>
            <w:pPr>
              <w:spacing w:before="0" w:after="0"/>
            </w:pPr>
            <w:r>
              <w:rPr>
                <w:sz w:val="19"/>
              </w:rPr>
              <w:t>Task 1 · Part 2 (Blocks 2.1, 2.2)</w:t>
            </w:r>
          </w:p>
        </w:tc>
        <w:tc>
          <w:tcPr>
            <w:tcW w:type="dxa" w:w="2166"/>
          </w:tcPr>
          <w:p>
            <w:pPr>
              <w:spacing w:before="0" w:after="0"/>
            </w:pPr>
            <w:r>
              <w:rPr>
                <w:sz w:val="19"/>
              </w:rPr>
              <w:t>Trainer document, section Case study</w:t>
            </w:r>
          </w:p>
        </w:tc>
      </w:tr>
      <w:tr>
        <w:trPr>
          <w:cantSplit/>
        </w:trPr>
        <w:tc>
          <w:tcPr>
            <w:tcW w:type="dxa" w:w="2681"/>
          </w:tcPr>
          <w:p>
            <w:pPr>
              <w:spacing w:before="0" w:after="0"/>
            </w:pPr>
            <w:r>
              <w:rPr>
                <w:b/>
                <w:sz w:val="19"/>
              </w:rPr>
              <w:t>Level 3 transfer project</w:t>
            </w:r>
            <w:r>
              <w:rPr>
                <w:sz w:val="19"/>
              </w:rPr>
              <w:t xml:space="preserve"> (Chief Accessibility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4"/>
          </w:tcPr>
          <w:p>
            <w:pPr>
              <w:spacing w:before="0" w:after="0"/>
            </w:pPr>
            <w:r>
              <w:rPr>
                <w:sz w:val="19"/>
              </w:rPr>
              <w:t>Materi B and Task 2 (Blocks 3.1, 3.2)</w:t>
            </w:r>
          </w:p>
        </w:tc>
        <w:tc>
          <w:tcPr>
            <w:tcW w:type="dxa" w:w="216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barriers: who do they affect, and which one stops a learner? · Core · about 13 min.</w:t>
      </w:r>
    </w:p>
    <w:p>
      <w:pPr>
        <w:pStyle w:val="Heading3"/>
      </w:pPr>
      <w:r>
        <w:rPr/>
        <w:t>Reference: Eight barriers into Visual, Motor, Cognitive</w:t>
      </w:r>
    </w:p>
    <w:p>
      <w:pPr>
        <w:spacing w:before="0" w:after="100"/>
      </w:pPr>
      <w:r>
        <w:rPr>
          <w:b/>
        </w:rPr>
        <w:t>Reference answer.</w:t>
      </w:r>
      <w:r>
        <w:rPr/>
        <w:t xml:space="preserve"> Visual: facts 1, 2, 3 · Motor: facts 4, 5 · Cognitive: facts 6,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68"/>
        <w:gridCol w:w="5870"/>
      </w:tblGrid>
      <w:tr>
        <w:trPr>
          <w:cantSplit/>
          <w:tblHeader/>
        </w:trPr>
        <w:tc>
          <w:tcPr>
            <w:tcW w:type="dxa" w:w="3768"/>
            <w:shd w:val="clear" w:color="auto" w:fill="E6ECF4"/>
          </w:tcPr>
          <w:p>
            <w:pPr>
              <w:spacing w:before="0" w:after="0"/>
            </w:pPr>
            <w:r>
              <w:rPr>
                <w:b/>
                <w:sz w:val="20"/>
              </w:rPr>
              <w:t>Item</w:t>
            </w:r>
          </w:p>
        </w:tc>
        <w:tc>
          <w:tcPr>
            <w:tcW w:type="dxa" w:w="5870"/>
            <w:shd w:val="clear" w:color="auto" w:fill="E6ECF4"/>
          </w:tcPr>
          <w:p>
            <w:pPr>
              <w:spacing w:before="0" w:after="0"/>
            </w:pPr>
            <w:r>
              <w:rPr>
                <w:b/>
                <w:sz w:val="20"/>
              </w:rPr>
              <w:t>Reference reading</w:t>
            </w:r>
          </w:p>
        </w:tc>
      </w:tr>
      <w:tr>
        <w:trPr>
          <w:cantSplit/>
        </w:trPr>
        <w:tc>
          <w:tcPr>
            <w:tcW w:type="dxa" w:w="3768"/>
          </w:tcPr>
          <w:p>
            <w:pPr>
              <w:spacing w:before="0" w:after="0"/>
            </w:pPr>
            <w:r>
              <w:rPr>
                <w:sz w:val="20"/>
              </w:rPr>
              <w:t>1 · Light grey text, contrast 2.1 : 1</w:t>
            </w:r>
          </w:p>
        </w:tc>
        <w:tc>
          <w:tcPr>
            <w:tcW w:type="dxa" w:w="5870"/>
          </w:tcPr>
          <w:p>
            <w:pPr>
              <w:spacing w:before="0" w:after="0"/>
            </w:pPr>
            <w:r>
              <w:rPr>
                <w:sz w:val="20"/>
              </w:rPr>
              <w:t>Visual. Low contrast hits learners with low vision: a visual barrier.</w:t>
            </w:r>
          </w:p>
        </w:tc>
      </w:tr>
      <w:tr>
        <w:trPr>
          <w:cantSplit/>
        </w:trPr>
        <w:tc>
          <w:tcPr>
            <w:tcW w:type="dxa" w:w="3768"/>
          </w:tcPr>
          <w:p>
            <w:pPr>
              <w:spacing w:before="0" w:after="0"/>
            </w:pPr>
            <w:r>
              <w:rPr>
                <w:sz w:val="20"/>
              </w:rPr>
              <w:t>2 · 10 px text that breaks when enlarged</w:t>
            </w:r>
          </w:p>
        </w:tc>
        <w:tc>
          <w:tcPr>
            <w:tcW w:type="dxa" w:w="5870"/>
          </w:tcPr>
          <w:p>
            <w:pPr>
              <w:spacing w:before="0" w:after="0"/>
            </w:pPr>
            <w:r>
              <w:rPr>
                <w:sz w:val="20"/>
              </w:rPr>
              <w:t>Visual. Small, unscalable text hits learners with low vision: a visual barrier.</w:t>
            </w:r>
          </w:p>
        </w:tc>
      </w:tr>
      <w:tr>
        <w:trPr>
          <w:cantSplit/>
        </w:trPr>
        <w:tc>
          <w:tcPr>
            <w:tcW w:type="dxa" w:w="3768"/>
          </w:tcPr>
          <w:p>
            <w:pPr>
              <w:spacing w:before="0" w:after="0"/>
            </w:pPr>
            <w:r>
              <w:rPr>
                <w:sz w:val="20"/>
              </w:rPr>
              <w:t>3 · A key chart with no text alternative</w:t>
            </w:r>
          </w:p>
        </w:tc>
        <w:tc>
          <w:tcPr>
            <w:tcW w:type="dxa" w:w="5870"/>
          </w:tcPr>
          <w:p>
            <w:pPr>
              <w:spacing w:before="0" w:after="0"/>
            </w:pPr>
            <w:r>
              <w:rPr>
                <w:sz w:val="20"/>
              </w:rPr>
              <w:t>Visual. A blind learner misses the content entirely: a visual barrier.</w:t>
            </w:r>
          </w:p>
        </w:tc>
      </w:tr>
      <w:tr>
        <w:trPr>
          <w:cantSplit/>
        </w:trPr>
        <w:tc>
          <w:tcPr>
            <w:tcW w:type="dxa" w:w="3768"/>
          </w:tcPr>
          <w:p>
            <w:pPr>
              <w:spacing w:before="0" w:after="0"/>
            </w:pPr>
            <w:r>
              <w:rPr>
                <w:sz w:val="20"/>
              </w:rPr>
              <w:t>4 · A menu that opens only on mouse hover</w:t>
            </w:r>
          </w:p>
        </w:tc>
        <w:tc>
          <w:tcPr>
            <w:tcW w:type="dxa" w:w="5870"/>
          </w:tcPr>
          <w:p>
            <w:pPr>
              <w:spacing w:before="0" w:after="0"/>
            </w:pPr>
            <w:r>
              <w:rPr>
                <w:sz w:val="20"/>
              </w:rPr>
              <w:t>Motor. A keyboard-only learner cannot open the menu: a motor barrier that stops use completely.</w:t>
            </w:r>
          </w:p>
        </w:tc>
      </w:tr>
      <w:tr>
        <w:trPr>
          <w:cantSplit/>
        </w:trPr>
        <w:tc>
          <w:tcPr>
            <w:tcW w:type="dxa" w:w="3768"/>
          </w:tcPr>
          <w:p>
            <w:pPr>
              <w:spacing w:before="0" w:after="0"/>
            </w:pPr>
            <w:r>
              <w:rPr>
                <w:sz w:val="20"/>
              </w:rPr>
              <w:t>5 · 18 px quiz buttons close together</w:t>
            </w:r>
          </w:p>
        </w:tc>
        <w:tc>
          <w:tcPr>
            <w:tcW w:type="dxa" w:w="5870"/>
          </w:tcPr>
          <w:p>
            <w:pPr>
              <w:spacing w:before="0" w:after="0"/>
            </w:pPr>
            <w:r>
              <w:rPr>
                <w:sz w:val="20"/>
              </w:rPr>
              <w:t>Motor. Tiny targets hit learners with a tremor or on a phone: a motor barrier.</w:t>
            </w:r>
          </w:p>
        </w:tc>
      </w:tr>
      <w:tr>
        <w:trPr>
          <w:cantSplit/>
        </w:trPr>
        <w:tc>
          <w:tcPr>
            <w:tcW w:type="dxa" w:w="3768"/>
          </w:tcPr>
          <w:p>
            <w:pPr>
              <w:spacing w:before="0" w:after="0"/>
            </w:pPr>
            <w:r>
              <w:rPr>
                <w:sz w:val="20"/>
              </w:rPr>
              <w:t>6 · Seven levels deep, three menus to the same page</w:t>
            </w:r>
          </w:p>
        </w:tc>
        <w:tc>
          <w:tcPr>
            <w:tcW w:type="dxa" w:w="5870"/>
          </w:tcPr>
          <w:p>
            <w:pPr>
              <w:spacing w:before="0" w:after="0"/>
            </w:pPr>
            <w:r>
              <w:rPr>
                <w:sz w:val="20"/>
              </w:rPr>
              <w:t>Cognitive. Complex navigation overloads learners who find structure hard: a cognitive barrier.</w:t>
            </w:r>
          </w:p>
        </w:tc>
      </w:tr>
      <w:tr>
        <w:trPr>
          <w:cantSplit/>
        </w:trPr>
        <w:tc>
          <w:tcPr>
            <w:tcW w:type="dxa" w:w="3768"/>
          </w:tcPr>
          <w:p>
            <w:pPr>
              <w:spacing w:before="0" w:after="0"/>
            </w:pPr>
            <w:r>
              <w:rPr>
                <w:sz w:val="20"/>
              </w:rPr>
              <w:t>7 · Long paragraphs, abbreviations, no headings</w:t>
            </w:r>
          </w:p>
        </w:tc>
        <w:tc>
          <w:tcPr>
            <w:tcW w:type="dxa" w:w="5870"/>
          </w:tcPr>
          <w:p>
            <w:pPr>
              <w:spacing w:before="0" w:after="0"/>
            </w:pPr>
            <w:r>
              <w:rPr>
                <w:sz w:val="20"/>
              </w:rPr>
              <w:t>Cognitive. Unstructured text hits learners with dyslexia or limited attention: a cognitive barrier.</w:t>
            </w:r>
          </w:p>
        </w:tc>
      </w:tr>
      <w:tr>
        <w:trPr>
          <w:cantSplit/>
        </w:trPr>
        <w:tc>
          <w:tcPr>
            <w:tcW w:type="dxa" w:w="3768"/>
          </w:tcPr>
          <w:p>
            <w:pPr>
              <w:spacing w:before="0" w:after="0"/>
            </w:pPr>
            <w:r>
              <w:rPr>
                <w:sz w:val="20"/>
              </w:rPr>
              <w:t>8 · A fixed 60-second quiz limit</w:t>
            </w:r>
          </w:p>
        </w:tc>
        <w:tc>
          <w:tcPr>
            <w:tcW w:type="dxa" w:w="5870"/>
          </w:tcPr>
          <w:p>
            <w:pPr>
              <w:spacing w:before="0" w:after="0"/>
            </w:pPr>
            <w:r>
              <w:rPr>
                <w:sz w:val="20"/>
              </w:rPr>
              <w:t>Cognitive. A fixed limit penalises learners who read or respond more slowly: a cognitive barrier.</w:t>
            </w:r>
          </w:p>
        </w:tc>
      </w:tr>
    </w:tbl>
    <w:p>
      <w:pPr>
        <w:spacing w:before="0" w:after="80"/>
      </w:pPr>
    </w:p>
    <w:p>
      <w:pPr>
        <w:spacing w:before="0" w:after="100"/>
      </w:pPr>
      <w:r>
        <w:rPr>
          <w:i/>
        </w:rPr>
        <w:t>Trainer note.</w:t>
      </w:r>
      <w:r>
        <w:rPr/>
        <w:t xml:space="preserve"> The sort is objective in its core: low contrast, small text and a missing text alternative are visual; a mouse-only menu and tiny buttons are motor; deep navigation, unstructured text and a fixed time limit are cognitive. Several barriers affect more than one group (small buttons also matter for low vision; a time limit also matters for motor impairments); the test is whom it hits first. A learner who argues another placement with a reason defends the choice. Which barrier stops a learner completely, the changes and the reasons are judged. Plan: Arbeitsauftrag 1, identify barriers, user groups affected, improvements.</w:t>
      </w:r>
    </w:p>
    <w:p>
      <w:pPr>
        <w:pStyle w:val="Heading3"/>
      </w:pPr>
      <w:r>
        <w:rPr/>
        <w:t>Reference: The barrier that stops a learner</w:t>
      </w:r>
    </w:p>
    <w:p>
      <w:pPr>
        <w:spacing w:before="0" w:after="100"/>
      </w:pPr>
      <w:r>
        <w:rPr>
          <w:b/>
        </w:rPr>
        <w:t>Reference answer.</w:t>
      </w:r>
      <w:r>
        <w:rPr/>
        <w:t xml:space="preserve"> 4 · A menu that opens only on mouse hover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0"/>
        <w:gridCol w:w="1401"/>
        <w:gridCol w:w="4587"/>
      </w:tblGrid>
      <w:tr>
        <w:trPr>
          <w:cantSplit/>
          <w:tblHeader/>
        </w:trPr>
        <w:tc>
          <w:tcPr>
            <w:tcW w:type="dxa" w:w="3650"/>
            <w:shd w:val="clear" w:color="auto" w:fill="E6ECF4"/>
          </w:tcPr>
          <w:p>
            <w:pPr>
              <w:spacing w:before="0" w:after="0"/>
            </w:pPr>
            <w:r>
              <w:rPr>
                <w:b/>
                <w:sz w:val="20"/>
              </w:rPr>
              <w:t>Option</w:t>
            </w:r>
          </w:p>
        </w:tc>
        <w:tc>
          <w:tcPr>
            <w:tcW w:type="dxa" w:w="1401"/>
            <w:shd w:val="clear" w:color="auto" w:fill="E6ECF4"/>
          </w:tcPr>
          <w:p>
            <w:pPr>
              <w:spacing w:before="0" w:after="0"/>
            </w:pPr>
            <w:r>
              <w:rPr>
                <w:b/>
                <w:sz w:val="20"/>
              </w:rPr>
              <w:t>In the reference answer?</w:t>
            </w:r>
          </w:p>
        </w:tc>
        <w:tc>
          <w:tcPr>
            <w:tcW w:type="dxa" w:w="4587"/>
            <w:shd w:val="clear" w:color="auto" w:fill="E6ECF4"/>
          </w:tcPr>
          <w:p>
            <w:pPr>
              <w:spacing w:before="0" w:after="0"/>
            </w:pPr>
            <w:r>
              <w:rPr>
                <w:b/>
                <w:sz w:val="20"/>
              </w:rPr>
              <w:t>Why</w:t>
            </w:r>
          </w:p>
        </w:tc>
      </w:tr>
      <w:tr>
        <w:trPr>
          <w:cantSplit/>
        </w:trPr>
        <w:tc>
          <w:tcPr>
            <w:tcW w:type="dxa" w:w="3650"/>
          </w:tcPr>
          <w:p>
            <w:pPr>
              <w:spacing w:before="0" w:after="0"/>
            </w:pPr>
            <w:r>
              <w:rPr>
                <w:sz w:val="20"/>
              </w:rPr>
              <w:t>1 · Light grey text, contrast 2.1 : 1</w:t>
            </w:r>
          </w:p>
        </w:tc>
        <w:tc>
          <w:tcPr>
            <w:tcW w:type="dxa" w:w="1401"/>
          </w:tcPr>
          <w:p>
            <w:pPr>
              <w:spacing w:before="0" w:after="0"/>
            </w:pPr>
            <w:r>
              <w:rPr>
                <w:sz w:val="20"/>
              </w:rPr>
              <w:t>No</w:t>
            </w:r>
          </w:p>
        </w:tc>
        <w:tc>
          <w:tcPr>
            <w:tcW w:type="dxa" w:w="4587"/>
          </w:tcPr>
          <w:p>
            <w:pPr>
              <w:spacing w:before="0" w:after="0"/>
            </w:pPr>
            <w:r>
              <w:rPr>
                <w:sz w:val="20"/>
              </w:rPr>
              <w:t>Slows: the text can be read with effort, or with a zoom or a high-contrast setting.</w:t>
            </w:r>
          </w:p>
        </w:tc>
      </w:tr>
      <w:tr>
        <w:trPr>
          <w:cantSplit/>
        </w:trPr>
        <w:tc>
          <w:tcPr>
            <w:tcW w:type="dxa" w:w="3650"/>
          </w:tcPr>
          <w:p>
            <w:pPr>
              <w:spacing w:before="0" w:after="0"/>
            </w:pPr>
            <w:r>
              <w:rPr>
                <w:sz w:val="20"/>
              </w:rPr>
              <w:t>2 · 10 px text that breaks when enlarged</w:t>
            </w:r>
          </w:p>
        </w:tc>
        <w:tc>
          <w:tcPr>
            <w:tcW w:type="dxa" w:w="1401"/>
          </w:tcPr>
          <w:p>
            <w:pPr>
              <w:spacing w:before="0" w:after="0"/>
            </w:pPr>
            <w:r>
              <w:rPr>
                <w:sz w:val="20"/>
              </w:rPr>
              <w:t>No</w:t>
            </w:r>
          </w:p>
        </w:tc>
        <w:tc>
          <w:tcPr>
            <w:tcW w:type="dxa" w:w="4587"/>
          </w:tcPr>
          <w:p>
            <w:pPr>
              <w:spacing w:before="0" w:after="0"/>
            </w:pPr>
            <w:r>
              <w:rPr>
                <w:sz w:val="20"/>
              </w:rPr>
              <w:t>Slows or blocks for low vision; defends if the reason says the page breaks.</w:t>
            </w:r>
          </w:p>
        </w:tc>
      </w:tr>
      <w:tr>
        <w:trPr>
          <w:cantSplit/>
        </w:trPr>
        <w:tc>
          <w:tcPr>
            <w:tcW w:type="dxa" w:w="3650"/>
          </w:tcPr>
          <w:p>
            <w:pPr>
              <w:spacing w:before="0" w:after="0"/>
            </w:pPr>
            <w:r>
              <w:rPr>
                <w:sz w:val="20"/>
              </w:rPr>
              <w:t>3 · A key chart with no text alternative</w:t>
            </w:r>
          </w:p>
        </w:tc>
        <w:tc>
          <w:tcPr>
            <w:tcW w:type="dxa" w:w="1401"/>
          </w:tcPr>
          <w:p>
            <w:pPr>
              <w:spacing w:before="0" w:after="0"/>
            </w:pPr>
            <w:r>
              <w:rPr>
                <w:sz w:val="20"/>
              </w:rPr>
              <w:t>No</w:t>
            </w:r>
          </w:p>
        </w:tc>
        <w:tc>
          <w:tcPr>
            <w:tcW w:type="dxa" w:w="4587"/>
          </w:tcPr>
          <w:p>
            <w:pPr>
              <w:spacing w:before="0" w:after="0"/>
            </w:pPr>
            <w:r>
              <w:rPr>
                <w:sz w:val="20"/>
              </w:rPr>
              <w:t>Defends: a blind learner misses the content, though the rest of the page works.</w:t>
            </w:r>
          </w:p>
        </w:tc>
      </w:tr>
      <w:tr>
        <w:trPr>
          <w:cantSplit/>
        </w:trPr>
        <w:tc>
          <w:tcPr>
            <w:tcW w:type="dxa" w:w="3650"/>
          </w:tcPr>
          <w:p>
            <w:pPr>
              <w:spacing w:before="0" w:after="0"/>
            </w:pPr>
            <w:r>
              <w:rPr>
                <w:sz w:val="20"/>
              </w:rPr>
              <w:t>4 · A menu that opens only on mouse hover</w:t>
            </w:r>
          </w:p>
        </w:tc>
        <w:tc>
          <w:tcPr>
            <w:tcW w:type="dxa" w:w="1401"/>
          </w:tcPr>
          <w:p>
            <w:pPr>
              <w:spacing w:before="0" w:after="0"/>
            </w:pPr>
            <w:r>
              <w:rPr>
                <w:sz w:val="20"/>
              </w:rPr>
              <w:t>Yes</w:t>
            </w:r>
          </w:p>
        </w:tc>
        <w:tc>
          <w:tcPr>
            <w:tcW w:type="dxa" w:w="4587"/>
          </w:tcPr>
          <w:p>
            <w:pPr>
              <w:spacing w:before="0" w:after="0"/>
            </w:pPr>
            <w:r>
              <w:rPr>
                <w:sz w:val="20"/>
              </w:rPr>
              <w:t>Reference choice: a keyboard-only learner cannot reach any course, so use stops completely.</w:t>
            </w:r>
          </w:p>
        </w:tc>
      </w:tr>
      <w:tr>
        <w:trPr>
          <w:cantSplit/>
        </w:trPr>
        <w:tc>
          <w:tcPr>
            <w:tcW w:type="dxa" w:w="3650"/>
          </w:tcPr>
          <w:p>
            <w:pPr>
              <w:spacing w:before="0" w:after="0"/>
            </w:pPr>
            <w:r>
              <w:rPr>
                <w:sz w:val="20"/>
              </w:rPr>
              <w:t>5 · 18 px quiz buttons close together</w:t>
            </w:r>
          </w:p>
        </w:tc>
        <w:tc>
          <w:tcPr>
            <w:tcW w:type="dxa" w:w="1401"/>
          </w:tcPr>
          <w:p>
            <w:pPr>
              <w:spacing w:before="0" w:after="0"/>
            </w:pPr>
            <w:r>
              <w:rPr>
                <w:sz w:val="20"/>
              </w:rPr>
              <w:t>No</w:t>
            </w:r>
          </w:p>
        </w:tc>
        <w:tc>
          <w:tcPr>
            <w:tcW w:type="dxa" w:w="4587"/>
          </w:tcPr>
          <w:p>
            <w:pPr>
              <w:spacing w:before="0" w:after="0"/>
            </w:pPr>
            <w:r>
              <w:rPr>
                <w:sz w:val="20"/>
              </w:rPr>
              <w:t>Slows: errors, but a learner can still try.</w:t>
            </w:r>
          </w:p>
        </w:tc>
      </w:tr>
      <w:tr>
        <w:trPr>
          <w:cantSplit/>
        </w:trPr>
        <w:tc>
          <w:tcPr>
            <w:tcW w:type="dxa" w:w="3650"/>
          </w:tcPr>
          <w:p>
            <w:pPr>
              <w:spacing w:before="0" w:after="0"/>
            </w:pPr>
            <w:r>
              <w:rPr>
                <w:sz w:val="20"/>
              </w:rPr>
              <w:t>6 · Seven levels deep, three menus to one page</w:t>
            </w:r>
          </w:p>
        </w:tc>
        <w:tc>
          <w:tcPr>
            <w:tcW w:type="dxa" w:w="1401"/>
          </w:tcPr>
          <w:p>
            <w:pPr>
              <w:spacing w:before="0" w:after="0"/>
            </w:pPr>
            <w:r>
              <w:rPr>
                <w:sz w:val="20"/>
              </w:rPr>
              <w:t>No</w:t>
            </w:r>
          </w:p>
        </w:tc>
        <w:tc>
          <w:tcPr>
            <w:tcW w:type="dxa" w:w="4587"/>
          </w:tcPr>
          <w:p>
            <w:pPr>
              <w:spacing w:before="0" w:after="0"/>
            </w:pPr>
            <w:r>
              <w:rPr>
                <w:sz w:val="20"/>
              </w:rPr>
              <w:t>Slows: findable with effort.</w:t>
            </w:r>
          </w:p>
        </w:tc>
      </w:tr>
      <w:tr>
        <w:trPr>
          <w:cantSplit/>
        </w:trPr>
        <w:tc>
          <w:tcPr>
            <w:tcW w:type="dxa" w:w="3650"/>
          </w:tcPr>
          <w:p>
            <w:pPr>
              <w:spacing w:before="0" w:after="0"/>
            </w:pPr>
            <w:r>
              <w:rPr>
                <w:sz w:val="20"/>
              </w:rPr>
              <w:t>7 · Long paragraphs, abbreviations, no headings</w:t>
            </w:r>
          </w:p>
        </w:tc>
        <w:tc>
          <w:tcPr>
            <w:tcW w:type="dxa" w:w="1401"/>
          </w:tcPr>
          <w:p>
            <w:pPr>
              <w:spacing w:before="0" w:after="0"/>
            </w:pPr>
            <w:r>
              <w:rPr>
                <w:sz w:val="20"/>
              </w:rPr>
              <w:t>No</w:t>
            </w:r>
          </w:p>
        </w:tc>
        <w:tc>
          <w:tcPr>
            <w:tcW w:type="dxa" w:w="4587"/>
          </w:tcPr>
          <w:p>
            <w:pPr>
              <w:spacing w:before="0" w:after="0"/>
            </w:pPr>
            <w:r>
              <w:rPr>
                <w:sz w:val="20"/>
              </w:rPr>
              <w:t>Slows: harder to read, not impossible.</w:t>
            </w:r>
          </w:p>
        </w:tc>
      </w:tr>
      <w:tr>
        <w:trPr>
          <w:cantSplit/>
        </w:trPr>
        <w:tc>
          <w:tcPr>
            <w:tcW w:type="dxa" w:w="3650"/>
          </w:tcPr>
          <w:p>
            <w:pPr>
              <w:spacing w:before="0" w:after="0"/>
            </w:pPr>
            <w:r>
              <w:rPr>
                <w:sz w:val="20"/>
              </w:rPr>
              <w:t>8 · A fixed 60-second quiz limit</w:t>
            </w:r>
          </w:p>
        </w:tc>
        <w:tc>
          <w:tcPr>
            <w:tcW w:type="dxa" w:w="1401"/>
          </w:tcPr>
          <w:p>
            <w:pPr>
              <w:spacing w:before="0" w:after="0"/>
            </w:pPr>
            <w:r>
              <w:rPr>
                <w:sz w:val="20"/>
              </w:rPr>
              <w:t>No</w:t>
            </w:r>
          </w:p>
        </w:tc>
        <w:tc>
          <w:tcPr>
            <w:tcW w:type="dxa" w:w="4587"/>
          </w:tcPr>
          <w:p>
            <w:pPr>
              <w:spacing w:before="0" w:after="0"/>
            </w:pPr>
            <w:r>
              <w:rPr>
                <w:sz w:val="20"/>
              </w:rPr>
              <w:t>Defends: a learner who needs longer cannot finish the quiz.</w:t>
            </w:r>
          </w:p>
        </w:tc>
      </w:tr>
    </w:tbl>
    <w:p>
      <w:pPr>
        <w:spacing w:before="0" w:after="80"/>
      </w:pPr>
    </w:p>
    <w:p>
      <w:pPr>
        <w:spacing w:before="0" w:after="100"/>
      </w:pPr>
      <w:r>
        <w:rPr>
          <w:i/>
        </w:rPr>
        <w:t>Trainer note.</w:t>
      </w:r>
      <w:r>
        <w:rPr/>
        <w:t xml:space="preserve"> Elements 3, 4 and 8 can all stop a learner completely; the others mostly slow. Element 4 is the reference because every course sits behind the menu. Look at the reason: it should say whom it stops and why they cannot go around it. The plan's goal is to raise awareness of barriers.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Whom does it stop, and why is it worse than a barrier that only slows?</w:t>
            </w:r>
          </w:p>
          <w:p>
            <w:pPr>
              <w:spacing w:before="0" w:after="100"/>
            </w:pPr>
            <w:r>
              <w:rPr>
                <w:b/>
              </w:rPr>
              <w:t>Model answer (an example).</w:t>
            </w:r>
            <w:r>
              <w:rPr/>
              <w:t xml:space="preserve"> Element 4 stops learners who use only a keyboard, for example because of a motor impairment: the menu opens only on mouse hover and cannot be reached with Tab, so they cannot reach any course. Element 1, low contrast, only slows: the text is hard to read, but a learner can still zoom or change the colours and go on.</w:t>
            </w:r>
          </w:p>
          <w:p>
            <w:pPr>
              <w:spacing w:before="0" w:after="100"/>
            </w:pPr>
            <w:r>
              <w:rPr>
                <w:b/>
              </w:rPr>
              <w:t>Why.</w:t>
            </w:r>
            <w:r>
              <w:rPr/>
              <w:t xml:space="preserve"> A barrier that stops leaves the learner no way around it; one that slows can be worked around with effort (Materi A1).</w:t>
            </w:r>
          </w:p>
          <w:p>
            <w:pPr>
              <w:spacing w:before="0" w:after="100"/>
            </w:pPr>
            <w:r>
              <w:rPr>
                <w:b/>
              </w:rPr>
              <w:t>Look for.</w:t>
            </w:r>
          </w:p>
          <w:p>
            <w:pPr>
              <w:pStyle w:val="ListBullet"/>
              <w:spacing w:before="0" w:after="40"/>
            </w:pPr>
            <w:r>
              <w:rPr/>
              <w:t>Names the user group.</w:t>
            </w:r>
          </w:p>
          <w:p>
            <w:pPr>
              <w:pStyle w:val="ListBullet"/>
              <w:spacing w:before="0" w:after="40"/>
            </w:pPr>
            <w:r>
              <w:rPr/>
              <w:t>Says why there is no way around it.</w:t>
            </w:r>
          </w:p>
          <w:p>
            <w:pPr>
              <w:pStyle w:val="ListBullet"/>
              <w:spacing w:before="0" w:after="100"/>
            </w:pPr>
            <w:r>
              <w:rPr/>
              <w:t>Names a barrier that only slows.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user groups are affected, and what would you change?</w:t>
            </w:r>
          </w:p>
          <w:p>
            <w:pPr>
              <w:spacing w:before="0" w:after="100"/>
            </w:pPr>
            <w:r>
              <w:rPr>
                <w:b/>
              </w:rPr>
              <w:t>Model answer (an example).</w:t>
            </w:r>
            <w:r>
              <w:rPr/>
              <w:t xml:space="preserve"> Affected: visual (1 to 3), motor (4, 5) and cognitive (6 to 8). 1. Make the menu open with the keyboard as well as the mouse (barrier 4). 2. Raise the text contrast to at least 4.5 : 1 (barrier 1). 3. Add a text alternative to the chart (barrier 3). 4. Add headings and shorter paragraphs (barrier 7). 5. Let learners extend the quiz time (barrier 8).</w:t>
            </w:r>
          </w:p>
          <w:p>
            <w:pPr>
              <w:spacing w:before="0" w:after="100"/>
            </w:pPr>
            <w:r>
              <w:rPr>
                <w:b/>
              </w:rPr>
              <w:t>Why.</w:t>
            </w:r>
            <w:r>
              <w:rPr/>
              <w:t xml:space="preserve"> The plan asks which user groups are affected and which improvements. A good answer names the groups and ties each change to a barrier (Materi A1 to A3).</w:t>
            </w:r>
          </w:p>
          <w:p>
            <w:pPr>
              <w:spacing w:before="0" w:after="100"/>
            </w:pPr>
            <w:r>
              <w:rPr>
                <w:b/>
              </w:rPr>
              <w:t>Look for.</w:t>
            </w:r>
          </w:p>
          <w:p>
            <w:pPr>
              <w:pStyle w:val="ListBullet"/>
              <w:spacing w:before="0" w:after="40"/>
            </w:pPr>
            <w:r>
              <w:rPr/>
              <w:t>Names the user groups.</w:t>
            </w:r>
          </w:p>
          <w:p>
            <w:pPr>
              <w:pStyle w:val="ListBullet"/>
              <w:spacing w:before="0" w:after="40"/>
            </w:pPr>
            <w:r>
              <w:rPr/>
              <w:t>Names the barrier each change answers.</w:t>
            </w:r>
          </w:p>
          <w:p>
            <w:pPr>
              <w:pStyle w:val="ListBullet"/>
              <w:spacing w:before="0" w:after="100"/>
            </w:pPr>
            <w:r>
              <w:rPr/>
              <w:t>Starts each change with a verb.</w:t>
            </w:r>
          </w:p>
        </w:tc>
      </w:tr>
    </w:tbl>
    <w:p>
      <w:pPr>
        <w:spacing w:before="0" w:after="80"/>
      </w:pPr>
    </w:p>
    <w:p>
      <w:pPr>
        <w:pStyle w:val="Heading2"/>
      </w:pPr>
      <w:r>
        <w:rPr/>
        <w:t>Block 1.2 · model answers (UE3)</w:t>
      </w:r>
    </w:p>
    <w:p>
      <w:pPr>
        <w:spacing w:before="0" w:after="100"/>
      </w:pPr>
      <w:r>
        <w:rPr>
          <w:i/>
        </w:rPr>
        <w:t>Block 1.2: Prioritising WCAG measures: three options · Optional · about 8 min.</w:t>
      </w:r>
    </w:p>
    <w:p>
      <w:pPr>
        <w:pStyle w:val="Heading3"/>
      </w:pPr>
      <w:r>
        <w:rPr/>
        <w:t>Reference: Three options for WCAG measures</w:t>
      </w:r>
    </w:p>
    <w:p>
      <w:pPr>
        <w:spacing w:before="0" w:after="100"/>
      </w:pPr>
      <w:r>
        <w:rPr>
          <w:b/>
        </w:rPr>
        <w:t>Reference answer.</w:t>
      </w:r>
      <w:r>
        <w:rPr/>
        <w:t xml:space="preserve"> Reference order: A (Improve the contrasts), then B (Simplify the navigation), then C (Provide alternative content for all existing items)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48"/>
        <w:gridCol w:w="1309"/>
        <w:gridCol w:w="5581"/>
      </w:tblGrid>
      <w:tr>
        <w:trPr>
          <w:cantSplit/>
          <w:tblHeader/>
        </w:trPr>
        <w:tc>
          <w:tcPr>
            <w:tcW w:type="dxa" w:w="2748"/>
            <w:shd w:val="clear" w:color="auto" w:fill="E6ECF4"/>
          </w:tcPr>
          <w:p>
            <w:pPr>
              <w:spacing w:before="0" w:after="0"/>
            </w:pPr>
            <w:r>
              <w:rPr>
                <w:b/>
                <w:sz w:val="20"/>
              </w:rPr>
              <w:t>Option</w:t>
            </w:r>
          </w:p>
        </w:tc>
        <w:tc>
          <w:tcPr>
            <w:tcW w:type="dxa" w:w="1309"/>
            <w:shd w:val="clear" w:color="auto" w:fill="E6ECF4"/>
          </w:tcPr>
          <w:p>
            <w:pPr>
              <w:spacing w:before="0" w:after="0"/>
            </w:pPr>
            <w:r>
              <w:rPr>
                <w:b/>
                <w:sz w:val="20"/>
              </w:rPr>
              <w:t>In the reference answer?</w:t>
            </w:r>
          </w:p>
        </w:tc>
        <w:tc>
          <w:tcPr>
            <w:tcW w:type="dxa" w:w="5581"/>
            <w:shd w:val="clear" w:color="auto" w:fill="E6ECF4"/>
          </w:tcPr>
          <w:p>
            <w:pPr>
              <w:spacing w:before="0" w:after="0"/>
            </w:pPr>
            <w:r>
              <w:rPr>
                <w:b/>
                <w:sz w:val="20"/>
              </w:rPr>
              <w:t>Why</w:t>
            </w:r>
          </w:p>
        </w:tc>
      </w:tr>
      <w:tr>
        <w:trPr>
          <w:cantSplit/>
        </w:trPr>
        <w:tc>
          <w:tcPr>
            <w:tcW w:type="dxa" w:w="2748"/>
          </w:tcPr>
          <w:p>
            <w:pPr>
              <w:spacing w:before="0" w:after="0"/>
            </w:pPr>
            <w:r>
              <w:rPr>
                <w:sz w:val="20"/>
              </w:rPr>
              <w:t>A · Improve the contrasts (€6,000, 2 weeks)</w:t>
            </w:r>
          </w:p>
        </w:tc>
        <w:tc>
          <w:tcPr>
            <w:tcW w:type="dxa" w:w="1309"/>
          </w:tcPr>
          <w:p>
            <w:pPr>
              <w:spacing w:before="0" w:after="0"/>
            </w:pPr>
            <w:r>
              <w:rPr>
                <w:sz w:val="20"/>
              </w:rPr>
              <w:t>Yes</w:t>
            </w:r>
          </w:p>
        </w:tc>
        <w:tc>
          <w:tcPr>
            <w:tcW w:type="dxa" w:w="5581"/>
          </w:tcPr>
          <w:p>
            <w:pPr>
              <w:spacing w:before="0" w:after="0"/>
            </w:pPr>
            <w:r>
              <w:rPr>
                <w:sz w:val="20"/>
              </w:rPr>
              <w:t>Cheap and quick, with no risk: one change in the style sheet helps every page at once. Reference ratings: Impact Mid, effort Low (by the printed cost), risk Low; position 1.</w:t>
            </w:r>
          </w:p>
        </w:tc>
      </w:tr>
      <w:tr>
        <w:trPr>
          <w:cantSplit/>
        </w:trPr>
        <w:tc>
          <w:tcPr>
            <w:tcW w:type="dxa" w:w="2748"/>
          </w:tcPr>
          <w:p>
            <w:pPr>
              <w:spacing w:before="0" w:after="0"/>
            </w:pPr>
            <w:r>
              <w:rPr>
                <w:sz w:val="20"/>
              </w:rPr>
              <w:t>B · Simplify the navigation (€14,000, 5 weeks)</w:t>
            </w:r>
          </w:p>
        </w:tc>
        <w:tc>
          <w:tcPr>
            <w:tcW w:type="dxa" w:w="1309"/>
          </w:tcPr>
          <w:p>
            <w:pPr>
              <w:spacing w:before="0" w:after="0"/>
            </w:pPr>
            <w:r>
              <w:rPr>
                <w:sz w:val="20"/>
              </w:rPr>
              <w:t>Yes</w:t>
            </w:r>
          </w:p>
        </w:tc>
        <w:tc>
          <w:tcPr>
            <w:tcW w:type="dxa" w:w="5581"/>
          </w:tcPr>
          <w:p>
            <w:pPr>
              <w:spacing w:before="0" w:after="0"/>
            </w:pPr>
            <w:r>
              <w:rPr>
                <w:sz w:val="20"/>
              </w:rPr>
              <w:t>A big effect: it removes the keyboard and cognitive barriers behind every course; mid effort. Reference ratings: Impact High, effort Mid (by the printed cost), risk Mid; position 2.</w:t>
            </w:r>
          </w:p>
        </w:tc>
      </w:tr>
      <w:tr>
        <w:trPr>
          <w:cantSplit/>
        </w:trPr>
        <w:tc>
          <w:tcPr>
            <w:tcW w:type="dxa" w:w="2748"/>
          </w:tcPr>
          <w:p>
            <w:pPr>
              <w:spacing w:before="0" w:after="0"/>
            </w:pPr>
            <w:r>
              <w:rPr>
                <w:sz w:val="20"/>
              </w:rPr>
              <w:t>C · Provide alternative content for all existing items (€26,000, 9 weeks)</w:t>
            </w:r>
          </w:p>
        </w:tc>
        <w:tc>
          <w:tcPr>
            <w:tcW w:type="dxa" w:w="1309"/>
          </w:tcPr>
          <w:p>
            <w:pPr>
              <w:spacing w:before="0" w:after="0"/>
            </w:pPr>
            <w:r>
              <w:rPr>
                <w:sz w:val="20"/>
              </w:rPr>
              <w:t>Yes</w:t>
            </w:r>
          </w:p>
        </w:tc>
        <w:tc>
          <w:tcPr>
            <w:tcW w:type="dxa" w:w="5581"/>
          </w:tcPr>
          <w:p>
            <w:pPr>
              <w:spacing w:before="0" w:after="0"/>
            </w:pPr>
            <w:r>
              <w:rPr>
                <w:sz w:val="20"/>
              </w:rPr>
              <w:t>Necessary for blind and deaf learners but large: many existing items make it costly and slow. Reference ratings: Impact High, effort High (by the printed cost), risk Mid; position 3.</w:t>
            </w:r>
          </w:p>
        </w:tc>
      </w:tr>
    </w:tbl>
    <w:p>
      <w:pPr>
        <w:spacing w:before="0" w:after="80"/>
      </w:pPr>
    </w:p>
    <w:p>
      <w:pPr>
        <w:spacing w:before="0" w:after="100"/>
      </w:pPr>
      <w:r>
        <w:rPr>
          <w:i/>
        </w:rPr>
        <w:t>Trainer note.</w:t>
      </w:r>
      <w:r>
        <w:rPr/>
        <w:t xml:space="preserve"> Prioritise practical implementation: a cheap fix that helps every page first.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prioritisation: prioritise practical implementation</w:t>
            </w:r>
          </w:p>
          <w:p>
            <w:pPr>
              <w:spacing w:before="0" w:after="100"/>
            </w:pPr>
            <w:r>
              <w:rPr>
                <w:b/>
              </w:rPr>
              <w:t>Model answer (an example).</w:t>
            </w:r>
            <w:r>
              <w:rPr/>
              <w:t xml:space="preserve"> I put A first: it costs €6,000 and two weeks, nothing can go wrong, and one change helps every page, which suits the time pressure. B comes second: it removes the barriers behind every course and is worth the mid effort. C comes last: it is needed, but with many existing items it costs the most and takes the longest, so I would do the most-used content first and the rest later.</w:t>
            </w:r>
          </w:p>
          <w:p>
            <w:pPr>
              <w:spacing w:before="0" w:after="100"/>
            </w:pPr>
            <w:r>
              <w:rPr>
                <w:b/>
              </w:rPr>
              <w:t>Why.</w:t>
            </w:r>
            <w:r>
              <w:rPr/>
              <w:t xml:space="preserve"> The plan's goal is to prioritise practical implementation. A different first choice defends if the reason names the time pressure and the budget.</w:t>
            </w:r>
          </w:p>
          <w:p>
            <w:pPr>
              <w:spacing w:before="0" w:after="100"/>
            </w:pPr>
            <w:r>
              <w:rPr>
                <w:b/>
              </w:rPr>
              <w:t>Look for.</w:t>
            </w:r>
          </w:p>
          <w:p>
            <w:pPr>
              <w:pStyle w:val="ListBullet"/>
              <w:spacing w:before="0" w:after="40"/>
            </w:pPr>
            <w:r>
              <w:rPr/>
              <w:t>Says what each option frees learners from.</w:t>
            </w:r>
          </w:p>
          <w:p>
            <w:pPr>
              <w:pStyle w:val="ListBullet"/>
              <w:spacing w:before="0" w:after="100"/>
            </w:pPr>
            <w:r>
              <w:rPr/>
              <w:t>Names the time pressure or the amount of content.</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Accessibility as a Quality and Compliance Factor (UE4)</w:t>
      </w:r>
    </w:p>
    <w:p>
      <w:pPr>
        <w:spacing w:before="0" w:after="100"/>
      </w:pPr>
      <w:r>
        <w:rPr>
          <w:b/>
        </w:rPr>
        <w:t>The plan's coaching points.</w:t>
      </w:r>
    </w:p>
    <w:p>
      <w:pPr>
        <w:pStyle w:val="ListBullet"/>
        <w:spacing w:before="0" w:after="40"/>
      </w:pPr>
      <w:r>
        <w:rPr/>
        <w:t>Accessibility is not an add-on, but a standard</w:t>
      </w:r>
    </w:p>
    <w:p>
      <w:pPr>
        <w:pStyle w:val="ListBullet"/>
        <w:spacing w:before="0" w:after="40"/>
      </w:pPr>
      <w:r>
        <w:rPr/>
        <w:t>WCAG as a minimum requirement, not as a goal</w:t>
      </w:r>
    </w:p>
    <w:p>
      <w:pPr>
        <w:pStyle w:val="ListBullet"/>
        <w:spacing w:before="0" w:after="40"/>
      </w:pPr>
      <w:r>
        <w:rPr/>
        <w:t>Inclusion improves UX for all users</w:t>
      </w:r>
    </w:p>
    <w:p>
      <w:pPr>
        <w:pStyle w:val="ListBullet"/>
        <w:spacing w:before="0" w:after="100"/>
      </w:pPr>
      <w:r>
        <w:rPr/>
        <w:t>Strategic importance (law, market, reputation)</w:t>
      </w:r>
    </w:p>
    <w:p>
      <w:pPr>
        <w:spacing w:before="0" w:after="100"/>
      </w:pPr>
      <w:r>
        <w:rPr>
          <w:b/>
        </w:rPr>
        <w:t>Reflection questions.</w:t>
      </w:r>
    </w:p>
    <w:p>
      <w:pPr>
        <w:pStyle w:val="ListBullet"/>
        <w:spacing w:before="0" w:after="40"/>
      </w:pPr>
      <w:r>
        <w:rPr/>
        <w:t>Who is currently being excluded?</w:t>
      </w:r>
    </w:p>
    <w:p>
      <w:pPr>
        <w:pStyle w:val="ListBullet"/>
        <w:spacing w:before="0" w:after="40"/>
      </w:pPr>
      <w:r>
        <w:rPr/>
        <w:t>Which measure has the greatest effect?</w:t>
      </w:r>
    </w:p>
    <w:p>
      <w:pPr>
        <w:pStyle w:val="ListBullet"/>
        <w:spacing w:before="0" w:after="100"/>
      </w:pPr>
      <w:r>
        <w:rPr/>
        <w:t>Which risks arise from non-compliance?</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51"/>
        <w:gridCol w:w="1175"/>
        <w:gridCol w:w="7612"/>
      </w:tblGrid>
      <w:tr>
        <w:trPr>
          <w:cantSplit/>
          <w:tblHeader/>
        </w:trPr>
        <w:tc>
          <w:tcPr>
            <w:tcW w:type="dxa" w:w="851"/>
            <w:shd w:val="clear" w:color="auto" w:fill="E6ECF4"/>
          </w:tcPr>
          <w:p>
            <w:pPr>
              <w:spacing w:before="0" w:after="0"/>
            </w:pPr>
            <w:r>
              <w:rPr>
                <w:b/>
                <w:sz w:val="20"/>
              </w:rPr>
              <w:t>Step</w:t>
            </w:r>
          </w:p>
        </w:tc>
        <w:tc>
          <w:tcPr>
            <w:tcW w:type="dxa" w:w="1175"/>
            <w:shd w:val="clear" w:color="auto" w:fill="E6ECF4"/>
          </w:tcPr>
          <w:p>
            <w:pPr>
              <w:spacing w:before="0" w:after="0"/>
            </w:pPr>
            <w:r>
              <w:rPr>
                <w:b/>
                <w:sz w:val="20"/>
              </w:rPr>
              <w:t>Minutes</w:t>
            </w:r>
          </w:p>
        </w:tc>
        <w:tc>
          <w:tcPr>
            <w:tcW w:type="dxa" w:w="7612"/>
            <w:shd w:val="clear" w:color="auto" w:fill="E6ECF4"/>
          </w:tcPr>
          <w:p>
            <w:pPr>
              <w:spacing w:before="0" w:after="0"/>
            </w:pPr>
            <w:r>
              <w:rPr>
                <w:b/>
                <w:sz w:val="20"/>
              </w:rPr>
              <w:t>What you do</w:t>
            </w:r>
          </w:p>
        </w:tc>
      </w:tr>
      <w:tr>
        <w:trPr>
          <w:cantSplit/>
        </w:trPr>
        <w:tc>
          <w:tcPr>
            <w:tcW w:type="dxa" w:w="851"/>
          </w:tcPr>
          <w:p>
            <w:pPr>
              <w:spacing w:before="0" w:after="0"/>
            </w:pPr>
            <w:r>
              <w:rPr>
                <w:sz w:val="20"/>
              </w:rPr>
              <w:t>1</w:t>
            </w:r>
          </w:p>
        </w:tc>
        <w:tc>
          <w:tcPr>
            <w:tcW w:type="dxa" w:w="1175"/>
          </w:tcPr>
          <w:p>
            <w:pPr>
              <w:spacing w:before="0" w:after="0"/>
            </w:pPr>
            <w:r>
              <w:rPr>
                <w:sz w:val="20"/>
              </w:rPr>
              <w:t>5</w:t>
            </w:r>
          </w:p>
        </w:tc>
        <w:tc>
          <w:tcPr>
            <w:tcW w:type="dxa" w:w="7612"/>
          </w:tcPr>
          <w:p>
            <w:pPr>
              <w:spacing w:before="0" w:after="0"/>
            </w:pPr>
            <w:r>
              <w:rPr>
                <w:sz w:val="20"/>
              </w:rPr>
              <w:t>Say the coaching focus in one sentence: “Accessibility as a Quality and Compliance Factor.” Say that in the next unit they will not describe, they will decide.</w:t>
            </w:r>
          </w:p>
        </w:tc>
      </w:tr>
      <w:tr>
        <w:trPr>
          <w:cantSplit/>
        </w:trPr>
        <w:tc>
          <w:tcPr>
            <w:tcW w:type="dxa" w:w="851"/>
          </w:tcPr>
          <w:p>
            <w:pPr>
              <w:spacing w:before="0" w:after="0"/>
            </w:pPr>
            <w:r>
              <w:rPr>
                <w:sz w:val="20"/>
              </w:rPr>
              <w:t>2</w:t>
            </w:r>
          </w:p>
        </w:tc>
        <w:tc>
          <w:tcPr>
            <w:tcW w:type="dxa" w:w="1175"/>
          </w:tcPr>
          <w:p>
            <w:pPr>
              <w:spacing w:before="0" w:after="0"/>
            </w:pPr>
            <w:r>
              <w:rPr>
                <w:sz w:val="20"/>
              </w:rPr>
              <w:t>10</w:t>
            </w:r>
          </w:p>
        </w:tc>
        <w:tc>
          <w:tcPr>
            <w:tcW w:type="dxa" w:w="7612"/>
          </w:tcPr>
          <w:p>
            <w:pPr>
              <w:spacing w:before="0" w:after="0"/>
            </w:pPr>
            <w:r>
              <w:rPr>
                <w:sz w:val="20"/>
              </w:rPr>
              <w:t>Pairs talk through the reflection questions; the notes go into Block 1.3 (never scored).</w:t>
            </w:r>
          </w:p>
        </w:tc>
      </w:tr>
      <w:tr>
        <w:trPr>
          <w:cantSplit/>
        </w:trPr>
        <w:tc>
          <w:tcPr>
            <w:tcW w:type="dxa" w:w="851"/>
          </w:tcPr>
          <w:p>
            <w:pPr>
              <w:spacing w:before="0" w:after="0"/>
            </w:pPr>
            <w:r>
              <w:rPr>
                <w:sz w:val="20"/>
              </w:rPr>
              <w:t>3</w:t>
            </w:r>
          </w:p>
        </w:tc>
        <w:tc>
          <w:tcPr>
            <w:tcW w:type="dxa" w:w="1175"/>
          </w:tcPr>
          <w:p>
            <w:pPr>
              <w:spacing w:before="0" w:after="0"/>
            </w:pPr>
            <w:r>
              <w:rPr>
                <w:sz w:val="20"/>
              </w:rPr>
              <w:t>15</w:t>
            </w:r>
          </w:p>
        </w:tc>
        <w:tc>
          <w:tcPr>
            <w:tcW w:type="dxa" w:w="7612"/>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51"/>
          </w:tcPr>
          <w:p>
            <w:pPr>
              <w:spacing w:before="0" w:after="0"/>
            </w:pPr>
            <w:r>
              <w:rPr>
                <w:sz w:val="20"/>
              </w:rPr>
              <w:t>4</w:t>
            </w:r>
          </w:p>
        </w:tc>
        <w:tc>
          <w:tcPr>
            <w:tcW w:type="dxa" w:w="1175"/>
          </w:tcPr>
          <w:p>
            <w:pPr>
              <w:spacing w:before="0" w:after="0"/>
            </w:pPr>
            <w:r>
              <w:rPr>
                <w:sz w:val="20"/>
              </w:rPr>
              <w:t>10</w:t>
            </w:r>
          </w:p>
        </w:tc>
        <w:tc>
          <w:tcPr>
            <w:tcW w:type="dxa" w:w="7612"/>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51"/>
          </w:tcPr>
          <w:p>
            <w:pPr>
              <w:spacing w:before="0" w:after="0"/>
            </w:pPr>
            <w:r>
              <w:rPr>
                <w:sz w:val="20"/>
              </w:rPr>
              <w:t>5</w:t>
            </w:r>
          </w:p>
        </w:tc>
        <w:tc>
          <w:tcPr>
            <w:tcW w:type="dxa" w:w="1175"/>
          </w:tcPr>
          <w:p>
            <w:pPr>
              <w:spacing w:before="0" w:after="0"/>
            </w:pPr>
            <w:r>
              <w:rPr>
                <w:sz w:val="20"/>
              </w:rPr>
              <w:t>5</w:t>
            </w:r>
          </w:p>
        </w:tc>
        <w:tc>
          <w:tcPr>
            <w:tcW w:type="dxa" w:w="7612"/>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Who is currently being excluded?</w:t>
            </w:r>
          </w:p>
          <w:p>
            <w:pPr>
              <w:spacing w:before="0" w:after="100"/>
            </w:pPr>
            <w:r>
              <w:rPr>
                <w:b/>
              </w:rPr>
              <w:t>Model answer (an example).</w:t>
            </w:r>
            <w:r>
              <w:rPr/>
              <w:t xml:space="preserve"> Keyboard-only learners, learners with low vision, blind learners, and learners who need more time or a simpler structure.</w:t>
            </w:r>
          </w:p>
          <w:p>
            <w:pPr>
              <w:spacing w:before="0" w:after="100"/>
            </w:pPr>
            <w:r>
              <w:rPr>
                <w:b/>
              </w:rPr>
              <w:t>Why.</w:t>
            </w:r>
            <w:r>
              <w:rPr/>
              <w:t xml:space="preserve"> Reflection is never scored. The plan's coaching points: accessibility is a standard, not an add-on; WCAG is the minimum, not the goal; inclusion improves UX for all; the strategic importance lies in law, market and reputation.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measure has the greatest effect?</w:t>
            </w:r>
          </w:p>
          <w:p>
            <w:pPr>
              <w:spacing w:before="0" w:after="100"/>
            </w:pPr>
            <w:r>
              <w:rPr>
                <w:b/>
              </w:rPr>
              <w:t>Model answer (an example).</w:t>
            </w:r>
            <w:r>
              <w:rPr/>
              <w:t xml:space="preserve"> A keyboard-operable menu and clear structure, because they open every course for several groups at once.</w:t>
            </w:r>
          </w:p>
          <w:p>
            <w:pPr>
              <w:spacing w:before="0" w:after="100"/>
            </w:pPr>
            <w:r>
              <w:rPr>
                <w:b/>
              </w:rPr>
              <w:t>Why.</w:t>
            </w:r>
            <w:r>
              <w:rPr/>
              <w:t xml:space="preserve"> Reflection is never scored. The plan's coaching points: accessibility is a standard, not an add-on; WCAG is the minimum, not the goal; inclusion improves UX for all; the strategic importance lies in law, market and reputation.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risks arise from non-compliance?</w:t>
            </w:r>
          </w:p>
          <w:p>
            <w:pPr>
              <w:spacing w:before="0" w:after="100"/>
            </w:pPr>
            <w:r>
              <w:rPr>
                <w:b/>
              </w:rPr>
              <w:t>Model answer (an example).</w:t>
            </w:r>
            <w:r>
              <w:rPr/>
              <w:t xml:space="preserve"> Complaints, legal action and fines, loss of customers and public bodies, and damage to the reputation.</w:t>
            </w:r>
          </w:p>
          <w:p>
            <w:pPr>
              <w:spacing w:before="0" w:after="100"/>
            </w:pPr>
            <w:r>
              <w:rPr>
                <w:b/>
              </w:rPr>
              <w:t>Why.</w:t>
            </w:r>
            <w:r>
              <w:rPr/>
              <w:t xml:space="preserve"> Reflection is never scored. The plan's coaching points: accessibility is a standard, not an add-on; WCAG is the minimum, not the goal; inclusion improves UX for all; the strategic importance lies in law, market and reputation.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accessibility</w:t>
      </w:r>
    </w:p>
    <w:p>
      <w:pPr>
        <w:pStyle w:val="ListBullet"/>
        <w:spacing w:before="0" w:after="40"/>
      </w:pPr>
      <w:r>
        <w:rPr>
          <w:b/>
        </w:rPr>
        <w:t>Measures (as the plan lists them):</w:t>
      </w:r>
    </w:p>
    <w:p>
      <w:pPr>
        <w:pStyle w:val="ListBullet"/>
        <w:spacing w:before="0" w:after="40"/>
      </w:pPr>
      <w:r>
        <w:rPr/>
        <w:t>Improve contrast</w:t>
      </w:r>
    </w:p>
    <w:p>
      <w:pPr>
        <w:pStyle w:val="ListBullet"/>
        <w:spacing w:before="0" w:after="40"/>
      </w:pPr>
      <w:r>
        <w:rPr/>
        <w:t>Simplify navigation</w:t>
      </w:r>
    </w:p>
    <w:p>
      <w:pPr>
        <w:pStyle w:val="ListBullet"/>
        <w:spacing w:before="0" w:after="40"/>
      </w:pPr>
      <w:r>
        <w:rPr/>
        <w:t>provide alternative content</w:t>
      </w:r>
    </w:p>
    <w:p>
      <w:pPr>
        <w:pStyle w:val="ListBullet"/>
        <w:spacing w:before="0" w:after="100"/>
      </w:pPr>
      <w:r>
        <w:rPr/>
        <w:t>clear structure</w:t>
      </w:r>
    </w:p>
    <w:p>
      <w:pPr>
        <w:spacing w:before="0" w:after="100"/>
      </w:pPr>
      <w:r>
        <w:rPr>
          <w:b/>
        </w:rPr>
        <w:t>Rationale (plan):</w:t>
      </w:r>
      <w:r>
        <w:rPr/>
        <w:t xml:space="preserve"> Accessibility = usability = success</w:t>
      </w:r>
    </w:p>
    <w:p>
      <w:pPr>
        <w:pStyle w:val="Heading2"/>
      </w:pPr>
      <w:r>
        <w:rPr/>
        <w:t>Block 2.1 · model answers (UE5–6)</w:t>
      </w:r>
    </w:p>
    <w:p>
      <w:pPr>
        <w:spacing w:before="0" w:after="100"/>
      </w:pPr>
      <w:r>
        <w:rPr>
          <w:i/>
        </w:rPr>
        <w:t>Block 2.1: Four central barriers to the platform · Optional · about 7 min.</w:t>
      </w:r>
    </w:p>
    <w:p>
      <w:pPr>
        <w:pStyle w:val="Heading3"/>
      </w:pPr>
      <w:r>
        <w:rPr/>
        <w:t>Reference: Four central barriers</w:t>
      </w:r>
    </w:p>
    <w:p>
      <w:pPr>
        <w:spacing w:before="0" w:after="100"/>
      </w:pPr>
      <w:r>
        <w:rPr>
          <w:b/>
        </w:rPr>
        <w:t>Reference answer.</w:t>
      </w:r>
      <w:r>
        <w:rPr/>
        <w:t xml:space="preserve"> WCAG is not implemented: there are no rules for contrast, text alternatives or keyboard use.; There is no inclusive UX: accessibility was not considered when the screens were designed.; The barriers hit several user groups at once: visual, motor and cognitive.; Nobody tests the platform with a keyboard, a screen reader or users with impairments.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06"/>
        <w:gridCol w:w="1360"/>
        <w:gridCol w:w="3872"/>
      </w:tblGrid>
      <w:tr>
        <w:trPr>
          <w:cantSplit/>
          <w:tblHeader/>
        </w:trPr>
        <w:tc>
          <w:tcPr>
            <w:tcW w:type="dxa" w:w="4406"/>
            <w:shd w:val="clear" w:color="auto" w:fill="E6ECF4"/>
          </w:tcPr>
          <w:p>
            <w:pPr>
              <w:spacing w:before="0" w:after="0"/>
            </w:pPr>
            <w:r>
              <w:rPr>
                <w:b/>
                <w:sz w:val="20"/>
              </w:rPr>
              <w:t>Option</w:t>
            </w:r>
          </w:p>
        </w:tc>
        <w:tc>
          <w:tcPr>
            <w:tcW w:type="dxa" w:w="1360"/>
            <w:shd w:val="clear" w:color="auto" w:fill="E6ECF4"/>
          </w:tcPr>
          <w:p>
            <w:pPr>
              <w:spacing w:before="0" w:after="0"/>
            </w:pPr>
            <w:r>
              <w:rPr>
                <w:b/>
                <w:sz w:val="20"/>
              </w:rPr>
              <w:t>In the reference answer?</w:t>
            </w:r>
          </w:p>
        </w:tc>
        <w:tc>
          <w:tcPr>
            <w:tcW w:type="dxa" w:w="3872"/>
            <w:shd w:val="clear" w:color="auto" w:fill="E6ECF4"/>
          </w:tcPr>
          <w:p>
            <w:pPr>
              <w:spacing w:before="0" w:after="0"/>
            </w:pPr>
            <w:r>
              <w:rPr>
                <w:b/>
                <w:sz w:val="20"/>
              </w:rPr>
              <w:t>Why</w:t>
            </w:r>
          </w:p>
        </w:tc>
      </w:tr>
      <w:tr>
        <w:trPr>
          <w:cantSplit/>
        </w:trPr>
        <w:tc>
          <w:tcPr>
            <w:tcW w:type="dxa" w:w="4406"/>
          </w:tcPr>
          <w:p>
            <w:pPr>
              <w:spacing w:before="0" w:after="0"/>
            </w:pPr>
            <w:r>
              <w:rPr>
                <w:sz w:val="20"/>
              </w:rPr>
              <w:t>WCAG is not implemented: there are no rules for contrast, text alternatives or keyboard use.</w:t>
            </w:r>
          </w:p>
        </w:tc>
        <w:tc>
          <w:tcPr>
            <w:tcW w:type="dxa" w:w="1360"/>
          </w:tcPr>
          <w:p>
            <w:pPr>
              <w:spacing w:before="0" w:after="0"/>
            </w:pPr>
            <w:r>
              <w:rPr>
                <w:sz w:val="20"/>
              </w:rPr>
              <w:t>Yes</w:t>
            </w:r>
          </w:p>
        </w:tc>
        <w:tc>
          <w:tcPr>
            <w:tcW w:type="dxa" w:w="3872"/>
          </w:tcPr>
          <w:p>
            <w:pPr>
              <w:spacing w:before="0" w:after="0"/>
            </w:pPr>
            <w:r>
              <w:rPr>
                <w:sz w:val="20"/>
              </w:rPr>
              <w:t>Facts 1, 3 and 4 and the case: a missing WCAG implementation.</w:t>
            </w:r>
          </w:p>
        </w:tc>
      </w:tr>
      <w:tr>
        <w:trPr>
          <w:cantSplit/>
        </w:trPr>
        <w:tc>
          <w:tcPr>
            <w:tcW w:type="dxa" w:w="4406"/>
          </w:tcPr>
          <w:p>
            <w:pPr>
              <w:spacing w:before="0" w:after="0"/>
            </w:pPr>
            <w:r>
              <w:rPr>
                <w:sz w:val="20"/>
              </w:rPr>
              <w:t>There is no inclusive UX: accessibility was not considered when the screens were designed.</w:t>
            </w:r>
          </w:p>
        </w:tc>
        <w:tc>
          <w:tcPr>
            <w:tcW w:type="dxa" w:w="1360"/>
          </w:tcPr>
          <w:p>
            <w:pPr>
              <w:spacing w:before="0" w:after="0"/>
            </w:pPr>
            <w:r>
              <w:rPr>
                <w:sz w:val="20"/>
              </w:rPr>
              <w:t>Yes</w:t>
            </w:r>
          </w:p>
        </w:tc>
        <w:tc>
          <w:tcPr>
            <w:tcW w:type="dxa" w:w="3872"/>
          </w:tcPr>
          <w:p>
            <w:pPr>
              <w:spacing w:before="0" w:after="0"/>
            </w:pPr>
            <w:r>
              <w:rPr>
                <w:sz w:val="20"/>
              </w:rPr>
              <w:t>Facts 4 to 8 and the case: no inclusive UX.</w:t>
            </w:r>
          </w:p>
        </w:tc>
      </w:tr>
      <w:tr>
        <w:trPr>
          <w:cantSplit/>
        </w:trPr>
        <w:tc>
          <w:tcPr>
            <w:tcW w:type="dxa" w:w="4406"/>
          </w:tcPr>
          <w:p>
            <w:pPr>
              <w:spacing w:before="0" w:after="0"/>
            </w:pPr>
            <w:r>
              <w:rPr>
                <w:sz w:val="20"/>
              </w:rPr>
              <w:t>The barriers hit several user groups at once: visual, motor and cognitive.</w:t>
            </w:r>
          </w:p>
        </w:tc>
        <w:tc>
          <w:tcPr>
            <w:tcW w:type="dxa" w:w="1360"/>
          </w:tcPr>
          <w:p>
            <w:pPr>
              <w:spacing w:before="0" w:after="0"/>
            </w:pPr>
            <w:r>
              <w:rPr>
                <w:sz w:val="20"/>
              </w:rPr>
              <w:t>Yes</w:t>
            </w:r>
          </w:p>
        </w:tc>
        <w:tc>
          <w:tcPr>
            <w:tcW w:type="dxa" w:w="3872"/>
          </w:tcPr>
          <w:p>
            <w:pPr>
              <w:spacing w:before="0" w:after="0"/>
            </w:pPr>
            <w:r>
              <w:rPr>
                <w:sz w:val="20"/>
              </w:rPr>
              <w:t>Facts 1 to 8 cover all three groups.</w:t>
            </w:r>
          </w:p>
        </w:tc>
      </w:tr>
      <w:tr>
        <w:trPr>
          <w:cantSplit/>
        </w:trPr>
        <w:tc>
          <w:tcPr>
            <w:tcW w:type="dxa" w:w="4406"/>
          </w:tcPr>
          <w:p>
            <w:pPr>
              <w:spacing w:before="0" w:after="0"/>
            </w:pPr>
            <w:r>
              <w:rPr>
                <w:sz w:val="20"/>
              </w:rPr>
              <w:t>Nobody tests the platform with a keyboard, a screen reader or users with impairments.</w:t>
            </w:r>
          </w:p>
        </w:tc>
        <w:tc>
          <w:tcPr>
            <w:tcW w:type="dxa" w:w="1360"/>
          </w:tcPr>
          <w:p>
            <w:pPr>
              <w:spacing w:before="0" w:after="0"/>
            </w:pPr>
            <w:r>
              <w:rPr>
                <w:sz w:val="20"/>
              </w:rPr>
              <w:t>Yes</w:t>
            </w:r>
          </w:p>
        </w:tc>
        <w:tc>
          <w:tcPr>
            <w:tcW w:type="dxa" w:w="3872"/>
          </w:tcPr>
          <w:p>
            <w:pPr>
              <w:spacing w:before="0" w:after="0"/>
            </w:pPr>
            <w:r>
              <w:rPr>
                <w:sz w:val="20"/>
              </w:rPr>
              <w:t>Facts 3 and 4: barriers that a simple test would have shown.</w:t>
            </w:r>
          </w:p>
        </w:tc>
      </w:tr>
      <w:tr>
        <w:trPr>
          <w:cantSplit/>
        </w:trPr>
        <w:tc>
          <w:tcPr>
            <w:tcW w:type="dxa" w:w="4406"/>
          </w:tcPr>
          <w:p>
            <w:pPr>
              <w:spacing w:before="0" w:after="0"/>
            </w:pPr>
            <w:r>
              <w:rPr>
                <w:sz w:val="20"/>
              </w:rPr>
              <w:t>Learners with impairments are not skilled enough with technology.</w:t>
            </w:r>
          </w:p>
        </w:tc>
        <w:tc>
          <w:tcPr>
            <w:tcW w:type="dxa" w:w="1360"/>
          </w:tcPr>
          <w:p>
            <w:pPr>
              <w:spacing w:before="0" w:after="0"/>
            </w:pPr>
            <w:r>
              <w:rPr>
                <w:sz w:val="20"/>
              </w:rPr>
              <w:t>No</w:t>
            </w:r>
          </w:p>
        </w:tc>
        <w:tc>
          <w:tcPr>
            <w:tcW w:type="dxa" w:w="3872"/>
          </w:tcPr>
          <w:p>
            <w:pPr>
              <w:spacing w:before="0" w:after="0"/>
            </w:pPr>
            <w:r>
              <w:rPr>
                <w:sz w:val="20"/>
              </w:rPr>
              <w:t>It blames the learner; the facts show barriers in the platform.</w:t>
            </w:r>
          </w:p>
        </w:tc>
      </w:tr>
      <w:tr>
        <w:trPr>
          <w:cantSplit/>
        </w:trPr>
        <w:tc>
          <w:tcPr>
            <w:tcW w:type="dxa" w:w="4406"/>
          </w:tcPr>
          <w:p>
            <w:pPr>
              <w:spacing w:before="0" w:after="0"/>
            </w:pPr>
            <w:r>
              <w:rPr>
                <w:sz w:val="20"/>
              </w:rPr>
              <w:t>The platform's colours need a new brand design.</w:t>
            </w:r>
          </w:p>
        </w:tc>
        <w:tc>
          <w:tcPr>
            <w:tcW w:type="dxa" w:w="1360"/>
          </w:tcPr>
          <w:p>
            <w:pPr>
              <w:spacing w:before="0" w:after="0"/>
            </w:pPr>
            <w:r>
              <w:rPr>
                <w:sz w:val="20"/>
              </w:rPr>
              <w:t>No</w:t>
            </w:r>
          </w:p>
        </w:tc>
        <w:tc>
          <w:tcPr>
            <w:tcW w:type="dxa" w:w="3872"/>
          </w:tcPr>
          <w:p>
            <w:pPr>
              <w:spacing w:before="0" w:after="0"/>
            </w:pPr>
            <w:r>
              <w:rPr>
                <w:sz w:val="20"/>
              </w:rPr>
              <w:t>A look matter; contrast is only one fact of eight.</w:t>
            </w:r>
          </w:p>
        </w:tc>
      </w:tr>
      <w:tr>
        <w:trPr>
          <w:cantSplit/>
        </w:trPr>
        <w:tc>
          <w:tcPr>
            <w:tcW w:type="dxa" w:w="4406"/>
          </w:tcPr>
          <w:p>
            <w:pPr>
              <w:spacing w:before="0" w:after="0"/>
            </w:pPr>
            <w:r>
              <w:rPr>
                <w:sz w:val="20"/>
              </w:rPr>
              <w:t>Users with impairments should be given a separate simplified version.</w:t>
            </w:r>
          </w:p>
        </w:tc>
        <w:tc>
          <w:tcPr>
            <w:tcW w:type="dxa" w:w="1360"/>
          </w:tcPr>
          <w:p>
            <w:pPr>
              <w:spacing w:before="0" w:after="0"/>
            </w:pPr>
            <w:r>
              <w:rPr>
                <w:sz w:val="20"/>
              </w:rPr>
              <w:t>No</w:t>
            </w:r>
          </w:p>
        </w:tc>
        <w:tc>
          <w:tcPr>
            <w:tcW w:type="dxa" w:w="3872"/>
          </w:tcPr>
          <w:p>
            <w:pPr>
              <w:spacing w:before="0" w:after="0"/>
            </w:pPr>
            <w:r>
              <w:rPr>
                <w:sz w:val="20"/>
              </w:rPr>
              <w:t>It is a remedy, not a problem, and it contradicts inclusive design.</w:t>
            </w:r>
          </w:p>
        </w:tc>
      </w:tr>
    </w:tbl>
    <w:p>
      <w:pPr>
        <w:spacing w:before="0" w:after="80"/>
      </w:pPr>
    </w:p>
    <w:p>
      <w:pPr>
        <w:spacing w:before="0" w:after="100"/>
      </w:pPr>
      <w:r>
        <w:rPr>
          <w:i/>
        </w:rPr>
        <w:t>Trainer note.</w:t>
      </w:r>
      <w:r>
        <w:rPr/>
        <w:t xml:space="preserve"> A problem is defended by a printed fact. The plan's analysis names a missing WCAG implementation and no inclusive UX; the Musterlösung names the lack of accessibility as the main problem. The rejected options include the tempting “a separate simplified version”, which is a remedy that contradicts inclusive design; none of them explains why users with impairments cannot use the platform.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4: the course menu cannot be reached with the Tab key, which is a missing WCAG requirement and a barrier a keyboard test would have found.</w:t>
            </w:r>
          </w:p>
          <w:p>
            <w:pPr>
              <w:spacing w:before="0" w:after="100"/>
            </w:pPr>
            <w:r>
              <w:rPr>
                <w:b/>
              </w:rPr>
              <w:t>Why.</w:t>
            </w:r>
            <w:r>
              <w:rPr/>
              <w:t xml:space="preserve"> A problem is defended by a printed fact. The plan's Musterlösung names the lack of accessibility as the main problem.</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Says why it explains the barrier.</w:t>
            </w:r>
          </w:p>
        </w:tc>
      </w:tr>
    </w:tbl>
    <w:p>
      <w:pPr>
        <w:spacing w:before="0" w:after="80"/>
      </w:pPr>
    </w:p>
    <w:p>
      <w:pPr>
        <w:pStyle w:val="Heading2"/>
      </w:pPr>
      <w:r>
        <w:rPr/>
        <w:t>Block 2.2 · model answers (UE5–6)</w:t>
      </w:r>
    </w:p>
    <w:p>
      <w:pPr>
        <w:spacing w:before="0" w:after="100"/>
      </w:pPr>
      <w:r>
        <w:rPr>
          <w:i/>
        </w:rPr>
        <w:t>Block 2.2: Four UX measures, rated, ordered and justified · Core · about 17 min.</w:t>
      </w:r>
    </w:p>
    <w:p>
      <w:pPr>
        <w:pStyle w:val="Heading3"/>
      </w:pPr>
      <w:r>
        <w:rPr/>
        <w:t>Reference: Choose four measures, rate them, order them</w:t>
      </w:r>
    </w:p>
    <w:p>
      <w:pPr>
        <w:spacing w:before="0" w:after="100"/>
      </w:pPr>
      <w:r>
        <w:rPr>
          <w:b/>
        </w:rPr>
        <w:t>Reference answer.</w:t>
      </w:r>
      <w:r>
        <w:rPr/>
        <w:t xml:space="preserve"> M1 Improve contrast and text size · M2 Simplify the navigation · M3 Alternative content for the most-used items · M4 Clear structure. Total €46,000 of €50,000; the longest takes 6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01"/>
        <w:gridCol w:w="1317"/>
        <w:gridCol w:w="5220"/>
      </w:tblGrid>
      <w:tr>
        <w:trPr>
          <w:cantSplit/>
          <w:tblHeader/>
        </w:trPr>
        <w:tc>
          <w:tcPr>
            <w:tcW w:type="dxa" w:w="3101"/>
            <w:shd w:val="clear" w:color="auto" w:fill="E6ECF4"/>
          </w:tcPr>
          <w:p>
            <w:pPr>
              <w:spacing w:before="0" w:after="0"/>
            </w:pPr>
            <w:r>
              <w:rPr>
                <w:b/>
                <w:sz w:val="20"/>
              </w:rPr>
              <w:t>Option</w:t>
            </w:r>
          </w:p>
        </w:tc>
        <w:tc>
          <w:tcPr>
            <w:tcW w:type="dxa" w:w="1317"/>
            <w:shd w:val="clear" w:color="auto" w:fill="E6ECF4"/>
          </w:tcPr>
          <w:p>
            <w:pPr>
              <w:spacing w:before="0" w:after="0"/>
            </w:pPr>
            <w:r>
              <w:rPr>
                <w:b/>
                <w:sz w:val="20"/>
              </w:rPr>
              <w:t>In the reference answer?</w:t>
            </w:r>
          </w:p>
        </w:tc>
        <w:tc>
          <w:tcPr>
            <w:tcW w:type="dxa" w:w="5220"/>
            <w:shd w:val="clear" w:color="auto" w:fill="E6ECF4"/>
          </w:tcPr>
          <w:p>
            <w:pPr>
              <w:spacing w:before="0" w:after="0"/>
            </w:pPr>
            <w:r>
              <w:rPr>
                <w:b/>
                <w:sz w:val="20"/>
              </w:rPr>
              <w:t>Why</w:t>
            </w:r>
          </w:p>
        </w:tc>
      </w:tr>
      <w:tr>
        <w:trPr>
          <w:cantSplit/>
        </w:trPr>
        <w:tc>
          <w:tcPr>
            <w:tcW w:type="dxa" w:w="3101"/>
          </w:tcPr>
          <w:p>
            <w:pPr>
              <w:spacing w:before="0" w:after="0"/>
            </w:pPr>
            <w:r>
              <w:rPr>
                <w:sz w:val="20"/>
              </w:rPr>
              <w:t>M1 · Improve contrast and text size (€6,000, 2 weeks)</w:t>
            </w:r>
          </w:p>
        </w:tc>
        <w:tc>
          <w:tcPr>
            <w:tcW w:type="dxa" w:w="1317"/>
          </w:tcPr>
          <w:p>
            <w:pPr>
              <w:spacing w:before="0" w:after="0"/>
            </w:pPr>
            <w:r>
              <w:rPr>
                <w:sz w:val="20"/>
              </w:rPr>
              <w:t>Yes</w:t>
            </w:r>
          </w:p>
        </w:tc>
        <w:tc>
          <w:tcPr>
            <w:tcW w:type="dxa" w:w="5220"/>
          </w:tcPr>
          <w:p>
            <w:pPr>
              <w:spacing w:before="0" w:after="0"/>
            </w:pPr>
            <w:r>
              <w:rPr>
                <w:sz w:val="20"/>
              </w:rPr>
              <w:t>Reference measure. Answers facts 1 and 2: cheap, quick and no risk, helping every page at once. Reference ratings: effort Low (by the printed cost), Impact Mid, risk Low.</w:t>
            </w:r>
          </w:p>
        </w:tc>
      </w:tr>
      <w:tr>
        <w:trPr>
          <w:cantSplit/>
        </w:trPr>
        <w:tc>
          <w:tcPr>
            <w:tcW w:type="dxa" w:w="3101"/>
          </w:tcPr>
          <w:p>
            <w:pPr>
              <w:spacing w:before="0" w:after="0"/>
            </w:pPr>
            <w:r>
              <w:rPr>
                <w:sz w:val="20"/>
              </w:rPr>
              <w:t>M2 · Simplify the navigation (€14,000, 5 weeks)</w:t>
            </w:r>
          </w:p>
        </w:tc>
        <w:tc>
          <w:tcPr>
            <w:tcW w:type="dxa" w:w="1317"/>
          </w:tcPr>
          <w:p>
            <w:pPr>
              <w:spacing w:before="0" w:after="0"/>
            </w:pPr>
            <w:r>
              <w:rPr>
                <w:sz w:val="20"/>
              </w:rPr>
              <w:t>Yes</w:t>
            </w:r>
          </w:p>
        </w:tc>
        <w:tc>
          <w:tcPr>
            <w:tcW w:type="dxa" w:w="5220"/>
          </w:tcPr>
          <w:p>
            <w:pPr>
              <w:spacing w:before="0" w:after="0"/>
            </w:pPr>
            <w:r>
              <w:rPr>
                <w:sz w:val="20"/>
              </w:rPr>
              <w:t>Reference measure. Answers facts 4 and 6: removes the barrier that stops keyboard users. Reference ratings: effort Mid (by the printed cost), Impact High, risk Mid.</w:t>
            </w:r>
          </w:p>
        </w:tc>
      </w:tr>
      <w:tr>
        <w:trPr>
          <w:cantSplit/>
        </w:trPr>
        <w:tc>
          <w:tcPr>
            <w:tcW w:type="dxa" w:w="3101"/>
          </w:tcPr>
          <w:p>
            <w:pPr>
              <w:spacing w:before="0" w:after="0"/>
            </w:pPr>
            <w:r>
              <w:rPr>
                <w:sz w:val="20"/>
              </w:rPr>
              <w:t>M3 · Alternative content for the most-used items (€18,000, 6 weeks)</w:t>
            </w:r>
          </w:p>
        </w:tc>
        <w:tc>
          <w:tcPr>
            <w:tcW w:type="dxa" w:w="1317"/>
          </w:tcPr>
          <w:p>
            <w:pPr>
              <w:spacing w:before="0" w:after="0"/>
            </w:pPr>
            <w:r>
              <w:rPr>
                <w:sz w:val="20"/>
              </w:rPr>
              <w:t>Yes</w:t>
            </w:r>
          </w:p>
        </w:tc>
        <w:tc>
          <w:tcPr>
            <w:tcW w:type="dxa" w:w="5220"/>
          </w:tcPr>
          <w:p>
            <w:pPr>
              <w:spacing w:before="0" w:after="0"/>
            </w:pPr>
            <w:r>
              <w:rPr>
                <w:sz w:val="20"/>
              </w:rPr>
              <w:t>Reference measure. Answers fact 3 for the content that matters most, within the budget. Reference ratings: effort Mid (by the printed cost), Impact High, risk Mid.</w:t>
            </w:r>
          </w:p>
        </w:tc>
      </w:tr>
      <w:tr>
        <w:trPr>
          <w:cantSplit/>
        </w:trPr>
        <w:tc>
          <w:tcPr>
            <w:tcW w:type="dxa" w:w="3101"/>
          </w:tcPr>
          <w:p>
            <w:pPr>
              <w:spacing w:before="0" w:after="0"/>
            </w:pPr>
            <w:r>
              <w:rPr>
                <w:sz w:val="20"/>
              </w:rPr>
              <w:t>M4 · Clear structure (€8,000, 3 weeks)</w:t>
            </w:r>
          </w:p>
        </w:tc>
        <w:tc>
          <w:tcPr>
            <w:tcW w:type="dxa" w:w="1317"/>
          </w:tcPr>
          <w:p>
            <w:pPr>
              <w:spacing w:before="0" w:after="0"/>
            </w:pPr>
            <w:r>
              <w:rPr>
                <w:sz w:val="20"/>
              </w:rPr>
              <w:t>Yes</w:t>
            </w:r>
          </w:p>
        </w:tc>
        <w:tc>
          <w:tcPr>
            <w:tcW w:type="dxa" w:w="5220"/>
          </w:tcPr>
          <w:p>
            <w:pPr>
              <w:spacing w:before="0" w:after="0"/>
            </w:pPr>
            <w:r>
              <w:rPr>
                <w:sz w:val="20"/>
              </w:rPr>
              <w:t>Reference measure. Answers fact 7: removes a cognitive barrier at low cost. Reference ratings: effort Mid (by the printed cost), Impact Mid, risk Low.</w:t>
            </w:r>
          </w:p>
        </w:tc>
      </w:tr>
      <w:tr>
        <w:trPr>
          <w:cantSplit/>
        </w:trPr>
        <w:tc>
          <w:tcPr>
            <w:tcW w:type="dxa" w:w="3101"/>
          </w:tcPr>
          <w:p>
            <w:pPr>
              <w:spacing w:before="0" w:after="0"/>
            </w:pPr>
            <w:r>
              <w:rPr>
                <w:sz w:val="20"/>
              </w:rPr>
              <w:t>M5 · A check with assistive technology and users (€7,000, 2 weeks)</w:t>
            </w:r>
          </w:p>
        </w:tc>
        <w:tc>
          <w:tcPr>
            <w:tcW w:type="dxa" w:w="1317"/>
          </w:tcPr>
          <w:p>
            <w:pPr>
              <w:spacing w:before="0" w:after="0"/>
            </w:pPr>
            <w:r>
              <w:rPr>
                <w:sz w:val="20"/>
              </w:rPr>
              <w:t>No</w:t>
            </w:r>
          </w:p>
        </w:tc>
        <w:tc>
          <w:tcPr>
            <w:tcW w:type="dxa" w:w="5220"/>
          </w:tcPr>
          <w:p>
            <w:pPr>
              <w:spacing w:before="0" w:after="0"/>
            </w:pPr>
            <w:r>
              <w:rPr>
                <w:sz w:val="20"/>
              </w:rPr>
              <w:t>Defends: the plan's analysis found no testing; it gives evidence. A learner who picks it instead of M4 should name evidence. Effort by the printed cost: Low.</w:t>
            </w:r>
          </w:p>
        </w:tc>
      </w:tr>
      <w:tr>
        <w:trPr>
          <w:cantSplit/>
        </w:trPr>
        <w:tc>
          <w:tcPr>
            <w:tcW w:type="dxa" w:w="3101"/>
          </w:tcPr>
          <w:p>
            <w:pPr>
              <w:spacing w:before="0" w:after="0"/>
            </w:pPr>
            <w:r>
              <w:rPr>
                <w:sz w:val="20"/>
              </w:rPr>
              <w:t>M6 · An accessibility overlay (€12,000, 3 weeks)</w:t>
            </w:r>
          </w:p>
        </w:tc>
        <w:tc>
          <w:tcPr>
            <w:tcW w:type="dxa" w:w="1317"/>
          </w:tcPr>
          <w:p>
            <w:pPr>
              <w:spacing w:before="0" w:after="0"/>
            </w:pPr>
            <w:r>
              <w:rPr>
                <w:sz w:val="20"/>
              </w:rPr>
              <w:t>No</w:t>
            </w:r>
          </w:p>
        </w:tc>
        <w:tc>
          <w:tcPr>
            <w:tcW w:type="dxa" w:w="5220"/>
          </w:tcPr>
          <w:p>
            <w:pPr>
              <w:spacing w:before="0" w:after="0"/>
            </w:pPr>
            <w:r>
              <w:rPr>
                <w:sz w:val="20"/>
              </w:rPr>
              <w:t>Rejected: it does not remove the barriers underneath, and users and experts criticise overlays. Effort by the printed cost: Mid.</w:t>
            </w:r>
          </w:p>
        </w:tc>
      </w:tr>
      <w:tr>
        <w:trPr>
          <w:cantSplit/>
        </w:trPr>
        <w:tc>
          <w:tcPr>
            <w:tcW w:type="dxa" w:w="3101"/>
          </w:tcPr>
          <w:p>
            <w:pPr>
              <w:spacing w:before="0" w:after="0"/>
            </w:pPr>
            <w:r>
              <w:rPr>
                <w:sz w:val="20"/>
              </w:rPr>
              <w:t>M7 · A separate accessible version (€40,000, 8 weeks)</w:t>
            </w:r>
          </w:p>
        </w:tc>
        <w:tc>
          <w:tcPr>
            <w:tcW w:type="dxa" w:w="1317"/>
          </w:tcPr>
          <w:p>
            <w:pPr>
              <w:spacing w:before="0" w:after="0"/>
            </w:pPr>
            <w:r>
              <w:rPr>
                <w:sz w:val="20"/>
              </w:rPr>
              <w:t>No</w:t>
            </w:r>
          </w:p>
        </w:tc>
        <w:tc>
          <w:tcPr>
            <w:tcW w:type="dxa" w:w="5220"/>
          </w:tcPr>
          <w:p>
            <w:pPr>
              <w:spacing w:before="0" w:after="0"/>
            </w:pPr>
            <w:r>
              <w:rPr>
                <w:sz w:val="20"/>
              </w:rPr>
              <w:t>Rejected: separate is not inclusive, doubles the upkeep, and the effort is High. Effort by the printed cost: High.</w:t>
            </w:r>
          </w:p>
        </w:tc>
      </w:tr>
      <w:tr>
        <w:trPr>
          <w:cantSplit/>
        </w:trPr>
        <w:tc>
          <w:tcPr>
            <w:tcW w:type="dxa" w:w="3101"/>
          </w:tcPr>
          <w:p>
            <w:pPr>
              <w:spacing w:before="0" w:after="0"/>
            </w:pPr>
            <w:r>
              <w:rPr>
                <w:sz w:val="20"/>
              </w:rPr>
              <w:t>M8 · Fix all 2,000 content items at once (€60,000, 10 weeks)</w:t>
            </w:r>
          </w:p>
        </w:tc>
        <w:tc>
          <w:tcPr>
            <w:tcW w:type="dxa" w:w="1317"/>
          </w:tcPr>
          <w:p>
            <w:pPr>
              <w:spacing w:before="0" w:after="0"/>
            </w:pPr>
            <w:r>
              <w:rPr>
                <w:sz w:val="20"/>
              </w:rPr>
              <w:t>No</w:t>
            </w:r>
          </w:p>
        </w:tc>
        <w:tc>
          <w:tcPr>
            <w:tcW w:type="dxa" w:w="5220"/>
          </w:tcPr>
          <w:p>
            <w:pPr>
              <w:spacing w:before="0" w:after="0"/>
            </w:pPr>
            <w:r>
              <w:rPr>
                <w:sz w:val="20"/>
              </w:rPr>
              <w:t>Rejected: over the budget, effort High, and learners wait ten weeks for any gain. Effort by the printed cost: High.</w:t>
            </w:r>
          </w:p>
        </w:tc>
      </w:tr>
      <w:tr>
        <w:trPr>
          <w:cantSplit/>
        </w:trPr>
        <w:tc>
          <w:tcPr>
            <w:tcW w:type="dxa" w:w="3101"/>
          </w:tcPr>
          <w:p>
            <w:pPr>
              <w:spacing w:before="0" w:after="0"/>
            </w:pPr>
            <w:r>
              <w:rPr>
                <w:sz w:val="20"/>
              </w:rPr>
              <w:t>M9 · An accessibility statement on the website (€3,000, 1 weeks)</w:t>
            </w:r>
          </w:p>
        </w:tc>
        <w:tc>
          <w:tcPr>
            <w:tcW w:type="dxa" w:w="1317"/>
          </w:tcPr>
          <w:p>
            <w:pPr>
              <w:spacing w:before="0" w:after="0"/>
            </w:pPr>
            <w:r>
              <w:rPr>
                <w:sz w:val="20"/>
              </w:rPr>
              <w:t>No</w:t>
            </w:r>
          </w:p>
        </w:tc>
        <w:tc>
          <w:tcPr>
            <w:tcW w:type="dxa" w:w="5220"/>
          </w:tcPr>
          <w:p>
            <w:pPr>
              <w:spacing w:before="0" w:after="0"/>
            </w:pPr>
            <w:r>
              <w:rPr>
                <w:sz w:val="20"/>
              </w:rPr>
              <w:t>Rejected as a stand-alone: required but removes no barrier. Effort by the printed cost: Low.</w:t>
            </w:r>
          </w:p>
        </w:tc>
      </w:tr>
    </w:tbl>
    <w:p>
      <w:pPr>
        <w:spacing w:before="0" w:after="80"/>
      </w:pPr>
    </w:p>
    <w:p>
      <w:pPr>
        <w:spacing w:before="0" w:after="100"/>
      </w:pPr>
      <w:r>
        <w:rPr>
          <w:i/>
        </w:rPr>
        <w:t>Trainer note.</w:t>
      </w:r>
      <w:r>
        <w:rPr/>
        <w:t xml:space="preserve"> The plan's Musterlösung: improve contrast, simplify navigation, provide alternative content, clear structure; rationale accessibility = usability = success. The reference set costs €46,000 of €50,000 and takes at most 6 weeks of 10. M5 (a check with assistive technology and users) defends in place of M4 if the reason names evidence. Reference order: M1, M2, M3, M4; M1 first because it is the cheapest change that helps every page.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1 and 2: contrast of at least 4.5 : 1 and text that can be enlarged. At €6,000 it is under €8,000, so effort is Low. Impact Mid: it helps learners with low vision and anyone in bright light. Risk Low, one change in the style sheet.</w:t>
            </w:r>
          </w:p>
          <w:p>
            <w:pPr>
              <w:spacing w:before="0" w:after="100"/>
            </w:pPr>
            <w:r>
              <w:rPr>
                <w:b/>
              </w:rPr>
              <w:t>Why.</w:t>
            </w:r>
            <w:r>
              <w:rPr/>
              <w:t xml:space="preserve"> Effort follows the printed cost (a rule). Impact and risk are judgements: they must name the fact the measure answers, whom it helps,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whom it helps.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4 and 6: one menu, three levels, keyboard-operable. €14,000 lies between €8,000 and €18,000, so effort is Mid. Impact High: it opens every course to keyboard users and helps cognitive load. Risk Mid, because a new menu may confuse regular users at first.</w:t>
            </w:r>
          </w:p>
          <w:p>
            <w:pPr>
              <w:spacing w:before="0" w:after="100"/>
            </w:pPr>
            <w:r>
              <w:rPr>
                <w:b/>
              </w:rPr>
              <w:t>Why.</w:t>
            </w:r>
            <w:r>
              <w:rPr/>
              <w:t xml:space="preserve"> Effort follows the printed cost (a rule). Impact and risk are judgements: they must name the fact the measure answers, whom it helps,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whom it helps.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fact 3 for the content that matters most: 40 images and 10 videos. €18,000 is at the top of the Mid band, so effort is Mid. Impact High: blind and deaf learners get the key content. Risk Mid, because the rest of the 2,000 items stay open.</w:t>
            </w:r>
          </w:p>
          <w:p>
            <w:pPr>
              <w:spacing w:before="0" w:after="100"/>
            </w:pPr>
            <w:r>
              <w:rPr>
                <w:b/>
              </w:rPr>
              <w:t>Why.</w:t>
            </w:r>
            <w:r>
              <w:rPr/>
              <w:t xml:space="preserve"> Effort follows the printed cost (a rule). Impact and risk are judgements: they must name the fact the measure answers, whom it helps,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whom it helps.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answers fact 7: headings, short paragraphs and plain labels on the most-used lessons. €8,000 is at the lower edge of Mid, so effort is Mid. Impact Mid: lessons can be skimmed. Risk Low.</w:t>
            </w:r>
          </w:p>
          <w:p>
            <w:pPr>
              <w:spacing w:before="0" w:after="100"/>
            </w:pPr>
            <w:r>
              <w:rPr>
                <w:b/>
              </w:rPr>
              <w:t>Why.</w:t>
            </w:r>
            <w:r>
              <w:rPr/>
              <w:t xml:space="preserve"> Effort follows the printed cost (a rule). Impact and risk are judgements: they must name the fact the measure answers, whom it helps,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whom it helps.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it costs €6,000 and two weeks, nothing can go wrong, and one change helps every page at once, which suits the time pressure. Accessibility is usability is success: with the contrast fixed, M2 opens every course to keyboard users, M3 gives blind and deaf learners the key content, and M4 makes the lessons easier for everyone. The four measures cost €46,000 of €50,000, with the longest at six weeks.</w:t>
            </w:r>
          </w:p>
          <w:p>
            <w:pPr>
              <w:spacing w:before="0" w:after="100"/>
            </w:pPr>
            <w:r>
              <w:rPr>
                <w:b/>
              </w:rPr>
              <w:t>Why.</w:t>
            </w:r>
            <w:r>
              <w:rPr/>
              <w:t xml:space="preserve"> The plan's rationale: accessibility = usability = success. A different first priority defends if the reason says whom it helps soonest and why it can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Says whom it helps soonest.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how many learners with impairments actually use the platform or leave it, because nobody has tracked or asked them. I would run a keyboard and screen-reader check and ask the five users who complained, before I spend the last €4,000.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79"/>
        <w:gridCol w:w="1203"/>
        <w:gridCol w:w="7556"/>
      </w:tblGrid>
      <w:tr>
        <w:trPr>
          <w:cantSplit/>
          <w:tblHeader/>
        </w:trPr>
        <w:tc>
          <w:tcPr>
            <w:tcW w:type="dxa" w:w="879"/>
            <w:shd w:val="clear" w:color="auto" w:fill="E6ECF4"/>
          </w:tcPr>
          <w:p>
            <w:pPr>
              <w:spacing w:before="0" w:after="0"/>
            </w:pPr>
            <w:r>
              <w:rPr>
                <w:b/>
                <w:sz w:val="20"/>
              </w:rPr>
              <w:t>Step</w:t>
            </w:r>
          </w:p>
        </w:tc>
        <w:tc>
          <w:tcPr>
            <w:tcW w:type="dxa" w:w="1203"/>
            <w:shd w:val="clear" w:color="auto" w:fill="E6ECF4"/>
          </w:tcPr>
          <w:p>
            <w:pPr>
              <w:spacing w:before="0" w:after="0"/>
            </w:pPr>
            <w:r>
              <w:rPr>
                <w:b/>
                <w:sz w:val="20"/>
              </w:rPr>
              <w:t>Minutes</w:t>
            </w:r>
          </w:p>
        </w:tc>
        <w:tc>
          <w:tcPr>
            <w:tcW w:type="dxa" w:w="7556"/>
            <w:shd w:val="clear" w:color="auto" w:fill="E6ECF4"/>
          </w:tcPr>
          <w:p>
            <w:pPr>
              <w:spacing w:before="0" w:after="0"/>
            </w:pPr>
            <w:r>
              <w:rPr>
                <w:b/>
                <w:sz w:val="20"/>
              </w:rPr>
              <w:t>What you do</w:t>
            </w:r>
          </w:p>
        </w:tc>
      </w:tr>
      <w:tr>
        <w:trPr>
          <w:cantSplit/>
        </w:trPr>
        <w:tc>
          <w:tcPr>
            <w:tcW w:type="dxa" w:w="879"/>
          </w:tcPr>
          <w:p>
            <w:pPr>
              <w:spacing w:before="0" w:after="0"/>
            </w:pPr>
            <w:r>
              <w:rPr>
                <w:sz w:val="20"/>
              </w:rPr>
              <w:t>1</w:t>
            </w:r>
          </w:p>
        </w:tc>
        <w:tc>
          <w:tcPr>
            <w:tcW w:type="dxa" w:w="1203"/>
          </w:tcPr>
          <w:p>
            <w:pPr>
              <w:spacing w:before="0" w:after="0"/>
            </w:pPr>
            <w:r>
              <w:rPr>
                <w:sz w:val="20"/>
              </w:rPr>
              <w:t>15</w:t>
            </w:r>
          </w:p>
        </w:tc>
        <w:tc>
          <w:tcPr>
            <w:tcW w:type="dxa" w:w="7556"/>
          </w:tcPr>
          <w:p>
            <w:pPr>
              <w:spacing w:before="0" w:after="0"/>
            </w:pPr>
            <w:r>
              <w:rPr>
                <w:sz w:val="20"/>
              </w:rPr>
              <w:t>Groups of three or four compare their four measures and their order. They name where they differ and why.</w:t>
            </w:r>
          </w:p>
        </w:tc>
      </w:tr>
      <w:tr>
        <w:trPr>
          <w:cantSplit/>
        </w:trPr>
        <w:tc>
          <w:tcPr>
            <w:tcW w:type="dxa" w:w="879"/>
          </w:tcPr>
          <w:p>
            <w:pPr>
              <w:spacing w:before="0" w:after="0"/>
            </w:pPr>
            <w:r>
              <w:rPr>
                <w:sz w:val="20"/>
              </w:rPr>
              <w:t>2</w:t>
            </w:r>
          </w:p>
        </w:tc>
        <w:tc>
          <w:tcPr>
            <w:tcW w:type="dxa" w:w="1203"/>
          </w:tcPr>
          <w:p>
            <w:pPr>
              <w:spacing w:before="0" w:after="0"/>
            </w:pPr>
            <w:r>
              <w:rPr>
                <w:sz w:val="20"/>
              </w:rPr>
              <w:t>15</w:t>
            </w:r>
          </w:p>
        </w:tc>
        <w:tc>
          <w:tcPr>
            <w:tcW w:type="dxa" w:w="7556"/>
          </w:tcPr>
          <w:p>
            <w:pPr>
              <w:spacing w:before="0" w:after="0"/>
            </w:pPr>
            <w:r>
              <w:rPr>
                <w:sz w:val="20"/>
              </w:rPr>
              <w:t>Each group gives the reason for its first priority in one sentence. Write the reasons on a board; do not write the measures.</w:t>
            </w:r>
          </w:p>
        </w:tc>
      </w:tr>
      <w:tr>
        <w:trPr>
          <w:cantSplit/>
        </w:trPr>
        <w:tc>
          <w:tcPr>
            <w:tcW w:type="dxa" w:w="879"/>
          </w:tcPr>
          <w:p>
            <w:pPr>
              <w:spacing w:before="0" w:after="0"/>
            </w:pPr>
            <w:r>
              <w:rPr>
                <w:sz w:val="20"/>
              </w:rPr>
              <w:t>3</w:t>
            </w:r>
          </w:p>
        </w:tc>
        <w:tc>
          <w:tcPr>
            <w:tcW w:type="dxa" w:w="1203"/>
          </w:tcPr>
          <w:p>
            <w:pPr>
              <w:spacing w:before="0" w:after="0"/>
            </w:pPr>
            <w:r>
              <w:rPr>
                <w:sz w:val="20"/>
              </w:rPr>
              <w:t>10</w:t>
            </w:r>
          </w:p>
        </w:tc>
        <w:tc>
          <w:tcPr>
            <w:tcW w:type="dxa" w:w="7556"/>
          </w:tcPr>
          <w:p>
            <w:pPr>
              <w:spacing w:before="0" w:after="0"/>
            </w:pPr>
            <w:r>
              <w:rPr>
                <w:sz w:val="20"/>
              </w:rPr>
              <w:t>Show the plan's core logic and the rationale line (“Accessibility = usability = success”). Ask: where does a different order still defend?</w:t>
            </w:r>
          </w:p>
        </w:tc>
      </w:tr>
      <w:tr>
        <w:trPr>
          <w:cantSplit/>
        </w:trPr>
        <w:tc>
          <w:tcPr>
            <w:tcW w:type="dxa" w:w="879"/>
          </w:tcPr>
          <w:p>
            <w:pPr>
              <w:spacing w:before="0" w:after="0"/>
            </w:pPr>
            <w:r>
              <w:rPr>
                <w:sz w:val="20"/>
              </w:rPr>
              <w:t>4</w:t>
            </w:r>
          </w:p>
        </w:tc>
        <w:tc>
          <w:tcPr>
            <w:tcW w:type="dxa" w:w="1203"/>
          </w:tcPr>
          <w:p>
            <w:pPr>
              <w:spacing w:before="0" w:after="0"/>
            </w:pPr>
            <w:r>
              <w:rPr>
                <w:sz w:val="20"/>
              </w:rPr>
              <w:t>5</w:t>
            </w:r>
          </w:p>
        </w:tc>
        <w:tc>
          <w:tcPr>
            <w:tcW w:type="dxa" w:w="7556"/>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has the greatest reach?</w:t>
      </w:r>
    </w:p>
    <w:p>
      <w:pPr>
        <w:pStyle w:val="ListBullet"/>
        <w:spacing w:before="0" w:after="40"/>
      </w:pPr>
      <w:r>
        <w:rPr/>
        <w:t>Where is accessibility underestimated?</w:t>
      </w:r>
    </w:p>
    <w:p>
      <w:pPr>
        <w:pStyle w:val="ListBullet"/>
        <w:spacing w:before="0" w:after="100"/>
      </w:pPr>
      <w:r>
        <w:rPr/>
        <w:t>Which risks arise from non-implementation?</w:t>
      </w:r>
    </w:p>
    <w:p>
      <w:pPr>
        <w:spacing w:before="0" w:after="100"/>
      </w:pPr>
      <w:r>
        <w:rPr>
          <w:b/>
        </w:rPr>
        <w:t>Discussion.</w:t>
      </w:r>
    </w:p>
    <w:p>
      <w:pPr>
        <w:pStyle w:val="ListBullet"/>
        <w:spacing w:before="0" w:after="40"/>
      </w:pPr>
      <w:r>
        <w:rPr/>
        <w:t>Accessibility vs. costs</w:t>
      </w:r>
    </w:p>
    <w:p>
      <w:pPr>
        <w:pStyle w:val="ListBullet"/>
        <w:spacing w:before="0" w:after="100"/>
      </w:pPr>
      <w:r>
        <w:rPr/>
        <w:t>UX as social responsibility</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accessibility against cost, standardisation against flexibility</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Accessibility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12"/>
        <w:gridCol w:w="5226"/>
      </w:tblGrid>
      <w:tr>
        <w:trPr>
          <w:cantSplit/>
          <w:tblHeader/>
        </w:trPr>
        <w:tc>
          <w:tcPr>
            <w:tcW w:type="dxa" w:w="4412"/>
            <w:shd w:val="clear" w:color="auto" w:fill="E6ECF4"/>
          </w:tcPr>
          <w:p>
            <w:pPr>
              <w:spacing w:before="0" w:after="0"/>
            </w:pPr>
            <w:r>
              <w:rPr>
                <w:b/>
                <w:sz w:val="20"/>
              </w:rPr>
              <w:t>Plan item</w:t>
            </w:r>
          </w:p>
        </w:tc>
        <w:tc>
          <w:tcPr>
            <w:tcW w:type="dxa" w:w="5226"/>
            <w:shd w:val="clear" w:color="auto" w:fill="E6ECF4"/>
          </w:tcPr>
          <w:p>
            <w:pPr>
              <w:spacing w:before="0" w:after="0"/>
            </w:pPr>
            <w:r>
              <w:rPr>
                <w:b/>
                <w:sz w:val="20"/>
              </w:rPr>
              <w:t>Where the worksheet answers it</w:t>
            </w:r>
          </w:p>
        </w:tc>
      </w:tr>
      <w:tr>
        <w:trPr>
          <w:cantSplit/>
        </w:trPr>
        <w:tc>
          <w:tcPr>
            <w:tcW w:type="dxa" w:w="4412"/>
          </w:tcPr>
          <w:p>
            <w:pPr>
              <w:spacing w:before="0" w:after="0"/>
            </w:pPr>
            <w:r>
              <w:rPr>
                <w:sz w:val="20"/>
              </w:rPr>
              <w:t>1. Strategy for implementing WCAG</w:t>
            </w:r>
          </w:p>
        </w:tc>
        <w:tc>
          <w:tcPr>
            <w:tcW w:type="dxa" w:w="5226"/>
          </w:tcPr>
          <w:p>
            <w:pPr>
              <w:spacing w:before="0" w:after="0"/>
            </w:pPr>
            <w:r>
              <w:rPr>
                <w:sz w:val="20"/>
              </w:rPr>
              <w:t>Block 3.1 (the WCAG strategy)</w:t>
            </w:r>
          </w:p>
        </w:tc>
      </w:tr>
      <w:tr>
        <w:trPr>
          <w:cantSplit/>
        </w:trPr>
        <w:tc>
          <w:tcPr>
            <w:tcW w:type="dxa" w:w="4412"/>
          </w:tcPr>
          <w:p>
            <w:pPr>
              <w:spacing w:before="0" w:after="0"/>
            </w:pPr>
            <w:r>
              <w:rPr>
                <w:sz w:val="20"/>
              </w:rPr>
              <w:t>2. Prioritized measures</w:t>
            </w:r>
          </w:p>
        </w:tc>
        <w:tc>
          <w:tcPr>
            <w:tcW w:type="dxa" w:w="5226"/>
          </w:tcPr>
          <w:p>
            <w:pPr>
              <w:spacing w:before="0" w:after="0"/>
            </w:pPr>
            <w:r>
              <w:rPr>
                <w:sz w:val="20"/>
              </w:rPr>
              <w:t>Block 3.2 (three measures, in order)</w:t>
            </w:r>
          </w:p>
        </w:tc>
      </w:tr>
      <w:tr>
        <w:trPr>
          <w:cantSplit/>
        </w:trPr>
        <w:tc>
          <w:tcPr>
            <w:tcW w:type="dxa" w:w="4412"/>
          </w:tcPr>
          <w:p>
            <w:pPr>
              <w:spacing w:before="0" w:after="0"/>
            </w:pPr>
            <w:r>
              <w:rPr>
                <w:sz w:val="20"/>
              </w:rPr>
              <w:t>3. Integration into UX processes</w:t>
            </w:r>
          </w:p>
        </w:tc>
        <w:tc>
          <w:tcPr>
            <w:tcW w:type="dxa" w:w="5226"/>
          </w:tcPr>
          <w:p>
            <w:pPr>
              <w:spacing w:before="0" w:after="0"/>
            </w:pPr>
            <w:r>
              <w:rPr>
                <w:sz w:val="20"/>
              </w:rPr>
              <w:t>Block 3.1 (integration into the UX process)</w:t>
            </w:r>
          </w:p>
        </w:tc>
      </w:tr>
      <w:tr>
        <w:trPr>
          <w:cantSplit/>
        </w:trPr>
        <w:tc>
          <w:tcPr>
            <w:tcW w:type="dxa" w:w="4412"/>
          </w:tcPr>
          <w:p>
            <w:pPr>
              <w:spacing w:before="0" w:after="0"/>
            </w:pPr>
            <w:r>
              <w:rPr>
                <w:sz w:val="20"/>
              </w:rPr>
              <w:t>4. Evaluation approach (measurability)</w:t>
            </w:r>
          </w:p>
        </w:tc>
        <w:tc>
          <w:tcPr>
            <w:tcW w:type="dxa" w:w="5226"/>
          </w:tcPr>
          <w:p>
            <w:pPr>
              <w:spacing w:before="0" w:after="0"/>
            </w:pPr>
            <w:r>
              <w:rPr>
                <w:sz w:val="20"/>
              </w:rPr>
              <w:t>Block 3.1 (the evaluation approach)</w:t>
            </w:r>
          </w:p>
        </w:tc>
      </w:tr>
      <w:tr>
        <w:trPr>
          <w:cantSplit/>
        </w:trPr>
        <w:tc>
          <w:tcPr>
            <w:tcW w:type="dxa" w:w="4412"/>
          </w:tcPr>
          <w:p>
            <w:pPr>
              <w:spacing w:before="0" w:after="0"/>
            </w:pPr>
            <w:r>
              <w:rPr>
                <w:sz w:val="20"/>
              </w:rPr>
              <w:t>5. Risk analysis (costs vs. benefits)</w:t>
            </w:r>
          </w:p>
        </w:tc>
        <w:tc>
          <w:tcPr>
            <w:tcW w:type="dxa" w:w="5226"/>
          </w:tcPr>
          <w:p>
            <w:pPr>
              <w:spacing w:before="0" w:after="0"/>
            </w:pPr>
            <w:r>
              <w:rPr>
                <w:sz w:val="20"/>
              </w:rPr>
              <w:t>Block 3.2 (risk: costs against benefits)</w:t>
            </w:r>
          </w:p>
        </w:tc>
      </w:tr>
      <w:tr>
        <w:trPr>
          <w:cantSplit/>
        </w:trPr>
        <w:tc>
          <w:tcPr>
            <w:tcW w:type="dxa" w:w="4412"/>
          </w:tcPr>
          <w:p>
            <w:pPr>
              <w:spacing w:before="0" w:after="0"/>
            </w:pPr>
            <w:r>
              <w:rPr>
                <w:sz w:val="20"/>
              </w:rPr>
              <w:t>Additional: Make a decision under uncertainty.</w:t>
            </w:r>
          </w:p>
        </w:tc>
        <w:tc>
          <w:tcPr>
            <w:tcW w:type="dxa" w:w="5226"/>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Embed accessibility strategically</w:t>
      </w:r>
    </w:p>
    <w:p>
      <w:pPr>
        <w:pStyle w:val="ListBullet"/>
        <w:spacing w:before="0" w:after="40"/>
      </w:pPr>
      <w:r>
        <w:rPr/>
        <w:t>Increase UX quality</w:t>
      </w:r>
    </w:p>
    <w:p>
      <w:pPr>
        <w:pStyle w:val="ListBullet"/>
        <w:spacing w:before="0" w:after="100"/>
      </w:pPr>
      <w:r>
        <w:rPr/>
        <w:t>Take responsibility at management level</w:t>
      </w:r>
    </w:p>
    <w:p>
      <w:pPr>
        <w:pStyle w:val="Heading2"/>
      </w:pPr>
      <w:r>
        <w:rPr/>
        <w:t>Block 3.1 · model answers (UE9)</w:t>
      </w:r>
    </w:p>
    <w:p>
      <w:pPr>
        <w:spacing w:before="0" w:after="100"/>
      </w:pPr>
      <w:r>
        <w:rPr>
          <w:i/>
        </w:rPr>
        <w:t>Block 3.1: The WCAG strategy, the process and the evaluation · Core · about 10 min.</w:t>
      </w:r>
    </w:p>
    <w:p>
      <w:pPr>
        <w:pStyle w:val="Heading3"/>
      </w:pPr>
      <w:r>
        <w:rPr/>
        <w:t>Reference: The strategy for WCAG</w:t>
      </w:r>
    </w:p>
    <w:p>
      <w:pPr>
        <w:spacing w:before="0" w:after="100"/>
      </w:pPr>
      <w:r>
        <w:rPr>
          <w:b/>
        </w:rPr>
        <w:t>Reference answer.</w:t>
      </w:r>
      <w:r>
        <w:rPr/>
        <w:t xml:space="preserve"> Step by step: WCAG 2.2 level AA on the most-used courses first, then build it into the process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44"/>
        <w:gridCol w:w="1380"/>
        <w:gridCol w:w="4314"/>
      </w:tblGrid>
      <w:tr>
        <w:trPr>
          <w:cantSplit/>
          <w:tblHeader/>
        </w:trPr>
        <w:tc>
          <w:tcPr>
            <w:tcW w:type="dxa" w:w="3944"/>
            <w:shd w:val="clear" w:color="auto" w:fill="E6ECF4"/>
          </w:tcPr>
          <w:p>
            <w:pPr>
              <w:spacing w:before="0" w:after="0"/>
            </w:pPr>
            <w:r>
              <w:rPr>
                <w:b/>
                <w:sz w:val="20"/>
              </w:rPr>
              <w:t>Option</w:t>
            </w:r>
          </w:p>
        </w:tc>
        <w:tc>
          <w:tcPr>
            <w:tcW w:type="dxa" w:w="1380"/>
            <w:shd w:val="clear" w:color="auto" w:fill="E6ECF4"/>
          </w:tcPr>
          <w:p>
            <w:pPr>
              <w:spacing w:before="0" w:after="0"/>
            </w:pPr>
            <w:r>
              <w:rPr>
                <w:b/>
                <w:sz w:val="20"/>
              </w:rPr>
              <w:t>In the reference answer?</w:t>
            </w:r>
          </w:p>
        </w:tc>
        <w:tc>
          <w:tcPr>
            <w:tcW w:type="dxa" w:w="4314"/>
            <w:shd w:val="clear" w:color="auto" w:fill="E6ECF4"/>
          </w:tcPr>
          <w:p>
            <w:pPr>
              <w:spacing w:before="0" w:after="0"/>
            </w:pPr>
            <w:r>
              <w:rPr>
                <w:b/>
                <w:sz w:val="20"/>
              </w:rPr>
              <w:t>Why</w:t>
            </w:r>
          </w:p>
        </w:tc>
      </w:tr>
      <w:tr>
        <w:trPr>
          <w:cantSplit/>
        </w:trPr>
        <w:tc>
          <w:tcPr>
            <w:tcW w:type="dxa" w:w="3944"/>
          </w:tcPr>
          <w:p>
            <w:pPr>
              <w:spacing w:before="0" w:after="0"/>
            </w:pPr>
            <w:r>
              <w:rPr>
                <w:sz w:val="20"/>
              </w:rPr>
              <w:t>Step by step: WCAG 2.2 level AA on the most-used courses first, then build it into the process</w:t>
            </w:r>
          </w:p>
        </w:tc>
        <w:tc>
          <w:tcPr>
            <w:tcW w:type="dxa" w:w="1380"/>
          </w:tcPr>
          <w:p>
            <w:pPr>
              <w:spacing w:before="0" w:after="0"/>
            </w:pPr>
            <w:r>
              <w:rPr>
                <w:sz w:val="20"/>
              </w:rPr>
              <w:t>Yes</w:t>
            </w:r>
          </w:p>
        </w:tc>
        <w:tc>
          <w:tcPr>
            <w:tcW w:type="dxa" w:w="4314"/>
          </w:tcPr>
          <w:p>
            <w:pPr>
              <w:spacing w:before="0" w:after="0"/>
            </w:pPr>
            <w:r>
              <w:rPr>
                <w:sz w:val="20"/>
              </w:rPr>
              <w:t>Reference strategy: starts where most learners are, and stops new barriers from appearing.</w:t>
            </w:r>
          </w:p>
        </w:tc>
      </w:tr>
      <w:tr>
        <w:trPr>
          <w:cantSplit/>
        </w:trPr>
        <w:tc>
          <w:tcPr>
            <w:tcW w:type="dxa" w:w="3944"/>
          </w:tcPr>
          <w:p>
            <w:pPr>
              <w:spacing w:before="0" w:after="0"/>
            </w:pPr>
            <w:r>
              <w:rPr>
                <w:sz w:val="20"/>
              </w:rPr>
              <w:t>Everything at once: all 2,000 items in one programme</w:t>
            </w:r>
          </w:p>
        </w:tc>
        <w:tc>
          <w:tcPr>
            <w:tcW w:type="dxa" w:w="1380"/>
          </w:tcPr>
          <w:p>
            <w:pPr>
              <w:spacing w:before="0" w:after="0"/>
            </w:pPr>
            <w:r>
              <w:rPr>
                <w:sz w:val="20"/>
              </w:rPr>
              <w:t>No</w:t>
            </w:r>
          </w:p>
        </w:tc>
        <w:tc>
          <w:tcPr>
            <w:tcW w:type="dxa" w:w="4314"/>
          </w:tcPr>
          <w:p>
            <w:pPr>
              <w:spacing w:before="0" w:after="0"/>
            </w:pPr>
            <w:r>
              <w:rPr>
                <w:sz w:val="20"/>
              </w:rPr>
              <w:t>Weak: over the budget, slow, and learners wait for any gain.</w:t>
            </w:r>
          </w:p>
        </w:tc>
      </w:tr>
      <w:tr>
        <w:trPr>
          <w:cantSplit/>
        </w:trPr>
        <w:tc>
          <w:tcPr>
            <w:tcW w:type="dxa" w:w="3944"/>
          </w:tcPr>
          <w:p>
            <w:pPr>
              <w:spacing w:before="0" w:after="0"/>
            </w:pPr>
            <w:r>
              <w:rPr>
                <w:sz w:val="20"/>
              </w:rPr>
              <w:t>Only the legal minimum, fixed when a complaint arrives</w:t>
            </w:r>
          </w:p>
        </w:tc>
        <w:tc>
          <w:tcPr>
            <w:tcW w:type="dxa" w:w="1380"/>
          </w:tcPr>
          <w:p>
            <w:pPr>
              <w:spacing w:before="0" w:after="0"/>
            </w:pPr>
            <w:r>
              <w:rPr>
                <w:sz w:val="20"/>
              </w:rPr>
              <w:t>No</w:t>
            </w:r>
          </w:p>
        </w:tc>
        <w:tc>
          <w:tcPr>
            <w:tcW w:type="dxa" w:w="4314"/>
          </w:tcPr>
          <w:p>
            <w:pPr>
              <w:spacing w:before="0" w:after="0"/>
            </w:pPr>
            <w:r>
              <w:rPr>
                <w:sz w:val="20"/>
              </w:rPr>
              <w:t>Weak: reactive; treats WCAG as the goal, not the minimum; the risk stays.</w:t>
            </w:r>
          </w:p>
        </w:tc>
      </w:tr>
      <w:tr>
        <w:trPr>
          <w:cantSplit/>
        </w:trPr>
        <w:tc>
          <w:tcPr>
            <w:tcW w:type="dxa" w:w="3944"/>
          </w:tcPr>
          <w:p>
            <w:pPr>
              <w:spacing w:before="0" w:after="0"/>
            </w:pPr>
            <w:r>
              <w:rPr>
                <w:sz w:val="20"/>
              </w:rPr>
              <w:t>Audit first: test the whole platform, then decide</w:t>
            </w:r>
          </w:p>
        </w:tc>
        <w:tc>
          <w:tcPr>
            <w:tcW w:type="dxa" w:w="1380"/>
          </w:tcPr>
          <w:p>
            <w:pPr>
              <w:spacing w:before="0" w:after="0"/>
            </w:pPr>
            <w:r>
              <w:rPr>
                <w:sz w:val="20"/>
              </w:rPr>
              <w:t>No</w:t>
            </w:r>
          </w:p>
        </w:tc>
        <w:tc>
          <w:tcPr>
            <w:tcW w:type="dxa" w:w="4314"/>
          </w:tcPr>
          <w:p>
            <w:pPr>
              <w:spacing w:before="0" w:after="0"/>
            </w:pPr>
            <w:r>
              <w:rPr>
                <w:sz w:val="20"/>
              </w:rPr>
              <w:t>Defends: a decision with an evidence step; slower, but cheap.</w:t>
            </w:r>
          </w:p>
        </w:tc>
      </w:tr>
    </w:tbl>
    <w:p>
      <w:pPr>
        <w:spacing w:before="0" w:after="80"/>
      </w:pPr>
    </w:p>
    <w:p>
      <w:pPr>
        <w:spacing w:before="0" w:after="100"/>
      </w:pPr>
      <w:r>
        <w:rPr>
          <w:i/>
        </w:rPr>
        <w:t>Trainer note.</w:t>
      </w:r>
      <w:r>
        <w:rPr/>
        <w:t xml:space="preserve"> The plan asks for a strategy for implementing WCAG within a limited budget. Strategy 1 is the reference; strategy 4 also defends (audit first); strategy 3 is the weakest because it treats WCAG as the goal and leaves the risk. Plan: item 1.</w:t>
      </w:r>
    </w:p>
    <w:p>
      <w:pPr>
        <w:pStyle w:val="Heading3"/>
      </w:pPr>
      <w:r>
        <w:rPr/>
        <w:t>Reference: The process steps</w:t>
      </w:r>
    </w:p>
    <w:p>
      <w:pPr>
        <w:spacing w:before="0" w:after="100"/>
      </w:pPr>
      <w:r>
        <w:rPr>
          <w:b/>
        </w:rPr>
        <w:t>Reference answer.</w:t>
      </w:r>
      <w:r>
        <w:rPr/>
        <w:t xml:space="preserve"> Accessibility criteria in every design brief; A check at every design review; A keyboard and screen-reader test before every release; Training for designers and content authors; Accessible components in the style guide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54"/>
        <w:gridCol w:w="1449"/>
        <w:gridCol w:w="4235"/>
      </w:tblGrid>
      <w:tr>
        <w:trPr>
          <w:cantSplit/>
          <w:tblHeader/>
        </w:trPr>
        <w:tc>
          <w:tcPr>
            <w:tcW w:type="dxa" w:w="3954"/>
            <w:shd w:val="clear" w:color="auto" w:fill="E6ECF4"/>
          </w:tcPr>
          <w:p>
            <w:pPr>
              <w:spacing w:before="0" w:after="0"/>
            </w:pPr>
            <w:r>
              <w:rPr>
                <w:b/>
                <w:sz w:val="20"/>
              </w:rPr>
              <w:t>Option</w:t>
            </w:r>
          </w:p>
        </w:tc>
        <w:tc>
          <w:tcPr>
            <w:tcW w:type="dxa" w:w="1449"/>
            <w:shd w:val="clear" w:color="auto" w:fill="E6ECF4"/>
          </w:tcPr>
          <w:p>
            <w:pPr>
              <w:spacing w:before="0" w:after="0"/>
            </w:pPr>
            <w:r>
              <w:rPr>
                <w:b/>
                <w:sz w:val="20"/>
              </w:rPr>
              <w:t>In the reference answer?</w:t>
            </w:r>
          </w:p>
        </w:tc>
        <w:tc>
          <w:tcPr>
            <w:tcW w:type="dxa" w:w="4235"/>
            <w:shd w:val="clear" w:color="auto" w:fill="E6ECF4"/>
          </w:tcPr>
          <w:p>
            <w:pPr>
              <w:spacing w:before="0" w:after="0"/>
            </w:pPr>
            <w:r>
              <w:rPr>
                <w:b/>
                <w:sz w:val="20"/>
              </w:rPr>
              <w:t>Why</w:t>
            </w:r>
          </w:p>
        </w:tc>
      </w:tr>
      <w:tr>
        <w:trPr>
          <w:cantSplit/>
        </w:trPr>
        <w:tc>
          <w:tcPr>
            <w:tcW w:type="dxa" w:w="3954"/>
          </w:tcPr>
          <w:p>
            <w:pPr>
              <w:spacing w:before="0" w:after="0"/>
            </w:pPr>
            <w:r>
              <w:rPr>
                <w:sz w:val="20"/>
              </w:rPr>
              <w:t>Accessibility criteria in every design brief</w:t>
            </w:r>
          </w:p>
        </w:tc>
        <w:tc>
          <w:tcPr>
            <w:tcW w:type="dxa" w:w="1449"/>
          </w:tcPr>
          <w:p>
            <w:pPr>
              <w:spacing w:before="0" w:after="0"/>
            </w:pPr>
            <w:r>
              <w:rPr>
                <w:sz w:val="20"/>
              </w:rPr>
              <w:t>Yes</w:t>
            </w:r>
          </w:p>
        </w:tc>
        <w:tc>
          <w:tcPr>
            <w:tcW w:type="dxa" w:w="4235"/>
          </w:tcPr>
          <w:p>
            <w:pPr>
              <w:spacing w:before="0" w:after="0"/>
            </w:pPr>
            <w:r>
              <w:rPr>
                <w:sz w:val="20"/>
              </w:rPr>
              <w:t>Early: the barrier is stopped before it is designed.</w:t>
            </w:r>
          </w:p>
        </w:tc>
      </w:tr>
      <w:tr>
        <w:trPr>
          <w:cantSplit/>
        </w:trPr>
        <w:tc>
          <w:tcPr>
            <w:tcW w:type="dxa" w:w="3954"/>
          </w:tcPr>
          <w:p>
            <w:pPr>
              <w:spacing w:before="0" w:after="0"/>
            </w:pPr>
            <w:r>
              <w:rPr>
                <w:sz w:val="20"/>
              </w:rPr>
              <w:t>A check at every design review</w:t>
            </w:r>
          </w:p>
        </w:tc>
        <w:tc>
          <w:tcPr>
            <w:tcW w:type="dxa" w:w="1449"/>
          </w:tcPr>
          <w:p>
            <w:pPr>
              <w:spacing w:before="0" w:after="0"/>
            </w:pPr>
            <w:r>
              <w:rPr>
                <w:sz w:val="20"/>
              </w:rPr>
              <w:t>Yes</w:t>
            </w:r>
          </w:p>
        </w:tc>
        <w:tc>
          <w:tcPr>
            <w:tcW w:type="dxa" w:w="4235"/>
          </w:tcPr>
          <w:p>
            <w:pPr>
              <w:spacing w:before="0" w:after="0"/>
            </w:pPr>
            <w:r>
              <w:rPr>
                <w:sz w:val="20"/>
              </w:rPr>
              <w:t>A quality gate that does not depend on one person.</w:t>
            </w:r>
          </w:p>
        </w:tc>
      </w:tr>
      <w:tr>
        <w:trPr>
          <w:cantSplit/>
        </w:trPr>
        <w:tc>
          <w:tcPr>
            <w:tcW w:type="dxa" w:w="3954"/>
          </w:tcPr>
          <w:p>
            <w:pPr>
              <w:spacing w:before="0" w:after="0"/>
            </w:pPr>
            <w:r>
              <w:rPr>
                <w:sz w:val="20"/>
              </w:rPr>
              <w:t>A keyboard and screen-reader test before every release</w:t>
            </w:r>
          </w:p>
        </w:tc>
        <w:tc>
          <w:tcPr>
            <w:tcW w:type="dxa" w:w="1449"/>
          </w:tcPr>
          <w:p>
            <w:pPr>
              <w:spacing w:before="0" w:after="0"/>
            </w:pPr>
            <w:r>
              <w:rPr>
                <w:sz w:val="20"/>
              </w:rPr>
              <w:t>Yes</w:t>
            </w:r>
          </w:p>
        </w:tc>
        <w:tc>
          <w:tcPr>
            <w:tcW w:type="dxa" w:w="4235"/>
          </w:tcPr>
          <w:p>
            <w:pPr>
              <w:spacing w:before="0" w:after="0"/>
            </w:pPr>
            <w:r>
              <w:rPr>
                <w:sz w:val="20"/>
              </w:rPr>
              <w:t>Catches what automated tools miss.</w:t>
            </w:r>
          </w:p>
        </w:tc>
      </w:tr>
      <w:tr>
        <w:trPr>
          <w:cantSplit/>
        </w:trPr>
        <w:tc>
          <w:tcPr>
            <w:tcW w:type="dxa" w:w="3954"/>
          </w:tcPr>
          <w:p>
            <w:pPr>
              <w:spacing w:before="0" w:after="0"/>
            </w:pPr>
            <w:r>
              <w:rPr>
                <w:sz w:val="20"/>
              </w:rPr>
              <w:t>Training for designers and content authors</w:t>
            </w:r>
          </w:p>
        </w:tc>
        <w:tc>
          <w:tcPr>
            <w:tcW w:type="dxa" w:w="1449"/>
          </w:tcPr>
          <w:p>
            <w:pPr>
              <w:spacing w:before="0" w:after="0"/>
            </w:pPr>
            <w:r>
              <w:rPr>
                <w:sz w:val="20"/>
              </w:rPr>
              <w:t>Yes</w:t>
            </w:r>
          </w:p>
        </w:tc>
        <w:tc>
          <w:tcPr>
            <w:tcW w:type="dxa" w:w="4235"/>
          </w:tcPr>
          <w:p>
            <w:pPr>
              <w:spacing w:before="0" w:after="0"/>
            </w:pPr>
            <w:r>
              <w:rPr>
                <w:sz w:val="20"/>
              </w:rPr>
              <w:t>People who make the content know the rules.</w:t>
            </w:r>
          </w:p>
        </w:tc>
      </w:tr>
      <w:tr>
        <w:trPr>
          <w:cantSplit/>
        </w:trPr>
        <w:tc>
          <w:tcPr>
            <w:tcW w:type="dxa" w:w="3954"/>
          </w:tcPr>
          <w:p>
            <w:pPr>
              <w:spacing w:before="0" w:after="0"/>
            </w:pPr>
            <w:r>
              <w:rPr>
                <w:sz w:val="20"/>
              </w:rPr>
              <w:t>Accessible components in the style guide</w:t>
            </w:r>
          </w:p>
        </w:tc>
        <w:tc>
          <w:tcPr>
            <w:tcW w:type="dxa" w:w="1449"/>
          </w:tcPr>
          <w:p>
            <w:pPr>
              <w:spacing w:before="0" w:after="0"/>
            </w:pPr>
            <w:r>
              <w:rPr>
                <w:sz w:val="20"/>
              </w:rPr>
              <w:t>Yes</w:t>
            </w:r>
          </w:p>
        </w:tc>
        <w:tc>
          <w:tcPr>
            <w:tcW w:type="dxa" w:w="4235"/>
          </w:tcPr>
          <w:p>
            <w:pPr>
              <w:spacing w:before="0" w:after="0"/>
            </w:pPr>
            <w:r>
              <w:rPr>
                <w:sz w:val="20"/>
              </w:rPr>
              <w:t>Every new page starts from accessible parts.</w:t>
            </w:r>
          </w:p>
        </w:tc>
      </w:tr>
      <w:tr>
        <w:trPr>
          <w:cantSplit/>
        </w:trPr>
        <w:tc>
          <w:tcPr>
            <w:tcW w:type="dxa" w:w="3954"/>
          </w:tcPr>
          <w:p>
            <w:pPr>
              <w:spacing w:before="0" w:after="0"/>
            </w:pPr>
            <w:r>
              <w:rPr>
                <w:sz w:val="20"/>
              </w:rPr>
              <w:t>A test only before the launch of a big change</w:t>
            </w:r>
          </w:p>
        </w:tc>
        <w:tc>
          <w:tcPr>
            <w:tcW w:type="dxa" w:w="1449"/>
          </w:tcPr>
          <w:p>
            <w:pPr>
              <w:spacing w:before="0" w:after="0"/>
            </w:pPr>
            <w:r>
              <w:rPr>
                <w:sz w:val="20"/>
              </w:rPr>
              <w:t>No</w:t>
            </w:r>
          </w:p>
        </w:tc>
        <w:tc>
          <w:tcPr>
            <w:tcW w:type="dxa" w:w="4235"/>
          </w:tcPr>
          <w:p>
            <w:pPr>
              <w:spacing w:before="0" w:after="0"/>
            </w:pPr>
            <w:r>
              <w:rPr>
                <w:sz w:val="20"/>
              </w:rPr>
              <w:t>Rejected: too late and too rare.</w:t>
            </w:r>
          </w:p>
        </w:tc>
      </w:tr>
      <w:tr>
        <w:trPr>
          <w:cantSplit/>
        </w:trPr>
        <w:tc>
          <w:tcPr>
            <w:tcW w:type="dxa" w:w="3954"/>
          </w:tcPr>
          <w:p>
            <w:pPr>
              <w:spacing w:before="0" w:after="0"/>
            </w:pPr>
            <w:r>
              <w:rPr>
                <w:sz w:val="20"/>
              </w:rPr>
              <w:t>An overlay plug-in as the fix</w:t>
            </w:r>
          </w:p>
        </w:tc>
        <w:tc>
          <w:tcPr>
            <w:tcW w:type="dxa" w:w="1449"/>
          </w:tcPr>
          <w:p>
            <w:pPr>
              <w:spacing w:before="0" w:after="0"/>
            </w:pPr>
            <w:r>
              <w:rPr>
                <w:sz w:val="20"/>
              </w:rPr>
              <w:t>No</w:t>
            </w:r>
          </w:p>
        </w:tc>
        <w:tc>
          <w:tcPr>
            <w:tcW w:type="dxa" w:w="4235"/>
          </w:tcPr>
          <w:p>
            <w:pPr>
              <w:spacing w:before="0" w:after="0"/>
            </w:pPr>
            <w:r>
              <w:rPr>
                <w:sz w:val="20"/>
              </w:rPr>
              <w:t>Rejected: does not remove the barriers underneath.</w:t>
            </w:r>
          </w:p>
        </w:tc>
      </w:tr>
      <w:tr>
        <w:trPr>
          <w:cantSplit/>
        </w:trPr>
        <w:tc>
          <w:tcPr>
            <w:tcW w:type="dxa" w:w="3954"/>
          </w:tcPr>
          <w:p>
            <w:pPr>
              <w:spacing w:before="0" w:after="0"/>
            </w:pPr>
            <w:r>
              <w:rPr>
                <w:sz w:val="20"/>
              </w:rPr>
              <w:t>A separate team that fixes problems afterwards</w:t>
            </w:r>
          </w:p>
        </w:tc>
        <w:tc>
          <w:tcPr>
            <w:tcW w:type="dxa" w:w="1449"/>
          </w:tcPr>
          <w:p>
            <w:pPr>
              <w:spacing w:before="0" w:after="0"/>
            </w:pPr>
            <w:r>
              <w:rPr>
                <w:sz w:val="20"/>
              </w:rPr>
              <w:t>No</w:t>
            </w:r>
          </w:p>
        </w:tc>
        <w:tc>
          <w:tcPr>
            <w:tcW w:type="dxa" w:w="4235"/>
          </w:tcPr>
          <w:p>
            <w:pPr>
              <w:spacing w:before="0" w:after="0"/>
            </w:pPr>
            <w:r>
              <w:rPr>
                <w:sz w:val="20"/>
              </w:rPr>
              <w:t>Rejected: late, costly, and teams keep creating new barriers.</w:t>
            </w:r>
          </w:p>
        </w:tc>
      </w:tr>
      <w:tr>
        <w:trPr>
          <w:cantSplit/>
        </w:trPr>
        <w:tc>
          <w:tcPr>
            <w:tcW w:type="dxa" w:w="3954"/>
          </w:tcPr>
          <w:p>
            <w:pPr>
              <w:spacing w:before="0" w:after="0"/>
            </w:pPr>
            <w:r>
              <w:rPr>
                <w:sz w:val="20"/>
              </w:rPr>
              <w:t>Automated tests only</w:t>
            </w:r>
          </w:p>
        </w:tc>
        <w:tc>
          <w:tcPr>
            <w:tcW w:type="dxa" w:w="1449"/>
          </w:tcPr>
          <w:p>
            <w:pPr>
              <w:spacing w:before="0" w:after="0"/>
            </w:pPr>
            <w:r>
              <w:rPr>
                <w:sz w:val="20"/>
              </w:rPr>
              <w:t>No</w:t>
            </w:r>
          </w:p>
        </w:tc>
        <w:tc>
          <w:tcPr>
            <w:tcW w:type="dxa" w:w="4235"/>
          </w:tcPr>
          <w:p>
            <w:pPr>
              <w:spacing w:before="0" w:after="0"/>
            </w:pPr>
            <w:r>
              <w:rPr>
                <w:sz w:val="20"/>
              </w:rPr>
              <w:t>Rejected: automated tools find only a part of the barriers.</w:t>
            </w:r>
          </w:p>
        </w:tc>
      </w:tr>
    </w:tbl>
    <w:p>
      <w:pPr>
        <w:spacing w:before="0" w:after="80"/>
      </w:pPr>
    </w:p>
    <w:p>
      <w:pPr>
        <w:spacing w:before="0" w:after="100"/>
      </w:pPr>
      <w:r>
        <w:rPr>
          <w:i/>
        </w:rPr>
        <w:t>Trainer note.</w:t>
      </w:r>
      <w:r>
        <w:rPr/>
        <w:t xml:space="preserve"> At least three; any three of the five reference steps defend if each stops barriers early and does not depend on one person. The rejected ones are late, narrow or do not remove the barrier. Plan: item 3, integration into UX processes.</w:t>
      </w:r>
    </w:p>
    <w:p>
      <w:pPr>
        <w:pStyle w:val="Heading3"/>
      </w:pPr>
      <w:r>
        <w:rPr/>
        <w:t>Reference: The evaluation indicators</w:t>
      </w:r>
    </w:p>
    <w:p>
      <w:pPr>
        <w:spacing w:before="0" w:after="100"/>
      </w:pPr>
      <w:r>
        <w:rPr>
          <w:b/>
        </w:rPr>
        <w:t>Reference answer.</w:t>
      </w:r>
      <w:r>
        <w:rPr/>
        <w:t xml:space="preserve"> Measure automatically: items 1, 2 · Test with users: items 3, 4 · Report to management: items 5, 6 · Does not show accessibility: items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11"/>
        <w:gridCol w:w="5227"/>
      </w:tblGrid>
      <w:tr>
        <w:trPr>
          <w:cantSplit/>
          <w:tblHeader/>
        </w:trPr>
        <w:tc>
          <w:tcPr>
            <w:tcW w:type="dxa" w:w="4411"/>
            <w:shd w:val="clear" w:color="auto" w:fill="E6ECF4"/>
          </w:tcPr>
          <w:p>
            <w:pPr>
              <w:spacing w:before="0" w:after="0"/>
            </w:pPr>
            <w:r>
              <w:rPr>
                <w:b/>
                <w:sz w:val="20"/>
              </w:rPr>
              <w:t>Item</w:t>
            </w:r>
          </w:p>
        </w:tc>
        <w:tc>
          <w:tcPr>
            <w:tcW w:type="dxa" w:w="5227"/>
            <w:shd w:val="clear" w:color="auto" w:fill="E6ECF4"/>
          </w:tcPr>
          <w:p>
            <w:pPr>
              <w:spacing w:before="0" w:after="0"/>
            </w:pPr>
            <w:r>
              <w:rPr>
                <w:b/>
                <w:sz w:val="20"/>
              </w:rPr>
              <w:t>Reference reading</w:t>
            </w:r>
          </w:p>
        </w:tc>
      </w:tr>
      <w:tr>
        <w:trPr>
          <w:cantSplit/>
        </w:trPr>
        <w:tc>
          <w:tcPr>
            <w:tcW w:type="dxa" w:w="4411"/>
          </w:tcPr>
          <w:p>
            <w:pPr>
              <w:spacing w:before="0" w:after="0"/>
            </w:pPr>
            <w:r>
              <w:rPr>
                <w:sz w:val="20"/>
              </w:rPr>
              <w:t>1 · The share of pages that pass the contrast check</w:t>
            </w:r>
          </w:p>
        </w:tc>
        <w:tc>
          <w:tcPr>
            <w:tcW w:type="dxa" w:w="5227"/>
          </w:tcPr>
          <w:p>
            <w:pPr>
              <w:spacing w:before="0" w:after="0"/>
            </w:pPr>
            <w:r>
              <w:rPr>
                <w:sz w:val="20"/>
              </w:rPr>
              <w:t>Measure automatically. A tool can count it.</w:t>
            </w:r>
          </w:p>
        </w:tc>
      </w:tr>
      <w:tr>
        <w:trPr>
          <w:cantSplit/>
        </w:trPr>
        <w:tc>
          <w:tcPr>
            <w:tcW w:type="dxa" w:w="4411"/>
          </w:tcPr>
          <w:p>
            <w:pPr>
              <w:spacing w:before="0" w:after="0"/>
            </w:pPr>
            <w:r>
              <w:rPr>
                <w:sz w:val="20"/>
              </w:rPr>
              <w:t>2 · The share of images with a text alternative</w:t>
            </w:r>
          </w:p>
        </w:tc>
        <w:tc>
          <w:tcPr>
            <w:tcW w:type="dxa" w:w="5227"/>
          </w:tcPr>
          <w:p>
            <w:pPr>
              <w:spacing w:before="0" w:after="0"/>
            </w:pPr>
            <w:r>
              <w:rPr>
                <w:sz w:val="20"/>
              </w:rPr>
              <w:t>Measure automatically. A tool can count it; whether the text is useful needs a person.</w:t>
            </w:r>
          </w:p>
        </w:tc>
      </w:tr>
      <w:tr>
        <w:trPr>
          <w:cantSplit/>
        </w:trPr>
        <w:tc>
          <w:tcPr>
            <w:tcW w:type="dxa" w:w="4411"/>
          </w:tcPr>
          <w:p>
            <w:pPr>
              <w:spacing w:before="0" w:after="0"/>
            </w:pPr>
            <w:r>
              <w:rPr>
                <w:sz w:val="20"/>
              </w:rPr>
              <w:t>3 · Can a keyboard-only user finish a lesson?</w:t>
            </w:r>
          </w:p>
        </w:tc>
        <w:tc>
          <w:tcPr>
            <w:tcW w:type="dxa" w:w="5227"/>
          </w:tcPr>
          <w:p>
            <w:pPr>
              <w:spacing w:before="0" w:after="0"/>
            </w:pPr>
            <w:r>
              <w:rPr>
                <w:sz w:val="20"/>
              </w:rPr>
              <w:t>Test with users. Only a person trying it can tell.</w:t>
            </w:r>
          </w:p>
        </w:tc>
      </w:tr>
      <w:tr>
        <w:trPr>
          <w:cantSplit/>
        </w:trPr>
        <w:tc>
          <w:tcPr>
            <w:tcW w:type="dxa" w:w="4411"/>
          </w:tcPr>
          <w:p>
            <w:pPr>
              <w:spacing w:before="0" w:after="0"/>
            </w:pPr>
            <w:r>
              <w:rPr>
                <w:sz w:val="20"/>
              </w:rPr>
              <w:t>4 · How long a screen-reader user needs to find lesson 3</w:t>
            </w:r>
          </w:p>
        </w:tc>
        <w:tc>
          <w:tcPr>
            <w:tcW w:type="dxa" w:w="5227"/>
          </w:tcPr>
          <w:p>
            <w:pPr>
              <w:spacing w:before="0" w:after="0"/>
            </w:pPr>
            <w:r>
              <w:rPr>
                <w:sz w:val="20"/>
              </w:rPr>
              <w:t>Test with users. A task test with a real user.</w:t>
            </w:r>
          </w:p>
        </w:tc>
      </w:tr>
      <w:tr>
        <w:trPr>
          <w:cantSplit/>
        </w:trPr>
        <w:tc>
          <w:tcPr>
            <w:tcW w:type="dxa" w:w="4411"/>
          </w:tcPr>
          <w:p>
            <w:pPr>
              <w:spacing w:before="0" w:after="0"/>
            </w:pPr>
            <w:r>
              <w:rPr>
                <w:sz w:val="20"/>
              </w:rPr>
              <w:t>5 · Accessibility complaints per month</w:t>
            </w:r>
          </w:p>
        </w:tc>
        <w:tc>
          <w:tcPr>
            <w:tcW w:type="dxa" w:w="5227"/>
          </w:tcPr>
          <w:p>
            <w:pPr>
              <w:spacing w:before="0" w:after="0"/>
            </w:pPr>
            <w:r>
              <w:rPr>
                <w:sz w:val="20"/>
              </w:rPr>
              <w:t>Report to management. A figure management reads; open item: it also shows where to test.</w:t>
            </w:r>
          </w:p>
        </w:tc>
      </w:tr>
      <w:tr>
        <w:trPr>
          <w:cantSplit/>
        </w:trPr>
        <w:tc>
          <w:tcPr>
            <w:tcW w:type="dxa" w:w="4411"/>
          </w:tcPr>
          <w:p>
            <w:pPr>
              <w:spacing w:before="0" w:after="0"/>
            </w:pPr>
            <w:r>
              <w:rPr>
                <w:sz w:val="20"/>
              </w:rPr>
              <w:t>6 · Open barriers by severity, reported each quarter</w:t>
            </w:r>
          </w:p>
        </w:tc>
        <w:tc>
          <w:tcPr>
            <w:tcW w:type="dxa" w:w="5227"/>
          </w:tcPr>
          <w:p>
            <w:pPr>
              <w:spacing w:before="0" w:after="0"/>
            </w:pPr>
            <w:r>
              <w:rPr>
                <w:sz w:val="20"/>
              </w:rPr>
              <w:t>Report to management. The progress view for management.</w:t>
            </w:r>
          </w:p>
        </w:tc>
      </w:tr>
      <w:tr>
        <w:trPr>
          <w:cantSplit/>
        </w:trPr>
        <w:tc>
          <w:tcPr>
            <w:tcW w:type="dxa" w:w="4411"/>
          </w:tcPr>
          <w:p>
            <w:pPr>
              <w:spacing w:before="0" w:after="0"/>
            </w:pPr>
            <w:r>
              <w:rPr>
                <w:sz w:val="20"/>
              </w:rPr>
              <w:t>7 · The number of pages on the platform</w:t>
            </w:r>
          </w:p>
        </w:tc>
        <w:tc>
          <w:tcPr>
            <w:tcW w:type="dxa" w:w="5227"/>
          </w:tcPr>
          <w:p>
            <w:pPr>
              <w:spacing w:before="0" w:after="0"/>
            </w:pPr>
            <w:r>
              <w:rPr>
                <w:sz w:val="20"/>
              </w:rPr>
              <w:t>Does not show accessibility. Says nothing about accessibility.</w:t>
            </w:r>
          </w:p>
        </w:tc>
      </w:tr>
      <w:tr>
        <w:trPr>
          <w:cantSplit/>
        </w:trPr>
        <w:tc>
          <w:tcPr>
            <w:tcW w:type="dxa" w:w="4411"/>
          </w:tcPr>
          <w:p>
            <w:pPr>
              <w:spacing w:before="0" w:after="0"/>
            </w:pPr>
            <w:r>
              <w:rPr>
                <w:sz w:val="20"/>
              </w:rPr>
              <w:t>8 · A published statement that the platform “is accessible”</w:t>
            </w:r>
          </w:p>
        </w:tc>
        <w:tc>
          <w:tcPr>
            <w:tcW w:type="dxa" w:w="5227"/>
          </w:tcPr>
          <w:p>
            <w:pPr>
              <w:spacing w:before="0" w:after="0"/>
            </w:pPr>
            <w:r>
              <w:rPr>
                <w:sz w:val="20"/>
              </w:rPr>
              <w:t>Does not show accessibility. A claim, not a measurement.</w:t>
            </w:r>
          </w:p>
        </w:tc>
      </w:tr>
    </w:tbl>
    <w:p>
      <w:pPr>
        <w:spacing w:before="0" w:after="80"/>
      </w:pPr>
    </w:p>
    <w:p>
      <w:pPr>
        <w:spacing w:before="0" w:after="100"/>
      </w:pPr>
      <w:r>
        <w:rPr>
          <w:i/>
        </w:rPr>
        <w:t>Trainer note.</w:t>
      </w:r>
      <w:r>
        <w:rPr/>
        <w:t xml:space="preserve"> There is no single right grid. Item 5 is the open one (report or test). Items 7 and 8 do not show accessibility. Each bin must be used at least once. A good approach mixes automatic counts, tests with users and a figure for management. Plan: item 4, evaluation approach (measurability).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strategy, and not the others?</w:t>
            </w:r>
          </w:p>
          <w:p>
            <w:pPr>
              <w:spacing w:before="0" w:after="100"/>
            </w:pPr>
            <w:r>
              <w:rPr>
                <w:b/>
              </w:rPr>
              <w:t>Model answer (an example).</w:t>
            </w:r>
            <w:r>
              <w:rPr/>
              <w:t xml:space="preserve"> I implement WCAG step by step, starting with the most-used courses: the budget is limited, so fixing everything at once is not possible, and the most-used courses reach the most learners soonest. I then build accessibility into the process so that new content does not bring new barriers, because WCAG is the minimum and not the goal.</w:t>
            </w:r>
          </w:p>
          <w:p>
            <w:pPr>
              <w:spacing w:before="0" w:after="100"/>
            </w:pPr>
            <w:r>
              <w:rPr>
                <w:b/>
              </w:rPr>
              <w:t>Why.</w:t>
            </w:r>
            <w:r>
              <w:rPr/>
              <w:t xml:space="preserve"> The reason must rest on reach, cost and risk, and on WCAG as a minimum, not only on what the law demands (Materi B1).</w:t>
            </w:r>
          </w:p>
          <w:p>
            <w:pPr>
              <w:spacing w:before="0" w:after="100"/>
            </w:pPr>
            <w:r>
              <w:rPr>
                <w:b/>
              </w:rPr>
              <w:t>Look for.</w:t>
            </w:r>
          </w:p>
          <w:p>
            <w:pPr>
              <w:pStyle w:val="ListBullet"/>
              <w:spacing w:before="0" w:after="40"/>
            </w:pPr>
            <w:r>
              <w:rPr/>
              <w:t>Gives a reason about reach, cost or risk.</w:t>
            </w:r>
          </w:p>
          <w:p>
            <w:pPr>
              <w:pStyle w:val="ListBullet"/>
              <w:spacing w:before="0" w:after="40"/>
            </w:pPr>
            <w:r>
              <w:rPr/>
              <w:t>Treats WCAG as a minimum.</w:t>
            </w:r>
          </w:p>
          <w:p>
            <w:pPr>
              <w:pStyle w:val="ListBullet"/>
              <w:spacing w:before="0" w:after="100"/>
            </w:pPr>
            <w:r>
              <w:rPr/>
              <w:t>Says what comes after the first step.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Which measure has the greatest reach, and who else gains?</w:t>
            </w:r>
          </w:p>
          <w:p>
            <w:pPr>
              <w:spacing w:before="0" w:after="100"/>
            </w:pPr>
            <w:r>
              <w:rPr>
                <w:b/>
              </w:rPr>
              <w:t>Model answer (an example).</w:t>
            </w:r>
            <w:r>
              <w:rPr/>
              <w:t xml:space="preserve"> A keyboard-operable menu and clear structure reach the most learners: keyboard-only and screen-reader users, and learners who find structure hard. Everyone else gains too: a learner on a phone, in a hurry, or with a broken mouse also finds courses faster, which shows that inclusion improves UX for all.</w:t>
            </w:r>
          </w:p>
          <w:p>
            <w:pPr>
              <w:spacing w:before="0" w:after="100"/>
            </w:pPr>
            <w:r>
              <w:rPr>
                <w:b/>
              </w:rPr>
              <w:t>Why.</w:t>
            </w:r>
            <w:r>
              <w:rPr/>
              <w:t xml:space="preserve"> The plan's Level 3 input asks for the measure with the greatest reach; inclusion improves UX for all (Materi B1).</w:t>
            </w:r>
          </w:p>
          <w:p>
            <w:pPr>
              <w:spacing w:before="0" w:after="100"/>
            </w:pPr>
            <w:r>
              <w:rPr>
                <w:b/>
              </w:rPr>
              <w:t>Look for.</w:t>
            </w:r>
          </w:p>
          <w:p>
            <w:pPr>
              <w:pStyle w:val="ListBullet"/>
              <w:spacing w:before="0" w:after="40"/>
            </w:pPr>
            <w:r>
              <w:rPr/>
              <w:t>Names the measure.</w:t>
            </w:r>
          </w:p>
          <w:p>
            <w:pPr>
              <w:pStyle w:val="ListBullet"/>
              <w:spacing w:before="0" w:after="40"/>
            </w:pPr>
            <w:r>
              <w:rPr/>
              <w:t>Names the groups it reaches.</w:t>
            </w:r>
          </w:p>
          <w:p>
            <w:pPr>
              <w:pStyle w:val="ListBullet"/>
              <w:spacing w:before="0" w:after="100"/>
            </w:pPr>
            <w:r>
              <w:rPr/>
              <w:t>Names a group beyond people with impairments.</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WCAG 2.2 AA on the most-used courses · D2 Accessibility built into the UX process · D3 Measurement: automated checks and quarterly user tests. Total €140,000 of €180,000; the longest takes 20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42"/>
        <w:gridCol w:w="1358"/>
        <w:gridCol w:w="4438"/>
      </w:tblGrid>
      <w:tr>
        <w:trPr>
          <w:cantSplit/>
          <w:tblHeader/>
        </w:trPr>
        <w:tc>
          <w:tcPr>
            <w:tcW w:type="dxa" w:w="3842"/>
            <w:shd w:val="clear" w:color="auto" w:fill="E6ECF4"/>
          </w:tcPr>
          <w:p>
            <w:pPr>
              <w:spacing w:before="0" w:after="0"/>
            </w:pPr>
            <w:r>
              <w:rPr>
                <w:b/>
                <w:sz w:val="20"/>
              </w:rPr>
              <w:t>Option</w:t>
            </w:r>
          </w:p>
        </w:tc>
        <w:tc>
          <w:tcPr>
            <w:tcW w:type="dxa" w:w="1358"/>
            <w:shd w:val="clear" w:color="auto" w:fill="E6ECF4"/>
          </w:tcPr>
          <w:p>
            <w:pPr>
              <w:spacing w:before="0" w:after="0"/>
            </w:pPr>
            <w:r>
              <w:rPr>
                <w:b/>
                <w:sz w:val="20"/>
              </w:rPr>
              <w:t>In the reference answer?</w:t>
            </w:r>
          </w:p>
        </w:tc>
        <w:tc>
          <w:tcPr>
            <w:tcW w:type="dxa" w:w="4438"/>
            <w:shd w:val="clear" w:color="auto" w:fill="E6ECF4"/>
          </w:tcPr>
          <w:p>
            <w:pPr>
              <w:spacing w:before="0" w:after="0"/>
            </w:pPr>
            <w:r>
              <w:rPr>
                <w:b/>
                <w:sz w:val="20"/>
              </w:rPr>
              <w:t>Why</w:t>
            </w:r>
          </w:p>
        </w:tc>
      </w:tr>
      <w:tr>
        <w:trPr>
          <w:cantSplit/>
        </w:trPr>
        <w:tc>
          <w:tcPr>
            <w:tcW w:type="dxa" w:w="3842"/>
          </w:tcPr>
          <w:p>
            <w:pPr>
              <w:spacing w:before="0" w:after="0"/>
            </w:pPr>
            <w:r>
              <w:rPr>
                <w:sz w:val="20"/>
              </w:rPr>
              <w:t>D1 · WCAG 2.2 AA on the most-used courses (€70,000, 20 weeks)</w:t>
            </w:r>
          </w:p>
        </w:tc>
        <w:tc>
          <w:tcPr>
            <w:tcW w:type="dxa" w:w="1358"/>
          </w:tcPr>
          <w:p>
            <w:pPr>
              <w:spacing w:before="0" w:after="0"/>
            </w:pPr>
            <w:r>
              <w:rPr>
                <w:sz w:val="20"/>
              </w:rPr>
              <w:t>Yes</w:t>
            </w:r>
          </w:p>
        </w:tc>
        <w:tc>
          <w:tcPr>
            <w:tcW w:type="dxa" w:w="4438"/>
          </w:tcPr>
          <w:p>
            <w:pPr>
              <w:spacing w:before="0" w:after="0"/>
            </w:pPr>
            <w:r>
              <w:rPr>
                <w:sz w:val="20"/>
              </w:rPr>
              <w:t>Reference pick: removes the barriers where most learners meet them. Position 1.</w:t>
            </w:r>
          </w:p>
        </w:tc>
      </w:tr>
      <w:tr>
        <w:trPr>
          <w:cantSplit/>
        </w:trPr>
        <w:tc>
          <w:tcPr>
            <w:tcW w:type="dxa" w:w="3842"/>
          </w:tcPr>
          <w:p>
            <w:pPr>
              <w:spacing w:before="0" w:after="0"/>
            </w:pPr>
            <w:r>
              <w:rPr>
                <w:sz w:val="20"/>
              </w:rPr>
              <w:t>D2 · Accessibility built into the UX process (€40,000, 12 weeks)</w:t>
            </w:r>
          </w:p>
        </w:tc>
        <w:tc>
          <w:tcPr>
            <w:tcW w:type="dxa" w:w="1358"/>
          </w:tcPr>
          <w:p>
            <w:pPr>
              <w:spacing w:before="0" w:after="0"/>
            </w:pPr>
            <w:r>
              <w:rPr>
                <w:sz w:val="20"/>
              </w:rPr>
              <w:t>Yes</w:t>
            </w:r>
          </w:p>
        </w:tc>
        <w:tc>
          <w:tcPr>
            <w:tcW w:type="dxa" w:w="4438"/>
          </w:tcPr>
          <w:p>
            <w:pPr>
              <w:spacing w:before="0" w:after="0"/>
            </w:pPr>
            <w:r>
              <w:rPr>
                <w:sz w:val="20"/>
              </w:rPr>
              <w:t>Reference pick: stops new barriers from appearing, cheaply, early. Position 2.</w:t>
            </w:r>
          </w:p>
        </w:tc>
      </w:tr>
      <w:tr>
        <w:trPr>
          <w:cantSplit/>
        </w:trPr>
        <w:tc>
          <w:tcPr>
            <w:tcW w:type="dxa" w:w="3842"/>
          </w:tcPr>
          <w:p>
            <w:pPr>
              <w:spacing w:before="0" w:after="0"/>
            </w:pPr>
            <w:r>
              <w:rPr>
                <w:sz w:val="20"/>
              </w:rPr>
              <w:t>D3 · Measurement: automated checks and quarterly user tests (€30,000, 10 weeks)</w:t>
            </w:r>
          </w:p>
        </w:tc>
        <w:tc>
          <w:tcPr>
            <w:tcW w:type="dxa" w:w="1358"/>
          </w:tcPr>
          <w:p>
            <w:pPr>
              <w:spacing w:before="0" w:after="0"/>
            </w:pPr>
            <w:r>
              <w:rPr>
                <w:sz w:val="20"/>
              </w:rPr>
              <w:t>Yes</w:t>
            </w:r>
          </w:p>
        </w:tc>
        <w:tc>
          <w:tcPr>
            <w:tcW w:type="dxa" w:w="4438"/>
          </w:tcPr>
          <w:p>
            <w:pPr>
              <w:spacing w:before="0" w:after="0"/>
            </w:pPr>
            <w:r>
              <w:rPr>
                <w:sz w:val="20"/>
              </w:rPr>
              <w:t>Reference pick: makes progress visible to management. Position 3.</w:t>
            </w:r>
          </w:p>
        </w:tc>
      </w:tr>
      <w:tr>
        <w:trPr>
          <w:cantSplit/>
        </w:trPr>
        <w:tc>
          <w:tcPr>
            <w:tcW w:type="dxa" w:w="3842"/>
          </w:tcPr>
          <w:p>
            <w:pPr>
              <w:spacing w:before="0" w:after="0"/>
            </w:pPr>
            <w:r>
              <w:rPr>
                <w:sz w:val="20"/>
              </w:rPr>
              <w:t>D4 · Training for designers and authors (€20,000, 8 weeks)</w:t>
            </w:r>
          </w:p>
        </w:tc>
        <w:tc>
          <w:tcPr>
            <w:tcW w:type="dxa" w:w="1358"/>
          </w:tcPr>
          <w:p>
            <w:pPr>
              <w:spacing w:before="0" w:after="0"/>
            </w:pPr>
            <w:r>
              <w:rPr>
                <w:sz w:val="20"/>
              </w:rPr>
              <w:t>No</w:t>
            </w:r>
          </w:p>
        </w:tc>
        <w:tc>
          <w:tcPr>
            <w:tcW w:type="dxa" w:w="4438"/>
          </w:tcPr>
          <w:p>
            <w:pPr>
              <w:spacing w:before="0" w:after="0"/>
            </w:pPr>
            <w:r>
              <w:rPr>
                <w:sz w:val="20"/>
              </w:rPr>
              <w:t>Defends in place of D3: builds skills so fewer barriers are made, though progress is harder to show.</w:t>
            </w:r>
          </w:p>
        </w:tc>
      </w:tr>
      <w:tr>
        <w:trPr>
          <w:cantSplit/>
        </w:trPr>
        <w:tc>
          <w:tcPr>
            <w:tcW w:type="dxa" w:w="3842"/>
          </w:tcPr>
          <w:p>
            <w:pPr>
              <w:spacing w:before="0" w:after="0"/>
            </w:pPr>
            <w:r>
              <w:rPr>
                <w:sz w:val="20"/>
              </w:rPr>
              <w:t>D5 · An accessibility overlay (€15,000, 4 weeks)</w:t>
            </w:r>
          </w:p>
        </w:tc>
        <w:tc>
          <w:tcPr>
            <w:tcW w:type="dxa" w:w="1358"/>
          </w:tcPr>
          <w:p>
            <w:pPr>
              <w:spacing w:before="0" w:after="0"/>
            </w:pPr>
            <w:r>
              <w:rPr>
                <w:sz w:val="20"/>
              </w:rPr>
              <w:t>No</w:t>
            </w:r>
          </w:p>
        </w:tc>
        <w:tc>
          <w:tcPr>
            <w:tcW w:type="dxa" w:w="4438"/>
          </w:tcPr>
          <w:p>
            <w:pPr>
              <w:spacing w:before="0" w:after="0"/>
            </w:pPr>
            <w:r>
              <w:rPr>
                <w:sz w:val="20"/>
              </w:rPr>
              <w:t>Rejected: does not remove the barriers underneath, and gives a false sense of safety.</w:t>
            </w:r>
          </w:p>
        </w:tc>
      </w:tr>
      <w:tr>
        <w:trPr>
          <w:cantSplit/>
        </w:trPr>
        <w:tc>
          <w:tcPr>
            <w:tcW w:type="dxa" w:w="3842"/>
          </w:tcPr>
          <w:p>
            <w:pPr>
              <w:spacing w:before="0" w:after="0"/>
            </w:pPr>
            <w:r>
              <w:rPr>
                <w:sz w:val="20"/>
              </w:rPr>
              <w:t>D6 · A separate accessible version (€90,000, 24 weeks)</w:t>
            </w:r>
          </w:p>
        </w:tc>
        <w:tc>
          <w:tcPr>
            <w:tcW w:type="dxa" w:w="1358"/>
          </w:tcPr>
          <w:p>
            <w:pPr>
              <w:spacing w:before="0" w:after="0"/>
            </w:pPr>
            <w:r>
              <w:rPr>
                <w:sz w:val="20"/>
              </w:rPr>
              <w:t>No</w:t>
            </w:r>
          </w:p>
        </w:tc>
        <w:tc>
          <w:tcPr>
            <w:tcW w:type="dxa" w:w="4438"/>
          </w:tcPr>
          <w:p>
            <w:pPr>
              <w:spacing w:before="0" w:after="0"/>
            </w:pPr>
            <w:r>
              <w:rPr>
                <w:sz w:val="20"/>
              </w:rPr>
              <w:t>Rejected: separate is not inclusive, doubles the upkeep, and the cost is the highest.</w:t>
            </w:r>
          </w:p>
        </w:tc>
      </w:tr>
      <w:tr>
        <w:trPr>
          <w:cantSplit/>
        </w:trPr>
        <w:tc>
          <w:tcPr>
            <w:tcW w:type="dxa" w:w="3842"/>
          </w:tcPr>
          <w:p>
            <w:pPr>
              <w:spacing w:before="0" w:after="0"/>
            </w:pPr>
            <w:r>
              <w:rPr>
                <w:sz w:val="20"/>
              </w:rPr>
              <w:t>D7 · Fix only what complaints report (€25,000, 12 weeks)</w:t>
            </w:r>
          </w:p>
        </w:tc>
        <w:tc>
          <w:tcPr>
            <w:tcW w:type="dxa" w:w="1358"/>
          </w:tcPr>
          <w:p>
            <w:pPr>
              <w:spacing w:before="0" w:after="0"/>
            </w:pPr>
            <w:r>
              <w:rPr>
                <w:sz w:val="20"/>
              </w:rPr>
              <w:t>No</w:t>
            </w:r>
          </w:p>
        </w:tc>
        <w:tc>
          <w:tcPr>
            <w:tcW w:type="dxa" w:w="4438"/>
          </w:tcPr>
          <w:p>
            <w:pPr>
              <w:spacing w:before="0" w:after="0"/>
            </w:pPr>
            <w:r>
              <w:rPr>
                <w:sz w:val="20"/>
              </w:rPr>
              <w:t>Rejected: reactive; the risk stays, and learners who do not complain stay excluded.</w:t>
            </w:r>
          </w:p>
        </w:tc>
      </w:tr>
    </w:tbl>
    <w:p>
      <w:pPr>
        <w:spacing w:before="0" w:after="80"/>
      </w:pPr>
    </w:p>
    <w:p>
      <w:pPr>
        <w:spacing w:before="0" w:after="100"/>
      </w:pPr>
      <w:r>
        <w:rPr>
          <w:i/>
        </w:rPr>
        <w:t>Trainer note.</w:t>
      </w:r>
      <w:r>
        <w:rPr/>
        <w:t xml:space="preserve"> Reference order: D1, D2, D3 (€140,000 of €180,000, longest 20 weeks). D1 first because it removes existing barriers where most learners meet them. D2, D1, D3 also defends: process first, so that new content stays accessible while old content is fixed. D1, D2, D4 defends if the reason names skills.</w:t>
      </w:r>
    </w:p>
    <w:p>
      <w:pPr>
        <w:pStyle w:val="Heading3"/>
      </w:pPr>
      <w:r>
        <w:rPr/>
        <w:t>Reference: The biggest risk: costs against benefits</w:t>
      </w:r>
    </w:p>
    <w:p>
      <w:pPr>
        <w:spacing w:before="0" w:after="100"/>
      </w:pPr>
      <w:r>
        <w:rPr>
          <w:b/>
        </w:rPr>
        <w:t>Reference answer.</w:t>
      </w:r>
      <w:r>
        <w:rPr/>
        <w:t xml:space="preserve"> Non-compliance: we did too little, and a complaint led to legal action and lost customers.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93"/>
        <w:gridCol w:w="1316"/>
        <w:gridCol w:w="4529"/>
      </w:tblGrid>
      <w:tr>
        <w:trPr>
          <w:cantSplit/>
          <w:tblHeader/>
        </w:trPr>
        <w:tc>
          <w:tcPr>
            <w:tcW w:type="dxa" w:w="3793"/>
            <w:shd w:val="clear" w:color="auto" w:fill="E6ECF4"/>
          </w:tcPr>
          <w:p>
            <w:pPr>
              <w:spacing w:before="0" w:after="0"/>
            </w:pPr>
            <w:r>
              <w:rPr>
                <w:b/>
                <w:sz w:val="20"/>
              </w:rPr>
              <w:t>Option</w:t>
            </w:r>
          </w:p>
        </w:tc>
        <w:tc>
          <w:tcPr>
            <w:tcW w:type="dxa" w:w="1316"/>
            <w:shd w:val="clear" w:color="auto" w:fill="E6ECF4"/>
          </w:tcPr>
          <w:p>
            <w:pPr>
              <w:spacing w:before="0" w:after="0"/>
            </w:pPr>
            <w:r>
              <w:rPr>
                <w:b/>
                <w:sz w:val="20"/>
              </w:rPr>
              <w:t>In the reference answer?</w:t>
            </w:r>
          </w:p>
        </w:tc>
        <w:tc>
          <w:tcPr>
            <w:tcW w:type="dxa" w:w="4529"/>
            <w:shd w:val="clear" w:color="auto" w:fill="E6ECF4"/>
          </w:tcPr>
          <w:p>
            <w:pPr>
              <w:spacing w:before="0" w:after="0"/>
            </w:pPr>
            <w:r>
              <w:rPr>
                <w:b/>
                <w:sz w:val="20"/>
              </w:rPr>
              <w:t>Why</w:t>
            </w:r>
          </w:p>
        </w:tc>
      </w:tr>
      <w:tr>
        <w:trPr>
          <w:cantSplit/>
        </w:trPr>
        <w:tc>
          <w:tcPr>
            <w:tcW w:type="dxa" w:w="3793"/>
          </w:tcPr>
          <w:p>
            <w:pPr>
              <w:spacing w:before="0" w:after="0"/>
            </w:pPr>
            <w:r>
              <w:rPr>
                <w:sz w:val="20"/>
              </w:rPr>
              <w:t>Non-compliance: we did too little, and a complaint led to legal action and lost customers.</w:t>
            </w:r>
          </w:p>
        </w:tc>
        <w:tc>
          <w:tcPr>
            <w:tcW w:type="dxa" w:w="1316"/>
          </w:tcPr>
          <w:p>
            <w:pPr>
              <w:spacing w:before="0" w:after="0"/>
            </w:pPr>
            <w:r>
              <w:rPr>
                <w:sz w:val="20"/>
              </w:rPr>
              <w:t>Yes</w:t>
            </w:r>
          </w:p>
        </w:tc>
        <w:tc>
          <w:tcPr>
            <w:tcW w:type="dxa" w:w="4529"/>
          </w:tcPr>
          <w:p>
            <w:pPr>
              <w:spacing w:before="0" w:after="0"/>
            </w:pPr>
            <w:r>
              <w:rPr>
                <w:sz w:val="20"/>
              </w:rPr>
              <w:t>The non-implementation pole. Action: fix the most-used courses first and publish a dated plan; notice it in the complaint count.</w:t>
            </w:r>
          </w:p>
        </w:tc>
      </w:tr>
      <w:tr>
        <w:trPr>
          <w:cantSplit/>
        </w:trPr>
        <w:tc>
          <w:tcPr>
            <w:tcW w:type="dxa" w:w="3793"/>
          </w:tcPr>
          <w:p>
            <w:pPr>
              <w:spacing w:before="0" w:after="0"/>
            </w:pPr>
            <w:r>
              <w:rPr>
                <w:sz w:val="20"/>
              </w:rPr>
              <w:t>Cost overrun: retrofitting the old content cost far more than planned.</w:t>
            </w:r>
          </w:p>
        </w:tc>
        <w:tc>
          <w:tcPr>
            <w:tcW w:type="dxa" w:w="1316"/>
          </w:tcPr>
          <w:p>
            <w:pPr>
              <w:spacing w:before="0" w:after="0"/>
            </w:pPr>
            <w:r>
              <w:rPr>
                <w:sz w:val="20"/>
              </w:rPr>
              <w:t>No</w:t>
            </w:r>
          </w:p>
        </w:tc>
        <w:tc>
          <w:tcPr>
            <w:tcW w:type="dxa" w:w="4529"/>
          </w:tcPr>
          <w:p>
            <w:pPr>
              <w:spacing w:before="0" w:after="0"/>
            </w:pPr>
            <w:r>
              <w:rPr>
                <w:sz w:val="20"/>
              </w:rPr>
              <w:t>Action: fix the most-used content first and set a cap; notice it in cost per item after the first month.</w:t>
            </w:r>
          </w:p>
        </w:tc>
      </w:tr>
      <w:tr>
        <w:trPr>
          <w:cantSplit/>
        </w:trPr>
        <w:tc>
          <w:tcPr>
            <w:tcW w:type="dxa" w:w="3793"/>
          </w:tcPr>
          <w:p>
            <w:pPr>
              <w:spacing w:before="0" w:after="0"/>
            </w:pPr>
            <w:r>
              <w:rPr>
                <w:sz w:val="20"/>
              </w:rPr>
              <w:t>A one-off project: new content brought new barriers, and the gains faded.</w:t>
            </w:r>
          </w:p>
        </w:tc>
        <w:tc>
          <w:tcPr>
            <w:tcW w:type="dxa" w:w="1316"/>
          </w:tcPr>
          <w:p>
            <w:pPr>
              <w:spacing w:before="0" w:after="0"/>
            </w:pPr>
            <w:r>
              <w:rPr>
                <w:sz w:val="20"/>
              </w:rPr>
              <w:t>No</w:t>
            </w:r>
          </w:p>
        </w:tc>
        <w:tc>
          <w:tcPr>
            <w:tcW w:type="dxa" w:w="4529"/>
          </w:tcPr>
          <w:p>
            <w:pPr>
              <w:spacing w:before="0" w:after="0"/>
            </w:pPr>
            <w:r>
              <w:rPr>
                <w:sz w:val="20"/>
              </w:rPr>
              <w:t>Action: build checks into the process; notice it in the share of new pages that fail.</w:t>
            </w:r>
          </w:p>
        </w:tc>
      </w:tr>
      <w:tr>
        <w:trPr>
          <w:cantSplit/>
        </w:trPr>
        <w:tc>
          <w:tcPr>
            <w:tcW w:type="dxa" w:w="3793"/>
          </w:tcPr>
          <w:p>
            <w:pPr>
              <w:spacing w:before="0" w:after="0"/>
            </w:pPr>
            <w:r>
              <w:rPr>
                <w:sz w:val="20"/>
              </w:rPr>
              <w:t>We fixed what automated tools found, but real users still could not use the platform.</w:t>
            </w:r>
          </w:p>
        </w:tc>
        <w:tc>
          <w:tcPr>
            <w:tcW w:type="dxa" w:w="1316"/>
          </w:tcPr>
          <w:p>
            <w:pPr>
              <w:spacing w:before="0" w:after="0"/>
            </w:pPr>
            <w:r>
              <w:rPr>
                <w:sz w:val="20"/>
              </w:rPr>
              <w:t>No</w:t>
            </w:r>
          </w:p>
        </w:tc>
        <w:tc>
          <w:tcPr>
            <w:tcW w:type="dxa" w:w="4529"/>
          </w:tcPr>
          <w:p>
            <w:pPr>
              <w:spacing w:before="0" w:after="0"/>
            </w:pPr>
            <w:r>
              <w:rPr>
                <w:sz w:val="20"/>
              </w:rPr>
              <w:t>Action: test with real users each quarter; notice it in task results.</w:t>
            </w:r>
          </w:p>
        </w:tc>
      </w:tr>
      <w:tr>
        <w:trPr>
          <w:cantSplit/>
        </w:trPr>
        <w:tc>
          <w:tcPr>
            <w:tcW w:type="dxa" w:w="3793"/>
          </w:tcPr>
          <w:p>
            <w:pPr>
              <w:spacing w:before="0" w:after="0"/>
            </w:pPr>
            <w:r>
              <w:rPr>
                <w:sz w:val="20"/>
              </w:rPr>
              <w:t>The team lacked the skills, and the fixes were wrong.</w:t>
            </w:r>
          </w:p>
        </w:tc>
        <w:tc>
          <w:tcPr>
            <w:tcW w:type="dxa" w:w="1316"/>
          </w:tcPr>
          <w:p>
            <w:pPr>
              <w:spacing w:before="0" w:after="0"/>
            </w:pPr>
            <w:r>
              <w:rPr>
                <w:sz w:val="20"/>
              </w:rPr>
              <w:t>No</w:t>
            </w:r>
          </w:p>
        </w:tc>
        <w:tc>
          <w:tcPr>
            <w:tcW w:type="dxa" w:w="4529"/>
          </w:tcPr>
          <w:p>
            <w:pPr>
              <w:spacing w:before="0" w:after="0"/>
            </w:pPr>
            <w:r>
              <w:rPr>
                <w:sz w:val="20"/>
              </w:rPr>
              <w:t>Action: train designers and authors; notice it in failed checks.</w:t>
            </w:r>
          </w:p>
        </w:tc>
      </w:tr>
    </w:tbl>
    <w:p>
      <w:pPr>
        <w:spacing w:before="0" w:after="80"/>
      </w:pPr>
    </w:p>
    <w:p>
      <w:pPr>
        <w:spacing w:before="0" w:after="100"/>
      </w:pPr>
      <w:r>
        <w:rPr>
          <w:i/>
        </w:rPr>
        <w:t>Trainer note.</w:t>
      </w:r>
      <w:r>
        <w:rPr/>
        <w:t xml:space="preserve"> Any of the five defends with a reason and an action. The action should cost less than the risk; ask when the team would notice it. These five are the typical answers of a premortem (Klein 2007). The plan's Level 3 input asks which risks arise from non-implementation.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it removes the existing barriers where most learners meet them, which also lowers the legal risk soonest. With the first courses fixed, D2 stops new barriers from appearing, and D3 shows management the progress. Accessibility is usability is success, so the order goes from fixing to preventing to measuring. The three cost €140,000 of the €180,000.</w:t>
            </w:r>
          </w:p>
          <w:p>
            <w:pPr>
              <w:spacing w:before="0" w:after="100"/>
            </w:pPr>
            <w:r>
              <w:rPr>
                <w:b/>
              </w:rPr>
              <w:t>Why.</w:t>
            </w:r>
            <w:r>
              <w:rPr/>
              <w:t xml:space="preserve"> The plan's rationale: accessibility = usability = success. A different first measure defends if the reason names whom it reaches and what it prevents (Materi B1).</w:t>
            </w:r>
          </w:p>
          <w:p>
            <w:pPr>
              <w:spacing w:before="0" w:after="100"/>
            </w:pPr>
            <w:r>
              <w:rPr>
                <w:b/>
              </w:rPr>
              <w:t>Look for.</w:t>
            </w:r>
          </w:p>
          <w:p>
            <w:pPr>
              <w:pStyle w:val="ListBullet"/>
              <w:spacing w:before="0" w:after="40"/>
            </w:pPr>
            <w:r>
              <w:rPr/>
              <w:t>Says whom it reaches.</w:t>
            </w:r>
          </w:p>
          <w:p>
            <w:pPr>
              <w:pStyle w:val="ListBullet"/>
              <w:spacing w:before="0" w:after="100"/>
            </w:pPr>
            <w:r>
              <w:rPr/>
              <w:t>Says what it prevents or why the others can wait.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fix the most-used courses first and publish a dated plan for the rest, and I count accessibility complaints each month; if they do not fall after the first three months, I move budget to the barrier they name most.</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knowing how much of the platform fails WCAG)</w:t>
            </w:r>
          </w:p>
          <w:p>
            <w:pPr>
              <w:spacing w:before="0" w:after="100"/>
            </w:pPr>
            <w:r>
              <w:rPr>
                <w:b/>
              </w:rPr>
              <w:t>Model answer (an example).</w:t>
            </w:r>
            <w:r>
              <w:rPr/>
              <w:t xml:space="preserve"> I decide … I decide to start with WCAG 2.2 AA on the twenty most-used courses (D1) and to build checks into the design review (D2), before I audit the rest. I do not know … I do not know how many barriers the other courses have. I reverse if … (a figure) … by … (a time) I reverse if, by the end of month 4, the audit of ten further courses shows more than five serious barriers per course, and I widen the first step to the audit's worst courses.</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postpone the accessibility of the rarely used courses and I do not buy an overlay this year. The authors of the old courses will miss a quick fix, and sales cannot yet claim that every course is accessible.</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38"/>
        <w:gridCol w:w="2600"/>
      </w:tblGrid>
      <w:tr>
        <w:trPr>
          <w:cantSplit/>
          <w:tblHeader/>
        </w:trPr>
        <w:tc>
          <w:tcPr>
            <w:tcW w:type="dxa" w:w="7038"/>
            <w:shd w:val="clear" w:color="auto" w:fill="E6ECF4"/>
          </w:tcPr>
          <w:p>
            <w:pPr>
              <w:spacing w:before="0" w:after="0"/>
            </w:pPr>
            <w:r>
              <w:rPr>
                <w:b/>
                <w:sz w:val="20"/>
              </w:rPr>
              <w:t>Section</w:t>
            </w:r>
          </w:p>
        </w:tc>
        <w:tc>
          <w:tcPr>
            <w:tcW w:type="dxa" w:w="2600"/>
            <w:shd w:val="clear" w:color="auto" w:fill="E6ECF4"/>
          </w:tcPr>
          <w:p>
            <w:pPr>
              <w:spacing w:before="0" w:after="0"/>
            </w:pPr>
            <w:r>
              <w:rPr>
                <w:b/>
                <w:sz w:val="20"/>
              </w:rPr>
              <w:t>Shown to participants?</w:t>
            </w:r>
          </w:p>
        </w:tc>
      </w:tr>
      <w:tr>
        <w:trPr>
          <w:cantSplit/>
        </w:trPr>
        <w:tc>
          <w:tcPr>
            <w:tcW w:type="dxa" w:w="7038"/>
          </w:tcPr>
          <w:p>
            <w:pPr>
              <w:spacing w:before="0" w:after="0"/>
            </w:pPr>
            <w:r>
              <w:rPr>
                <w:sz w:val="20"/>
              </w:rPr>
              <w:t>How to use this document</w:t>
            </w:r>
          </w:p>
        </w:tc>
        <w:tc>
          <w:tcPr>
            <w:tcW w:type="dxa" w:w="2600"/>
          </w:tcPr>
          <w:p>
            <w:pPr>
              <w:spacing w:before="0" w:after="0"/>
            </w:pPr>
            <w:r>
              <w:rPr>
                <w:sz w:val="20"/>
              </w:rPr>
              <w:t>No</w:t>
            </w:r>
          </w:p>
        </w:tc>
      </w:tr>
      <w:tr>
        <w:trPr>
          <w:cantSplit/>
        </w:trPr>
        <w:tc>
          <w:tcPr>
            <w:tcW w:type="dxa" w:w="7038"/>
          </w:tcPr>
          <w:p>
            <w:pPr>
              <w:spacing w:before="0" w:after="0"/>
            </w:pPr>
            <w:r>
              <w:rPr>
                <w:sz w:val="20"/>
              </w:rPr>
              <w:t>Assessment criteria (Bewertungskriterien)</w:t>
            </w:r>
          </w:p>
        </w:tc>
        <w:tc>
          <w:tcPr>
            <w:tcW w:type="dxa" w:w="2600"/>
          </w:tcPr>
          <w:p>
            <w:pPr>
              <w:spacing w:before="0" w:after="0"/>
            </w:pPr>
            <w:r>
              <w:rPr>
                <w:sz w:val="20"/>
              </w:rPr>
              <w:t>No</w:t>
            </w:r>
          </w:p>
        </w:tc>
      </w:tr>
      <w:tr>
        <w:trPr>
          <w:cantSplit/>
        </w:trPr>
        <w:tc>
          <w:tcPr>
            <w:tcW w:type="dxa" w:w="7038"/>
          </w:tcPr>
          <w:p>
            <w:pPr>
              <w:spacing w:before="0" w:after="0"/>
            </w:pPr>
            <w:r>
              <w:rPr>
                <w:sz w:val="20"/>
              </w:rPr>
              <w:t>Block 1.1 · model answers (UE2)</w:t>
            </w:r>
          </w:p>
        </w:tc>
        <w:tc>
          <w:tcPr>
            <w:tcW w:type="dxa" w:w="2600"/>
          </w:tcPr>
          <w:p>
            <w:pPr>
              <w:spacing w:before="0" w:after="0"/>
            </w:pPr>
            <w:r>
              <w:rPr>
                <w:sz w:val="20"/>
              </w:rPr>
              <w:t>No</w:t>
            </w:r>
          </w:p>
        </w:tc>
      </w:tr>
      <w:tr>
        <w:trPr>
          <w:cantSplit/>
        </w:trPr>
        <w:tc>
          <w:tcPr>
            <w:tcW w:type="dxa" w:w="7038"/>
          </w:tcPr>
          <w:p>
            <w:pPr>
              <w:spacing w:before="0" w:after="0"/>
            </w:pPr>
            <w:r>
              <w:rPr>
                <w:sz w:val="20"/>
              </w:rPr>
              <w:t>Block 1.2 · model answers (UE3)</w:t>
            </w:r>
          </w:p>
        </w:tc>
        <w:tc>
          <w:tcPr>
            <w:tcW w:type="dxa" w:w="2600"/>
          </w:tcPr>
          <w:p>
            <w:pPr>
              <w:spacing w:before="0" w:after="0"/>
            </w:pPr>
            <w:r>
              <w:rPr>
                <w:sz w:val="20"/>
              </w:rPr>
              <w:t>No</w:t>
            </w:r>
          </w:p>
        </w:tc>
      </w:tr>
      <w:tr>
        <w:trPr>
          <w:cantSplit/>
        </w:trPr>
        <w:tc>
          <w:tcPr>
            <w:tcW w:type="dxa" w:w="7038"/>
          </w:tcPr>
          <w:p>
            <w:pPr>
              <w:spacing w:before="0" w:after="0"/>
            </w:pPr>
            <w:r>
              <w:rPr>
                <w:sz w:val="20"/>
              </w:rPr>
              <w:t>Coaching Focus: Accessibility as a Quality and Compliance Factor (UE4)</w:t>
            </w:r>
          </w:p>
        </w:tc>
        <w:tc>
          <w:tcPr>
            <w:tcW w:type="dxa" w:w="2600"/>
          </w:tcPr>
          <w:p>
            <w:pPr>
              <w:spacing w:before="0" w:after="0"/>
            </w:pPr>
            <w:r>
              <w:rPr>
                <w:sz w:val="20"/>
              </w:rPr>
              <w:t>No</w:t>
            </w:r>
          </w:p>
        </w:tc>
      </w:tr>
      <w:tr>
        <w:trPr>
          <w:cantSplit/>
        </w:trPr>
        <w:tc>
          <w:tcPr>
            <w:tcW w:type="dxa" w:w="7038"/>
          </w:tcPr>
          <w:p>
            <w:pPr>
              <w:spacing w:before="0" w:after="0"/>
            </w:pPr>
            <w:r>
              <w:rPr>
                <w:sz w:val="20"/>
              </w:rPr>
              <w:t>Block 1.3 · model answers (UE4)</w:t>
            </w:r>
          </w:p>
        </w:tc>
        <w:tc>
          <w:tcPr>
            <w:tcW w:type="dxa" w:w="2600"/>
          </w:tcPr>
          <w:p>
            <w:pPr>
              <w:spacing w:before="0" w:after="0"/>
            </w:pPr>
            <w:r>
              <w:rPr>
                <w:sz w:val="20"/>
              </w:rPr>
              <w:t>No</w:t>
            </w:r>
          </w:p>
        </w:tc>
      </w:tr>
      <w:tr>
        <w:trPr>
          <w:cantSplit/>
        </w:trPr>
        <w:tc>
          <w:tcPr>
            <w:tcW w:type="dxa" w:w="7038"/>
          </w:tcPr>
          <w:p>
            <w:pPr>
              <w:spacing w:before="0" w:after="0"/>
            </w:pPr>
            <w:r>
              <w:rPr>
                <w:sz w:val="20"/>
              </w:rPr>
              <w:t>The plan's model solution: core logic (UE5–6)</w:t>
            </w:r>
          </w:p>
        </w:tc>
        <w:tc>
          <w:tcPr>
            <w:tcW w:type="dxa" w:w="2600"/>
          </w:tcPr>
          <w:p>
            <w:pPr>
              <w:spacing w:before="0" w:after="0"/>
            </w:pPr>
            <w:r>
              <w:rPr>
                <w:sz w:val="20"/>
              </w:rPr>
              <w:t>Only after the work, in the debrief</w:t>
            </w:r>
          </w:p>
        </w:tc>
      </w:tr>
      <w:tr>
        <w:trPr>
          <w:cantSplit/>
        </w:trPr>
        <w:tc>
          <w:tcPr>
            <w:tcW w:type="dxa" w:w="7038"/>
          </w:tcPr>
          <w:p>
            <w:pPr>
              <w:spacing w:before="0" w:after="0"/>
            </w:pPr>
            <w:r>
              <w:rPr>
                <w:sz w:val="20"/>
              </w:rPr>
              <w:t>Block 2.1 · model answers (UE5–6)</w:t>
            </w:r>
          </w:p>
        </w:tc>
        <w:tc>
          <w:tcPr>
            <w:tcW w:type="dxa" w:w="2600"/>
          </w:tcPr>
          <w:p>
            <w:pPr>
              <w:spacing w:before="0" w:after="0"/>
            </w:pPr>
            <w:r>
              <w:rPr>
                <w:sz w:val="20"/>
              </w:rPr>
              <w:t>No</w:t>
            </w:r>
          </w:p>
        </w:tc>
      </w:tr>
      <w:tr>
        <w:trPr>
          <w:cantSplit/>
        </w:trPr>
        <w:tc>
          <w:tcPr>
            <w:tcW w:type="dxa" w:w="7038"/>
          </w:tcPr>
          <w:p>
            <w:pPr>
              <w:spacing w:before="0" w:after="0"/>
            </w:pPr>
            <w:r>
              <w:rPr>
                <w:sz w:val="20"/>
              </w:rPr>
              <w:t>Block 2.2 · model answers (UE5–6)</w:t>
            </w:r>
          </w:p>
        </w:tc>
        <w:tc>
          <w:tcPr>
            <w:tcW w:type="dxa" w:w="2600"/>
          </w:tcPr>
          <w:p>
            <w:pPr>
              <w:spacing w:before="0" w:after="0"/>
            </w:pPr>
            <w:r>
              <w:rPr>
                <w:sz w:val="20"/>
              </w:rPr>
              <w:t>No</w:t>
            </w:r>
          </w:p>
        </w:tc>
      </w:tr>
      <w:tr>
        <w:trPr>
          <w:cantSplit/>
        </w:trPr>
        <w:tc>
          <w:tcPr>
            <w:tcW w:type="dxa" w:w="7038"/>
          </w:tcPr>
          <w:p>
            <w:pPr>
              <w:spacing w:before="0" w:after="0"/>
            </w:pPr>
            <w:r>
              <w:rPr>
                <w:sz w:val="20"/>
              </w:rPr>
              <w:t>Debrief of the case study (UE6)</w:t>
            </w:r>
          </w:p>
        </w:tc>
        <w:tc>
          <w:tcPr>
            <w:tcW w:type="dxa" w:w="2600"/>
          </w:tcPr>
          <w:p>
            <w:pPr>
              <w:spacing w:before="0" w:after="0"/>
            </w:pPr>
            <w:r>
              <w:rPr>
                <w:sz w:val="20"/>
              </w:rPr>
              <w:t>Only after the work, in the debrief</w:t>
            </w:r>
          </w:p>
        </w:tc>
      </w:tr>
      <w:tr>
        <w:trPr>
          <w:cantSplit/>
        </w:trPr>
        <w:tc>
          <w:tcPr>
            <w:tcW w:type="dxa" w:w="7038"/>
          </w:tcPr>
          <w:p>
            <w:pPr>
              <w:spacing w:before="0" w:after="0"/>
            </w:pPr>
            <w:r>
              <w:rPr>
                <w:sz w:val="20"/>
              </w:rPr>
              <w:t>Feedback with a Strategic Perspective (UE7)</w:t>
            </w:r>
          </w:p>
        </w:tc>
        <w:tc>
          <w:tcPr>
            <w:tcW w:type="dxa" w:w="2600"/>
          </w:tcPr>
          <w:p>
            <w:pPr>
              <w:spacing w:before="0" w:after="0"/>
            </w:pPr>
            <w:r>
              <w:rPr>
                <w:sz w:val="20"/>
              </w:rPr>
              <w:t>No</w:t>
            </w:r>
          </w:p>
        </w:tc>
      </w:tr>
      <w:tr>
        <w:trPr>
          <w:cantSplit/>
        </w:trPr>
        <w:tc>
          <w:tcPr>
            <w:tcW w:type="dxa" w:w="7038"/>
          </w:tcPr>
          <w:p>
            <w:pPr>
              <w:spacing w:before="0" w:after="0"/>
            </w:pPr>
            <w:r>
              <w:rPr>
                <w:sz w:val="20"/>
              </w:rPr>
              <w:t>Transition from Level 2 to Level 3 (Übergang)</w:t>
            </w:r>
          </w:p>
        </w:tc>
        <w:tc>
          <w:tcPr>
            <w:tcW w:type="dxa" w:w="2600"/>
          </w:tcPr>
          <w:p>
            <w:pPr>
              <w:spacing w:before="0" w:after="0"/>
            </w:pPr>
            <w:r>
              <w:rPr>
                <w:sz w:val="20"/>
              </w:rPr>
              <w:t>No</w:t>
            </w:r>
          </w:p>
        </w:tc>
      </w:tr>
      <w:tr>
        <w:trPr>
          <w:cantSplit/>
        </w:trPr>
        <w:tc>
          <w:tcPr>
            <w:tcW w:type="dxa" w:w="7038"/>
          </w:tcPr>
          <w:p>
            <w:pPr>
              <w:spacing w:before="0" w:after="0"/>
            </w:pPr>
            <w:r>
              <w:rPr>
                <w:sz w:val="20"/>
              </w:rPr>
              <w:t>What the plan asks and where the worksheet answers it (UE8–10)</w:t>
            </w:r>
          </w:p>
        </w:tc>
        <w:tc>
          <w:tcPr>
            <w:tcW w:type="dxa" w:w="2600"/>
          </w:tcPr>
          <w:p>
            <w:pPr>
              <w:spacing w:before="0" w:after="0"/>
            </w:pPr>
            <w:r>
              <w:rPr>
                <w:sz w:val="20"/>
              </w:rPr>
              <w:t>No</w:t>
            </w:r>
          </w:p>
        </w:tc>
      </w:tr>
      <w:tr>
        <w:trPr>
          <w:cantSplit/>
        </w:trPr>
        <w:tc>
          <w:tcPr>
            <w:tcW w:type="dxa" w:w="7038"/>
          </w:tcPr>
          <w:p>
            <w:pPr>
              <w:spacing w:before="0" w:after="0"/>
            </w:pPr>
            <w:r>
              <w:rPr>
                <w:sz w:val="20"/>
              </w:rPr>
              <w:t>Block 3.1 · model answers (UE9)</w:t>
            </w:r>
          </w:p>
        </w:tc>
        <w:tc>
          <w:tcPr>
            <w:tcW w:type="dxa" w:w="2600"/>
          </w:tcPr>
          <w:p>
            <w:pPr>
              <w:spacing w:before="0" w:after="0"/>
            </w:pPr>
            <w:r>
              <w:rPr>
                <w:sz w:val="20"/>
              </w:rPr>
              <w:t>No</w:t>
            </w:r>
          </w:p>
        </w:tc>
      </w:tr>
      <w:tr>
        <w:trPr>
          <w:cantSplit/>
        </w:trPr>
        <w:tc>
          <w:tcPr>
            <w:tcW w:type="dxa" w:w="7038"/>
          </w:tcPr>
          <w:p>
            <w:pPr>
              <w:spacing w:before="0" w:after="0"/>
            </w:pPr>
            <w:r>
              <w:rPr>
                <w:sz w:val="20"/>
              </w:rPr>
              <w:t>Block 3.2 · model answers (UE10)</w:t>
            </w:r>
          </w:p>
        </w:tc>
        <w:tc>
          <w:tcPr>
            <w:tcW w:type="dxa" w:w="2600"/>
          </w:tcPr>
          <w:p>
            <w:pPr>
              <w:spacing w:before="0" w:after="0"/>
            </w:pPr>
            <w:r>
              <w:rPr>
                <w:sz w:val="20"/>
              </w:rPr>
              <w:t>No</w:t>
            </w:r>
          </w:p>
        </w:tc>
      </w:tr>
      <w:tr>
        <w:trPr>
          <w:cantSplit/>
        </w:trPr>
        <w:tc>
          <w:tcPr>
            <w:tcW w:type="dxa" w:w="7038"/>
          </w:tcPr>
          <w:p>
            <w:pPr>
              <w:spacing w:before="0" w:after="0"/>
            </w:pPr>
            <w:r>
              <w:rPr>
                <w:sz w:val="20"/>
              </w:rPr>
              <w:t>Debrief of the transfer project (UE10)</w:t>
            </w:r>
          </w:p>
        </w:tc>
        <w:tc>
          <w:tcPr>
            <w:tcW w:type="dxa" w:w="260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13</w:t>
            </w:r>
          </w:p>
        </w:tc>
        <w:tc>
          <w:tcPr>
            <w:tcW w:type="dxa" w:w="6632"/>
          </w:tcPr>
          <w:p>
            <w:pPr>
              <w:spacing w:before="0" w:after="0"/>
            </w:pPr>
            <w:r>
              <w:rPr>
                <w:sz w:val="20"/>
              </w:rPr>
              <w:t>https://aion-dl.vercel.app/day/13/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13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AccessLearn: Coaching, Feedback and Model Solutions</dc:title>
  <dc:subject>DAY 13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