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HABMANN AUFSTIEGSAKADEMIE · DIGITAL LEARNING · EDUCATIONAL UX/UI DESIGN</w:t>
      </w:r>
    </w:p>
    <w:p>
      <w:pPr>
        <w:spacing w:before="0" w:after="40"/>
      </w:pPr>
      <w:r>
        <w:rPr>
          <w:b/>
          <w:color w:val="1750A8"/>
          <w:sz w:val="20"/>
        </w:rPr>
        <w:t>DAY 1 · MATERI A AND MATERI B · ROUTES 1 AND 2 · LEVELS 1 TO 3</w:t>
      </w:r>
    </w:p>
    <w:p>
      <w:pPr>
        <w:spacing w:before="0" w:after="80" w:line="240" w:lineRule="auto"/>
      </w:pPr>
      <w:r>
        <w:rPr>
          <w:b/>
          <w:sz w:val="52"/>
        </w:rPr>
        <w:t>UX and UI for learning platforms</w:t>
      </w:r>
    </w:p>
    <w:p>
      <w:pPr>
        <w:spacing w:before="0" w:after="200"/>
      </w:pPr>
      <w:r>
        <w:rPr>
          <w:color w:val="556274"/>
          <w:sz w:val="26"/>
        </w:rPr>
        <w:t>Read the interface from the learner's side, weigh measures under a budget, and decide a UX strategy</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drew the diagrams from code. The content was then read, corrected and approved by the reviewer named below, who is responsible for its accuracy. Every diagram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KI-generiert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1 · Module 1 (day 1 of 2): Fundamentals of UX/UI design for digital learning platforms and user-centred design of learning interfaces</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Materi (study material). Materi A has five cards, Materi B has three.</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Materi A serves Route 1 (Levels 1 and 2, Task 1). Materi B serves Route 2 (Level 3, Task 2).</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Materi A about 60 min · Materi B about 60 min (facilitator-led)</w:t>
            </w:r>
          </w:p>
        </w:tc>
      </w:tr>
      <w:tr>
        <w:tc>
          <w:tcPr>
            <w:tcW w:type="dxa" w:w="2300"/>
            <w:shd w:val="clear" w:color="auto" w:fill="E6ECF4"/>
          </w:tcPr>
          <w:p>
            <w:pPr>
              <w:spacing w:before="0" w:after="0"/>
            </w:pPr>
            <w:r>
              <w:rPr>
                <w:b/>
                <w:color w:val="556274"/>
                <w:sz w:val="19"/>
              </w:rPr>
              <w:t>Playground (website)</w:t>
            </w:r>
          </w:p>
        </w:tc>
        <w:tc>
          <w:tcPr>
            <w:tcW w:type="dxa" w:w="7338"/>
          </w:tcPr>
          <w:p>
            <w:pPr>
              <w:spacing w:before="0" w:after="0"/>
            </w:pPr>
            <w:r>
              <w:rPr>
                <w:sz w:val="20"/>
              </w:rPr>
              <w:t>https://aion-dl.vercel.app/day/1/</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Worked examples use LearnLoop, an online-course provider. The task case is SkillUp GmbH and its platform LearnFast (see the Task document).</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1.1 · release date 14.10.2026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In class we also use the playground, the course website, as the place to practise and learn.</w:t>
            </w:r>
            <w:r>
              <w:rPr/>
              <w:t xml:space="preserve"> Its address is at the end of this document.</w:t>
            </w:r>
          </w:p>
          <w:p>
            <w:pPr>
              <w:spacing w:before="0" w:after="100"/>
            </w:pPr>
            <w:r>
              <w:rPr/>
              <w:t>This document holds everything you need to study Day 1 without the website. It is written to be read from top to bottom. Every card says what the idea is in plain words, shows it in a picture, gives the details, and ends with the rules you will use in the Task document. Cards marked Optional are not needed for the Core blocks of the task. The worked examples use a different company (LearnLoop) so that no task answer is printed here. Glossary and references are at the end.</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The course: sixteen days, eight modules</w:t>
            </w:r>
          </w:p>
          <w:p>
            <w:pPr>
              <w:spacing w:before="0" w:after="20"/>
              <w:ind w:left="170"/>
            </w:pPr>
            <w:r>
              <w:rPr>
                <w:sz w:val="20"/>
              </w:rPr>
              <w:t>How every day runs</w:t>
            </w:r>
          </w:p>
          <w:p>
            <w:pPr>
              <w:spacing w:before="0" w:after="20"/>
              <w:ind w:left="170"/>
            </w:pPr>
            <w:r>
              <w:rPr>
                <w:sz w:val="20"/>
              </w:rPr>
              <w:t>Your documents and the playground</w:t>
            </w:r>
          </w:p>
          <w:p>
            <w:pPr>
              <w:spacing w:before="0" w:after="20"/>
              <w:ind w:left="170"/>
            </w:pPr>
            <w:r>
              <w:rPr>
                <w:sz w:val="20"/>
              </w:rPr>
              <w:t>How we work</w:t>
            </w:r>
          </w:p>
          <w:p>
            <w:pPr>
              <w:spacing w:before="0" w:after="20"/>
              <w:ind w:left="170"/>
            </w:pPr>
            <w:r>
              <w:rPr>
                <w:sz w:val="20"/>
              </w:rPr>
              <w:t>A1 · UX is the experience, UI is the surface · 10 min · Core</w:t>
            </w:r>
          </w:p>
          <w:p>
            <w:pPr>
              <w:spacing w:before="0" w:after="20"/>
              <w:ind w:left="170"/>
            </w:pPr>
            <w:r>
              <w:rPr>
                <w:sz w:val="20"/>
              </w:rPr>
              <w:t>A2 · Design from the learner's need, not from the system's logic · 12 min · Core</w:t>
            </w:r>
          </w:p>
          <w:p>
            <w:pPr>
              <w:spacing w:before="0" w:after="20"/>
              <w:ind w:left="170"/>
            </w:pPr>
            <w:r>
              <w:rPr>
                <w:sz w:val="20"/>
              </w:rPr>
              <w:t>A3 · Three principles of a good learning interface · 14 min · Core</w:t>
            </w:r>
          </w:p>
          <w:p>
            <w:pPr>
              <w:spacing w:before="0" w:after="20"/>
              <w:ind w:left="170"/>
            </w:pPr>
            <w:r>
              <w:rPr>
                <w:sz w:val="20"/>
              </w:rPr>
              <w:t>A4 · A learning platform is not a classic app · 10 min · Optional</w:t>
            </w:r>
          </w:p>
          <w:p>
            <w:pPr>
              <w:spacing w:before="0" w:after="20"/>
              <w:ind w:left="170"/>
            </w:pPr>
            <w:r>
              <w:rPr>
                <w:sz w:val="20"/>
              </w:rPr>
              <w:t>A5 · Weighing a measure: user impact, effort, risk · 14 min · Core</w:t>
            </w:r>
          </w:p>
          <w:p>
            <w:pPr>
              <w:spacing w:before="0" w:after="20"/>
              <w:ind w:left="170"/>
            </w:pPr>
            <w:r>
              <w:rPr>
                <w:sz w:val="20"/>
              </w:rPr>
              <w:t>B1 · Why UX matters to the business · 18 min · Core</w:t>
            </w:r>
          </w:p>
          <w:p>
            <w:pPr>
              <w:spacing w:before="0" w:after="20"/>
              <w:ind w:left="170"/>
            </w:pPr>
            <w:r>
              <w:rPr>
                <w:sz w:val="20"/>
              </w:rPr>
              <w:t>B2 · Conflicting goals: user value, effort and business goals · 22 min · Core</w:t>
            </w:r>
          </w:p>
          <w:p>
            <w:pPr>
              <w:spacing w:before="0" w:after="20"/>
              <w:ind w:left="170"/>
            </w:pPr>
            <w:r>
              <w:rPr>
                <w:sz w:val="20"/>
              </w:rPr>
              <w:t>B3 · Deciding when you do not know enough · 20 min · Core</w:t>
            </w:r>
          </w:p>
        </w:tc>
      </w:tr>
    </w:tbl>
    <w:p>
      <w:pPr>
        <w:pStyle w:val="Heading1"/>
        <w:pBdr>
          <w:bottom w:val="single" w:sz="8" w:space="2" w:color="17212E"/>
        </w:pBdr>
      </w:pPr>
      <w:r>
        <w:rPr/>
        <w:t>Day at a glance</w:t>
      </w:r>
    </w:p>
    <w:p>
      <w:pPr>
        <w:spacing w:before="0" w:after="100"/>
      </w:pPr>
      <w:r>
        <w:rPr/>
        <w:t xml:space="preserve">Day 1 has ten teaching units (UE). This document is the study material; it is used in UE1 (Materi A) and UE8 (Materi B). The day is built from three documents and the playground: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7"/>
        <w:gridCol w:w="597"/>
        <w:gridCol w:w="1800"/>
        <w:gridCol w:w="3292"/>
        <w:gridCol w:w="1503"/>
        <w:gridCol w:w="1849"/>
      </w:tblGrid>
      <w:tr>
        <w:trPr>
          <w:cantSplit/>
          <w:tblHeader/>
        </w:trPr>
        <w:tc>
          <w:tcPr>
            <w:tcW w:type="dxa" w:w="597"/>
            <w:shd w:val="clear" w:color="auto" w:fill="E6ECF4"/>
          </w:tcPr>
          <w:p>
            <w:pPr>
              <w:spacing w:before="0" w:after="0"/>
            </w:pPr>
            <w:r>
              <w:rPr>
                <w:b/>
                <w:sz w:val="19"/>
              </w:rPr>
              <w:t>UE</w:t>
            </w:r>
          </w:p>
        </w:tc>
        <w:tc>
          <w:tcPr>
            <w:tcW w:type="dxa" w:w="597"/>
            <w:shd w:val="clear" w:color="auto" w:fill="E6ECF4"/>
          </w:tcPr>
          <w:p>
            <w:pPr>
              <w:spacing w:before="0" w:after="0"/>
            </w:pPr>
            <w:r>
              <w:rPr>
                <w:b/>
                <w:sz w:val="19"/>
              </w:rPr>
              <w:t>Min</w:t>
            </w:r>
          </w:p>
        </w:tc>
        <w:tc>
          <w:tcPr>
            <w:tcW w:type="dxa" w:w="1800"/>
            <w:shd w:val="clear" w:color="auto" w:fill="E6ECF4"/>
          </w:tcPr>
          <w:p>
            <w:pPr>
              <w:spacing w:before="0" w:after="0"/>
            </w:pPr>
            <w:r>
              <w:rPr>
                <w:b/>
                <w:sz w:val="19"/>
              </w:rPr>
              <w:t>Plan item</w:t>
            </w:r>
          </w:p>
        </w:tc>
        <w:tc>
          <w:tcPr>
            <w:tcW w:type="dxa" w:w="3292"/>
            <w:shd w:val="clear" w:color="auto" w:fill="E6ECF4"/>
          </w:tcPr>
          <w:p>
            <w:pPr>
              <w:spacing w:before="0" w:after="0"/>
            </w:pPr>
            <w:r>
              <w:rPr>
                <w:b/>
                <w:sz w:val="19"/>
              </w:rPr>
              <w:t>What happens</w:t>
            </w:r>
          </w:p>
        </w:tc>
        <w:tc>
          <w:tcPr>
            <w:tcW w:type="dxa" w:w="1503"/>
            <w:shd w:val="clear" w:color="auto" w:fill="E6ECF4"/>
          </w:tcPr>
          <w:p>
            <w:pPr>
              <w:spacing w:before="0" w:after="0"/>
            </w:pPr>
            <w:r>
              <w:rPr>
                <w:b/>
                <w:sz w:val="19"/>
              </w:rPr>
              <w:t>Material</w:t>
            </w:r>
          </w:p>
        </w:tc>
        <w:tc>
          <w:tcPr>
            <w:tcW w:type="dxa" w:w="1849"/>
            <w:shd w:val="clear" w:color="auto" w:fill="E6ECF4"/>
          </w:tcPr>
          <w:p>
            <w:pPr>
              <w:spacing w:before="0" w:after="0"/>
            </w:pPr>
            <w:r>
              <w:rPr>
                <w:b/>
                <w:sz w:val="19"/>
              </w:rPr>
              <w:t>Format</w:t>
            </w:r>
          </w:p>
        </w:tc>
      </w:tr>
      <w:tr>
        <w:trPr>
          <w:cantSplit/>
        </w:trPr>
        <w:tc>
          <w:tcPr>
            <w:tcW w:type="dxa" w:w="597"/>
          </w:tcPr>
          <w:p>
            <w:pPr>
              <w:spacing w:before="0" w:after="0"/>
            </w:pPr>
            <w:r>
              <w:rPr>
                <w:b/>
                <w:sz w:val="19"/>
              </w:rPr>
              <w:t>1</w:t>
            </w:r>
          </w:p>
        </w:tc>
        <w:tc>
          <w:tcPr>
            <w:tcW w:type="dxa" w:w="597"/>
          </w:tcPr>
          <w:p>
            <w:pPr>
              <w:spacing w:before="0" w:after="0"/>
            </w:pPr>
            <w:r>
              <w:rPr>
                <w:sz w:val="19"/>
              </w:rPr>
              <w:t>45</w:t>
            </w:r>
          </w:p>
        </w:tc>
        <w:tc>
          <w:tcPr>
            <w:tcW w:type="dxa" w:w="1800"/>
          </w:tcPr>
          <w:p>
            <w:pPr>
              <w:spacing w:before="0" w:after="0"/>
            </w:pPr>
            <w:r>
              <w:rPr>
                <w:sz w:val="19"/>
              </w:rPr>
              <w:t>Knowledge transfer · Level 1</w:t>
            </w:r>
          </w:p>
        </w:tc>
        <w:tc>
          <w:tcPr>
            <w:tcW w:type="dxa" w:w="3292"/>
          </w:tcPr>
          <w:p>
            <w:pPr>
              <w:spacing w:before="0" w:after="0"/>
            </w:pPr>
            <w:r>
              <w:rPr>
                <w:sz w:val="19"/>
              </w:rPr>
              <w:t>The trainer presents the Core cards of Materi A (A1, A2, A3, A5, about 50 min of cards) on the playground; participants follow in the handout. Optional A4 is read from the handout.</w:t>
            </w:r>
          </w:p>
        </w:tc>
        <w:tc>
          <w:tcPr>
            <w:tcW w:type="dxa" w:w="1503"/>
          </w:tcPr>
          <w:p>
            <w:pPr>
              <w:spacing w:before="0" w:after="0"/>
            </w:pPr>
            <w:r>
              <w:rPr>
                <w:sz w:val="19"/>
              </w:rPr>
              <w:t>Materi A (Route 1)</w:t>
            </w:r>
          </w:p>
        </w:tc>
        <w:tc>
          <w:tcPr>
            <w:tcW w:type="dxa" w:w="1849"/>
          </w:tcPr>
          <w:p>
            <w:pPr>
              <w:spacing w:before="0" w:after="0"/>
            </w:pPr>
            <w:r>
              <w:rPr>
                <w:sz w:val="19"/>
              </w:rPr>
              <w:t>Presentation + Handout</w:t>
            </w:r>
          </w:p>
        </w:tc>
      </w:tr>
      <w:tr>
        <w:trPr>
          <w:cantSplit/>
        </w:trPr>
        <w:tc>
          <w:tcPr>
            <w:tcW w:type="dxa" w:w="597"/>
          </w:tcPr>
          <w:p>
            <w:pPr>
              <w:spacing w:before="0" w:after="0"/>
            </w:pPr>
            <w:r>
              <w:rPr>
                <w:b/>
                <w:sz w:val="19"/>
              </w:rPr>
              <w:t>2</w:t>
            </w:r>
          </w:p>
        </w:tc>
        <w:tc>
          <w:tcPr>
            <w:tcW w:type="dxa" w:w="597"/>
          </w:tcPr>
          <w:p>
            <w:pPr>
              <w:spacing w:before="0" w:after="0"/>
            </w:pPr>
            <w:r>
              <w:rPr>
                <w:sz w:val="19"/>
              </w:rPr>
              <w:t>45</w:t>
            </w:r>
          </w:p>
        </w:tc>
        <w:tc>
          <w:tcPr>
            <w:tcW w:type="dxa" w:w="1800"/>
          </w:tcPr>
          <w:p>
            <w:pPr>
              <w:spacing w:before="0" w:after="0"/>
            </w:pPr>
            <w:r>
              <w:rPr>
                <w:sz w:val="19"/>
              </w:rPr>
              <w:t>Level 1 · Task 1</w:t>
            </w:r>
          </w:p>
        </w:tc>
        <w:tc>
          <w:tcPr>
            <w:tcW w:type="dxa" w:w="3292"/>
          </w:tcPr>
          <w:p>
            <w:pPr>
              <w:spacing w:before="0" w:after="0"/>
            </w:pPr>
            <w:r>
              <w:rPr>
                <w:sz w:val="19"/>
              </w:rPr>
              <w:t>Individual work on Block 1.1 (Core, about 13 min). Pairs then compare their results and the trainer collects open questions.</w:t>
            </w:r>
          </w:p>
        </w:tc>
        <w:tc>
          <w:tcPr>
            <w:tcW w:type="dxa" w:w="1503"/>
          </w:tcPr>
          <w:p>
            <w:pPr>
              <w:spacing w:before="0" w:after="0"/>
            </w:pPr>
            <w:r>
              <w:rPr>
                <w:sz w:val="19"/>
              </w:rPr>
              <w:t>Task 1 · Part 1 · Block 1.1</w:t>
            </w:r>
          </w:p>
        </w:tc>
        <w:tc>
          <w:tcPr>
            <w:tcW w:type="dxa" w:w="1849"/>
          </w:tcPr>
          <w:p>
            <w:pPr>
              <w:spacing w:before="0" w:after="0"/>
            </w:pPr>
            <w:r>
              <w:rPr>
                <w:sz w:val="19"/>
              </w:rPr>
              <w:t>Handout (or on the playground)</w:t>
            </w:r>
          </w:p>
        </w:tc>
      </w:tr>
      <w:tr>
        <w:trPr>
          <w:cantSplit/>
        </w:trPr>
        <w:tc>
          <w:tcPr>
            <w:tcW w:type="dxa" w:w="597"/>
          </w:tcPr>
          <w:p>
            <w:pPr>
              <w:spacing w:before="0" w:after="0"/>
            </w:pPr>
            <w:r>
              <w:rPr>
                <w:b/>
                <w:sz w:val="19"/>
              </w:rPr>
              <w:t>3</w:t>
            </w:r>
          </w:p>
        </w:tc>
        <w:tc>
          <w:tcPr>
            <w:tcW w:type="dxa" w:w="597"/>
          </w:tcPr>
          <w:p>
            <w:pPr>
              <w:spacing w:before="0" w:after="0"/>
            </w:pPr>
            <w:r>
              <w:rPr>
                <w:sz w:val="19"/>
              </w:rPr>
              <w:t>45</w:t>
            </w:r>
          </w:p>
        </w:tc>
        <w:tc>
          <w:tcPr>
            <w:tcW w:type="dxa" w:w="1800"/>
          </w:tcPr>
          <w:p>
            <w:pPr>
              <w:spacing w:before="0" w:after="0"/>
            </w:pPr>
            <w:r>
              <w:rPr>
                <w:sz w:val="19"/>
              </w:rPr>
              <w:t>Level 1 · Task 2</w:t>
            </w:r>
          </w:p>
        </w:tc>
        <w:tc>
          <w:tcPr>
            <w:tcW w:type="dxa" w:w="3292"/>
          </w:tcPr>
          <w:p>
            <w:pPr>
              <w:spacing w:before="0" w:after="0"/>
            </w:pPr>
            <w:r>
              <w:rPr>
                <w:sz w:val="19"/>
              </w:rPr>
              <w:t>Participants rate the three measures on user impact, effort and risk and say what information is missing: the first part of Block 2.2 (Core, about 17 min). The block is finished in UE5–6.</w:t>
            </w:r>
          </w:p>
        </w:tc>
        <w:tc>
          <w:tcPr>
            <w:tcW w:type="dxa" w:w="1503"/>
          </w:tcPr>
          <w:p>
            <w:pPr>
              <w:spacing w:before="0" w:after="0"/>
            </w:pPr>
            <w:r>
              <w:rPr>
                <w:sz w:val="19"/>
              </w:rPr>
              <w:t>Task 1 · Part 2 · Block 2.2</w:t>
            </w:r>
          </w:p>
        </w:tc>
        <w:tc>
          <w:tcPr>
            <w:tcW w:type="dxa" w:w="1849"/>
          </w:tcPr>
          <w:p>
            <w:pPr>
              <w:spacing w:before="0" w:after="0"/>
            </w:pPr>
            <w:r>
              <w:rPr>
                <w:sz w:val="19"/>
              </w:rPr>
              <w:t>Handout (or on the playground)</w:t>
            </w:r>
          </w:p>
        </w:tc>
      </w:tr>
      <w:tr>
        <w:trPr>
          <w:cantSplit/>
        </w:trPr>
        <w:tc>
          <w:tcPr>
            <w:tcW w:type="dxa" w:w="597"/>
          </w:tcPr>
          <w:p>
            <w:pPr>
              <w:spacing w:before="0" w:after="0"/>
            </w:pPr>
            <w:r>
              <w:rPr>
                <w:b/>
                <w:sz w:val="19"/>
              </w:rPr>
              <w:t>4</w:t>
            </w:r>
          </w:p>
        </w:tc>
        <w:tc>
          <w:tcPr>
            <w:tcW w:type="dxa" w:w="597"/>
          </w:tcPr>
          <w:p>
            <w:pPr>
              <w:spacing w:before="0" w:after="0"/>
            </w:pPr>
            <w:r>
              <w:rPr>
                <w:sz w:val="19"/>
              </w:rPr>
              <w:t>45</w:t>
            </w:r>
          </w:p>
        </w:tc>
        <w:tc>
          <w:tcPr>
            <w:tcW w:type="dxa" w:w="1800"/>
          </w:tcPr>
          <w:p>
            <w:pPr>
              <w:spacing w:before="0" w:after="0"/>
            </w:pPr>
            <w:r>
              <w:rPr>
                <w:sz w:val="19"/>
              </w:rPr>
              <w:t>Coaching · transition from Level 1 to Level 2</w:t>
            </w:r>
          </w:p>
        </w:tc>
        <w:tc>
          <w:tcPr>
            <w:tcW w:type="dxa" w:w="3292"/>
          </w:tcPr>
          <w:p>
            <w:pPr>
              <w:spacing w:before="0" w:after="0"/>
            </w:pPr>
            <w:r>
              <w:rPr>
                <w:sz w:val="19"/>
              </w:rPr>
              <w:t>Trainer-led. A short talk on the day's coaching focus, then the reflection questions in pairs: Block 1.3 (Optional, about 5 min). The bridge: from reading an interface to deciding under limits.</w:t>
            </w:r>
          </w:p>
        </w:tc>
        <w:tc>
          <w:tcPr>
            <w:tcW w:type="dxa" w:w="1503"/>
          </w:tcPr>
          <w:p>
            <w:pPr>
              <w:spacing w:before="0" w:after="0"/>
            </w:pPr>
            <w:r>
              <w:rPr>
                <w:sz w:val="19"/>
              </w:rPr>
              <w:t>Task 1 · Block 1.3</w:t>
            </w:r>
            <w:r>
              <w:br/>
            </w:r>
            <w:r>
              <w:rPr>
                <w:sz w:val="19"/>
              </w:rPr>
              <w:t>Trainer document, section Coaching</w:t>
            </w:r>
          </w:p>
        </w:tc>
        <w:tc>
          <w:tcPr>
            <w:tcW w:type="dxa" w:w="1849"/>
          </w:tcPr>
          <w:p>
            <w:pPr>
              <w:spacing w:before="0" w:after="0"/>
            </w:pPr>
            <w:r>
              <w:rPr>
                <w:sz w:val="19"/>
              </w:rPr>
              <w:t>Trainer only + Handout</w:t>
            </w:r>
          </w:p>
        </w:tc>
      </w:tr>
      <w:tr>
        <w:trPr>
          <w:cantSplit/>
        </w:trPr>
        <w:tc>
          <w:tcPr>
            <w:tcW w:type="dxa" w:w="597"/>
          </w:tcPr>
          <w:p>
            <w:pPr>
              <w:spacing w:before="0" w:after="0"/>
            </w:pPr>
            <w:r>
              <w:rPr>
                <w:b/>
                <w:sz w:val="19"/>
              </w:rPr>
              <w:t>5–6</w:t>
            </w:r>
          </w:p>
        </w:tc>
        <w:tc>
          <w:tcPr>
            <w:tcW w:type="dxa" w:w="597"/>
          </w:tcPr>
          <w:p>
            <w:pPr>
              <w:spacing w:before="0" w:after="0"/>
            </w:pPr>
            <w:r>
              <w:rPr>
                <w:sz w:val="19"/>
              </w:rPr>
              <w:t>90</w:t>
            </w:r>
          </w:p>
        </w:tc>
        <w:tc>
          <w:tcPr>
            <w:tcW w:type="dxa" w:w="1800"/>
          </w:tcPr>
          <w:p>
            <w:pPr>
              <w:spacing w:before="0" w:after="0"/>
            </w:pPr>
            <w:r>
              <w:rPr>
                <w:sz w:val="19"/>
              </w:rPr>
              <w:t>Level 2 · Case study SkillUp (</w:t>
            </w:r>
            <w:r>
              <w:rPr>
                <w:b/>
                <w:sz w:val="19"/>
              </w:rPr>
              <w:t>2 UE</w:t>
            </w:r>
            <w:r>
              <w:rPr>
                <w:sz w:val="19"/>
              </w:rPr>
              <w:t>) incl. model solution</w:t>
            </w:r>
          </w:p>
        </w:tc>
        <w:tc>
          <w:tcPr>
            <w:tcW w:type="dxa" w:w="3292"/>
          </w:tcPr>
          <w:p>
            <w:pPr>
              <w:spacing w:before="0" w:after="0"/>
            </w:pPr>
            <w:r>
              <w:rPr>
                <w:sz w:val="19"/>
              </w:rPr>
              <w:t>UE5: the trainer presents the case; participants work on Block 2.1 (Optional, about 7 min) and Block 2.2 (Core, about 17 min). UE6: groups compare their order and defend it; the trainer closes with the model solution (core logic).</w:t>
            </w:r>
          </w:p>
        </w:tc>
        <w:tc>
          <w:tcPr>
            <w:tcW w:type="dxa" w:w="1503"/>
          </w:tcPr>
          <w:p>
            <w:pPr>
              <w:spacing w:before="0" w:after="0"/>
            </w:pPr>
            <w:r>
              <w:rPr>
                <w:sz w:val="19"/>
              </w:rPr>
              <w:t>Task 1 · Part 2 · Blocks 2.1, 2.2</w:t>
            </w:r>
            <w:r>
              <w:br/>
            </w:r>
            <w:r>
              <w:rPr>
                <w:sz w:val="19"/>
              </w:rPr>
              <w:t>Trainer document, section Case study</w:t>
            </w:r>
          </w:p>
        </w:tc>
        <w:tc>
          <w:tcPr>
            <w:tcW w:type="dxa" w:w="1849"/>
          </w:tcPr>
          <w:p>
            <w:pPr>
              <w:spacing w:before="0" w:after="0"/>
            </w:pPr>
            <w:r>
              <w:rPr>
                <w:sz w:val="19"/>
              </w:rPr>
              <w:t>Handout; model solution shown after the work</w:t>
            </w:r>
          </w:p>
        </w:tc>
      </w:tr>
      <w:tr>
        <w:trPr>
          <w:cantSplit/>
        </w:trPr>
        <w:tc>
          <w:tcPr>
            <w:tcW w:type="dxa" w:w="597"/>
          </w:tcPr>
          <w:p>
            <w:pPr>
              <w:spacing w:before="0" w:after="0"/>
            </w:pPr>
            <w:r>
              <w:rPr>
                <w:b/>
                <w:sz w:val="19"/>
              </w:rPr>
              <w:t>7</w:t>
            </w:r>
          </w:p>
        </w:tc>
        <w:tc>
          <w:tcPr>
            <w:tcW w:type="dxa" w:w="597"/>
          </w:tcPr>
          <w:p>
            <w:pPr>
              <w:spacing w:before="0" w:after="0"/>
            </w:pPr>
            <w:r>
              <w:rPr>
                <w:sz w:val="19"/>
              </w:rPr>
              <w:t>45</w:t>
            </w:r>
          </w:p>
        </w:tc>
        <w:tc>
          <w:tcPr>
            <w:tcW w:type="dxa" w:w="1800"/>
          </w:tcPr>
          <w:p>
            <w:pPr>
              <w:spacing w:before="0" w:after="0"/>
            </w:pPr>
            <w:r>
              <w:rPr>
                <w:sz w:val="19"/>
              </w:rPr>
              <w:t>Level 2 + 3 · Feedback round with a management perspective</w:t>
            </w:r>
          </w:p>
        </w:tc>
        <w:tc>
          <w:tcPr>
            <w:tcW w:type="dxa" w:w="3292"/>
          </w:tcPr>
          <w:p>
            <w:pPr>
              <w:spacing w:before="0" w:after="0"/>
            </w:pPr>
            <w:r>
              <w:rPr>
                <w:sz w:val="19"/>
              </w:rPr>
              <w:t>Groups present their reasoning, not only their result. The trainer asks the day's Level 3 input questions and leads the discussion.</w:t>
            </w:r>
          </w:p>
        </w:tc>
        <w:tc>
          <w:tcPr>
            <w:tcW w:type="dxa" w:w="1503"/>
          </w:tcPr>
          <w:p>
            <w:pPr>
              <w:spacing w:before="0" w:after="0"/>
            </w:pPr>
            <w:r>
              <w:rPr>
                <w:sz w:val="19"/>
              </w:rPr>
              <w:t>Trainer document, section Feedback round</w:t>
            </w:r>
          </w:p>
        </w:tc>
        <w:tc>
          <w:tcPr>
            <w:tcW w:type="dxa" w:w="1849"/>
          </w:tcPr>
          <w:p>
            <w:pPr>
              <w:spacing w:before="0" w:after="0"/>
            </w:pPr>
            <w:r>
              <w:rPr>
                <w:sz w:val="19"/>
              </w:rPr>
              <w:t>Presentation by the groups; Trainer only</w:t>
            </w:r>
          </w:p>
        </w:tc>
      </w:tr>
      <w:tr>
        <w:trPr>
          <w:cantSplit/>
        </w:trPr>
        <w:tc>
          <w:tcPr>
            <w:tcW w:type="dxa" w:w="597"/>
          </w:tcPr>
          <w:p>
            <w:pPr>
              <w:spacing w:before="0" w:after="0"/>
            </w:pPr>
            <w:r>
              <w:rPr>
                <w:b/>
                <w:sz w:val="19"/>
              </w:rPr>
              <w:t>8</w:t>
            </w:r>
          </w:p>
        </w:tc>
        <w:tc>
          <w:tcPr>
            <w:tcW w:type="dxa" w:w="597"/>
          </w:tcPr>
          <w:p>
            <w:pPr>
              <w:spacing w:before="0" w:after="0"/>
            </w:pPr>
            <w:r>
              <w:rPr>
                <w:sz w:val="19"/>
              </w:rPr>
              <w:t>45</w:t>
            </w:r>
          </w:p>
        </w:tc>
        <w:tc>
          <w:tcPr>
            <w:tcW w:type="dxa" w:w="1800"/>
          </w:tcPr>
          <w:p>
            <w:pPr>
              <w:spacing w:before="0" w:after="0"/>
            </w:pPr>
            <w:r>
              <w:rPr>
                <w:sz w:val="19"/>
              </w:rPr>
              <w:t>Level 3 · Transfer project, Chief UX Officer (</w:t>
            </w:r>
            <w:r>
              <w:rPr>
                <w:b/>
                <w:sz w:val="19"/>
              </w:rPr>
              <w:t>3 UE</w:t>
            </w:r>
            <w:r>
              <w:rPr>
                <w:sz w:val="19"/>
              </w:rPr>
              <w:t>: UE8–10)</w:t>
            </w:r>
          </w:p>
        </w:tc>
        <w:tc>
          <w:tcPr>
            <w:tcW w:type="dxa" w:w="3292"/>
          </w:tcPr>
          <w:p>
            <w:pPr>
              <w:spacing w:before="0" w:after="0"/>
            </w:pPr>
            <w:r>
              <w:rPr>
                <w:sz w:val="19"/>
              </w:rPr>
              <w:t>The trainer presents Materi B (B1, B2, B3; use the "In plain words" and "How to decide" boxes, the rest is handout) and sets the role and the brief.</w:t>
            </w:r>
          </w:p>
        </w:tc>
        <w:tc>
          <w:tcPr>
            <w:tcW w:type="dxa" w:w="1503"/>
          </w:tcPr>
          <w:p>
            <w:pPr>
              <w:spacing w:before="0" w:after="0"/>
            </w:pPr>
            <w:r>
              <w:rPr>
                <w:sz w:val="19"/>
              </w:rPr>
              <w:t>Materi B (Route 2)</w:t>
            </w:r>
          </w:p>
        </w:tc>
        <w:tc>
          <w:tcPr>
            <w:tcW w:type="dxa" w:w="1849"/>
          </w:tcPr>
          <w:p>
            <w:pPr>
              <w:spacing w:before="0" w:after="0"/>
            </w:pPr>
            <w:r>
              <w:rPr>
                <w:sz w:val="19"/>
              </w:rPr>
              <w:t>Presentation + Handout</w:t>
            </w:r>
          </w:p>
        </w:tc>
      </w:tr>
      <w:tr>
        <w:trPr>
          <w:cantSplit/>
        </w:trPr>
        <w:tc>
          <w:tcPr>
            <w:tcW w:type="dxa" w:w="597"/>
          </w:tcPr>
          <w:p>
            <w:pPr>
              <w:spacing w:before="0" w:after="0"/>
            </w:pPr>
            <w:r>
              <w:rPr>
                <w:b/>
                <w:sz w:val="19"/>
              </w:rPr>
              <w:t>9</w:t>
            </w:r>
          </w:p>
        </w:tc>
        <w:tc>
          <w:tcPr>
            <w:tcW w:type="dxa" w:w="597"/>
          </w:tcPr>
          <w:p>
            <w:pPr>
              <w:spacing w:before="0" w:after="0"/>
            </w:pPr>
            <w:r>
              <w:rPr>
                <w:sz w:val="19"/>
              </w:rPr>
              <w:t>45</w:t>
            </w:r>
          </w:p>
        </w:tc>
        <w:tc>
          <w:tcPr>
            <w:tcW w:type="dxa" w:w="1800"/>
          </w:tcPr>
          <w:p>
            <w:pPr>
              <w:spacing w:before="0" w:after="0"/>
            </w:pPr>
            <w:r>
              <w:rPr>
                <w:sz w:val="19"/>
              </w:rPr>
              <w:t>Level 3 · Transfer project</w:t>
            </w:r>
          </w:p>
        </w:tc>
        <w:tc>
          <w:tcPr>
            <w:tcW w:type="dxa" w:w="3292"/>
          </w:tcPr>
          <w:p>
            <w:pPr>
              <w:spacing w:before="0" w:after="0"/>
            </w:pPr>
            <w:r>
              <w:rPr>
                <w:sz w:val="19"/>
              </w:rPr>
              <w:t>Individual work or in pairs on Block 3.1 (Core, about 9 min).</w:t>
            </w:r>
          </w:p>
        </w:tc>
        <w:tc>
          <w:tcPr>
            <w:tcW w:type="dxa" w:w="1503"/>
          </w:tcPr>
          <w:p>
            <w:pPr>
              <w:spacing w:before="0" w:after="0"/>
            </w:pPr>
            <w:r>
              <w:rPr>
                <w:sz w:val="19"/>
              </w:rPr>
              <w:t>Task 2 · Block 3.1</w:t>
            </w:r>
          </w:p>
        </w:tc>
        <w:tc>
          <w:tcPr>
            <w:tcW w:type="dxa" w:w="1849"/>
          </w:tcPr>
          <w:p>
            <w:pPr>
              <w:spacing w:before="0" w:after="0"/>
            </w:pPr>
            <w:r>
              <w:rPr>
                <w:sz w:val="19"/>
              </w:rPr>
              <w:t>Handout (or on the playground)</w:t>
            </w:r>
          </w:p>
        </w:tc>
      </w:tr>
      <w:tr>
        <w:trPr>
          <w:cantSplit/>
        </w:trPr>
        <w:tc>
          <w:tcPr>
            <w:tcW w:type="dxa" w:w="597"/>
          </w:tcPr>
          <w:p>
            <w:pPr>
              <w:spacing w:before="0" w:after="0"/>
            </w:pPr>
            <w:r>
              <w:rPr>
                <w:b/>
                <w:sz w:val="19"/>
              </w:rPr>
              <w:t>10</w:t>
            </w:r>
          </w:p>
        </w:tc>
        <w:tc>
          <w:tcPr>
            <w:tcW w:type="dxa" w:w="597"/>
          </w:tcPr>
          <w:p>
            <w:pPr>
              <w:spacing w:before="0" w:after="0"/>
            </w:pPr>
            <w:r>
              <w:rPr>
                <w:sz w:val="19"/>
              </w:rPr>
              <w:t>45</w:t>
            </w:r>
          </w:p>
        </w:tc>
        <w:tc>
          <w:tcPr>
            <w:tcW w:type="dxa" w:w="1800"/>
          </w:tcPr>
          <w:p>
            <w:pPr>
              <w:spacing w:before="0" w:after="0"/>
            </w:pPr>
            <w:r>
              <w:rPr>
                <w:sz w:val="19"/>
              </w:rPr>
              <w:t>Level 3 · Transfer project</w:t>
            </w:r>
          </w:p>
        </w:tc>
        <w:tc>
          <w:tcPr>
            <w:tcW w:type="dxa" w:w="3292"/>
          </w:tcPr>
          <w:p>
            <w:pPr>
              <w:spacing w:before="0" w:after="0"/>
            </w:pPr>
            <w:r>
              <w:rPr>
                <w:sz w:val="19"/>
              </w:rPr>
              <w:t>Block 3.2 (Core, about 11 min): the decision despite incomplete data. Participants then present the decision and what they give up; the trainer debriefs with the model solution.</w:t>
            </w:r>
          </w:p>
        </w:tc>
        <w:tc>
          <w:tcPr>
            <w:tcW w:type="dxa" w:w="1503"/>
          </w:tcPr>
          <w:p>
            <w:pPr>
              <w:spacing w:before="0" w:after="0"/>
            </w:pPr>
            <w:r>
              <w:rPr>
                <w:sz w:val="19"/>
              </w:rPr>
              <w:t>Task 2 · Block 3.2</w:t>
            </w:r>
            <w:r>
              <w:br/>
            </w:r>
            <w:r>
              <w:rPr>
                <w:sz w:val="19"/>
              </w:rPr>
              <w:t>Trainer document, section Transfer project</w:t>
            </w:r>
          </w:p>
        </w:tc>
        <w:tc>
          <w:tcPr>
            <w:tcW w:type="dxa" w:w="1849"/>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Optional blocks and cards can be skipped;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242"/>
        <w:gridCol w:w="1029"/>
        <w:gridCol w:w="1477"/>
        <w:gridCol w:w="2539"/>
        <w:gridCol w:w="2351"/>
      </w:tblGrid>
      <w:tr>
        <w:trPr>
          <w:cantSplit/>
          <w:tblHeader/>
        </w:trPr>
        <w:tc>
          <w:tcPr>
            <w:tcW w:type="dxa" w:w="2242"/>
            <w:shd w:val="clear" w:color="auto" w:fill="E6ECF4"/>
          </w:tcPr>
          <w:p>
            <w:pPr>
              <w:spacing w:before="0" w:after="0"/>
            </w:pPr>
            <w:r>
              <w:rPr>
                <w:b/>
                <w:sz w:val="19"/>
              </w:rPr>
              <w:t>Component</w:t>
            </w:r>
          </w:p>
        </w:tc>
        <w:tc>
          <w:tcPr>
            <w:tcW w:type="dxa" w:w="1029"/>
            <w:shd w:val="clear" w:color="auto" w:fill="E6ECF4"/>
          </w:tcPr>
          <w:p>
            <w:pPr>
              <w:spacing w:before="0" w:after="0"/>
            </w:pPr>
            <w:r>
              <w:rPr>
                <w:b/>
                <w:sz w:val="19"/>
              </w:rPr>
              <w:t>UE</w:t>
            </w:r>
          </w:p>
        </w:tc>
        <w:tc>
          <w:tcPr>
            <w:tcW w:type="dxa" w:w="1477"/>
            <w:shd w:val="clear" w:color="auto" w:fill="E6ECF4"/>
          </w:tcPr>
          <w:p>
            <w:pPr>
              <w:spacing w:before="0" w:after="0"/>
            </w:pPr>
            <w:r>
              <w:rPr>
                <w:b/>
                <w:sz w:val="19"/>
              </w:rPr>
              <w:t>Duration</w:t>
            </w:r>
          </w:p>
        </w:tc>
        <w:tc>
          <w:tcPr>
            <w:tcW w:type="dxa" w:w="2539"/>
            <w:shd w:val="clear" w:color="auto" w:fill="E6ECF4"/>
          </w:tcPr>
          <w:p>
            <w:pPr>
              <w:spacing w:before="0" w:after="0"/>
            </w:pPr>
            <w:r>
              <w:rPr>
                <w:b/>
                <w:sz w:val="19"/>
              </w:rPr>
              <w:t>Participants work in</w:t>
            </w:r>
          </w:p>
        </w:tc>
        <w:tc>
          <w:tcPr>
            <w:tcW w:type="dxa" w:w="2351"/>
            <w:shd w:val="clear" w:color="auto" w:fill="E6ECF4"/>
          </w:tcPr>
          <w:p>
            <w:pPr>
              <w:spacing w:before="0" w:after="0"/>
            </w:pPr>
            <w:r>
              <w:rPr>
                <w:b/>
                <w:sz w:val="19"/>
              </w:rPr>
              <w:t>Model solution in</w:t>
            </w:r>
          </w:p>
        </w:tc>
      </w:tr>
      <w:tr>
        <w:trPr>
          <w:cantSplit/>
        </w:trPr>
        <w:tc>
          <w:tcPr>
            <w:tcW w:type="dxa" w:w="2242"/>
          </w:tcPr>
          <w:p>
            <w:pPr>
              <w:spacing w:before="0" w:after="0"/>
            </w:pPr>
            <w:r>
              <w:rPr>
                <w:b/>
                <w:sz w:val="19"/>
              </w:rPr>
              <w:t>Level 2 case study</w:t>
            </w:r>
            <w:r>
              <w:rPr>
                <w:sz w:val="19"/>
              </w:rPr>
              <w:t xml:space="preserve"> (SkillUp)</w:t>
            </w:r>
          </w:p>
        </w:tc>
        <w:tc>
          <w:tcPr>
            <w:tcW w:type="dxa" w:w="1029"/>
          </w:tcPr>
          <w:p>
            <w:pPr>
              <w:spacing w:before="0" w:after="0"/>
            </w:pPr>
            <w:r>
              <w:rPr>
                <w:sz w:val="19"/>
              </w:rPr>
              <w:t>UE5–6</w:t>
            </w:r>
          </w:p>
        </w:tc>
        <w:tc>
          <w:tcPr>
            <w:tcW w:type="dxa" w:w="1477"/>
          </w:tcPr>
          <w:p>
            <w:pPr>
              <w:spacing w:before="0" w:after="0"/>
            </w:pPr>
            <w:r>
              <w:rPr>
                <w:b/>
                <w:sz w:val="19"/>
              </w:rPr>
              <w:t>2 UE</w:t>
            </w:r>
            <w:r>
              <w:rPr>
                <w:sz w:val="19"/>
              </w:rPr>
              <w:t xml:space="preserve"> · 90 min</w:t>
            </w:r>
          </w:p>
        </w:tc>
        <w:tc>
          <w:tcPr>
            <w:tcW w:type="dxa" w:w="2539"/>
          </w:tcPr>
          <w:p>
            <w:pPr>
              <w:spacing w:before="0" w:after="0"/>
            </w:pPr>
            <w:r>
              <w:rPr>
                <w:sz w:val="19"/>
              </w:rPr>
              <w:t>Task 1 · Part 2 (Blocks 2.1, 2.2)</w:t>
            </w:r>
          </w:p>
        </w:tc>
        <w:tc>
          <w:tcPr>
            <w:tcW w:type="dxa" w:w="2351"/>
          </w:tcPr>
          <w:p>
            <w:pPr>
              <w:spacing w:before="0" w:after="0"/>
            </w:pPr>
            <w:r>
              <w:rPr>
                <w:sz w:val="19"/>
              </w:rPr>
              <w:t>Trainer document, section Case study</w:t>
            </w:r>
          </w:p>
        </w:tc>
      </w:tr>
      <w:tr>
        <w:trPr>
          <w:cantSplit/>
        </w:trPr>
        <w:tc>
          <w:tcPr>
            <w:tcW w:type="dxa" w:w="2242"/>
          </w:tcPr>
          <w:p>
            <w:pPr>
              <w:spacing w:before="0" w:after="0"/>
            </w:pPr>
            <w:r>
              <w:rPr>
                <w:b/>
                <w:sz w:val="19"/>
              </w:rPr>
              <w:t>Level 3 transfer project</w:t>
            </w:r>
            <w:r>
              <w:rPr>
                <w:sz w:val="19"/>
              </w:rPr>
              <w:t xml:space="preserve"> (Chief UX Officer)</w:t>
            </w:r>
          </w:p>
        </w:tc>
        <w:tc>
          <w:tcPr>
            <w:tcW w:type="dxa" w:w="1029"/>
          </w:tcPr>
          <w:p>
            <w:pPr>
              <w:spacing w:before="0" w:after="0"/>
            </w:pPr>
            <w:r>
              <w:rPr>
                <w:sz w:val="19"/>
              </w:rPr>
              <w:t>UE8–10</w:t>
            </w:r>
          </w:p>
        </w:tc>
        <w:tc>
          <w:tcPr>
            <w:tcW w:type="dxa" w:w="1477"/>
          </w:tcPr>
          <w:p>
            <w:pPr>
              <w:spacing w:before="0" w:after="0"/>
            </w:pPr>
            <w:r>
              <w:rPr>
                <w:b/>
                <w:sz w:val="19"/>
              </w:rPr>
              <w:t>3 UE</w:t>
            </w:r>
            <w:r>
              <w:rPr>
                <w:sz w:val="19"/>
              </w:rPr>
              <w:t xml:space="preserve"> · 135 min</w:t>
            </w:r>
          </w:p>
        </w:tc>
        <w:tc>
          <w:tcPr>
            <w:tcW w:type="dxa" w:w="2539"/>
          </w:tcPr>
          <w:p>
            <w:pPr>
              <w:spacing w:before="0" w:after="0"/>
            </w:pPr>
            <w:r>
              <w:rPr>
                <w:sz w:val="19"/>
              </w:rPr>
              <w:t>Materi B and Task 2 (Blocks 3.1, 3.2)</w:t>
            </w:r>
          </w:p>
        </w:tc>
        <w:tc>
          <w:tcPr>
            <w:tcW w:type="dxa" w:w="2351"/>
          </w:tcPr>
          <w:p>
            <w:pPr>
              <w:spacing w:before="0" w:after="0"/>
            </w:pPr>
            <w:r>
              <w:rPr>
                <w:sz w:val="19"/>
              </w:rPr>
              <w:t>Trainer document, section Transfer project</w:t>
            </w:r>
          </w:p>
        </w:tc>
      </w:tr>
    </w:tbl>
    <w:p>
      <w:pPr>
        <w:spacing w:before="0" w:after="80"/>
      </w:pPr>
    </w:p>
    <w:p>
      <w:pPr>
        <w:pStyle w:val="Heading1"/>
        <w:pBdr>
          <w:bottom w:val="single" w:sz="8" w:space="2" w:color="17212E"/>
        </w:pBdr>
      </w:pPr>
      <w:r>
        <w:rPr/>
        <w:t>Block orientation (Blockorientierung)</w:t>
      </w:r>
    </w:p>
    <w:p>
      <w:pPr>
        <w:spacing w:before="0" w:after="100"/>
      </w:pPr>
      <w:r>
        <w:rPr/>
        <w:t>This page orients you before the first day. It says what the course is, how a day runs, which documents you will meet, and what is expected of you.</w:t>
      </w:r>
    </w:p>
    <w:p>
      <w:pPr>
        <w:pStyle w:val="Heading2"/>
      </w:pPr>
      <w:r>
        <w:rPr/>
        <w:t>The course: sixteen days, eight modules</w:t>
      </w:r>
    </w:p>
    <w:p>
      <w:pPr>
        <w:spacing w:before="0" w:after="100"/>
      </w:pPr>
      <w:r>
        <w:rPr/>
        <w:t xml:space="preserve">The course </w:t>
      </w:r>
      <w:r>
        <w:rPr>
          <w:i/>
        </w:rPr>
        <w:t>Educational UX/UI Design</w:t>
      </w:r>
      <w:r>
        <w:rPr/>
        <w:t xml:space="preserve"> (Habmann AufstiegsAkademie, One Stop Digital Learning) runs over sixteen days. One thread runs through every day: </w:t>
      </w:r>
      <w:r>
        <w:rPr>
          <w:b/>
        </w:rPr>
        <w:t>UX is a decision problem, not a design problem.</w:t>
      </w:r>
      <w:r>
        <w:rPr/>
        <w:t xml:space="preserve"> You are asked to think like a decision-maker, not like a designer: to weigh options against a budget, a deadline and conflicting goals, and to say why.</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117"/>
        <w:gridCol w:w="793"/>
        <w:gridCol w:w="7728"/>
      </w:tblGrid>
      <w:tr>
        <w:trPr>
          <w:cantSplit/>
          <w:tblHeader/>
        </w:trPr>
        <w:tc>
          <w:tcPr>
            <w:tcW w:type="dxa" w:w="1117"/>
            <w:shd w:val="clear" w:color="auto" w:fill="E6ECF4"/>
          </w:tcPr>
          <w:p>
            <w:pPr>
              <w:spacing w:before="0" w:after="0"/>
            </w:pPr>
            <w:r>
              <w:rPr>
                <w:b/>
                <w:sz w:val="20"/>
              </w:rPr>
              <w:t>Module</w:t>
            </w:r>
          </w:p>
        </w:tc>
        <w:tc>
          <w:tcPr>
            <w:tcW w:type="dxa" w:w="793"/>
            <w:shd w:val="clear" w:color="auto" w:fill="E6ECF4"/>
          </w:tcPr>
          <w:p>
            <w:pPr>
              <w:spacing w:before="0" w:after="0"/>
            </w:pPr>
            <w:r>
              <w:rPr>
                <w:b/>
                <w:sz w:val="20"/>
              </w:rPr>
              <w:t>Day</w:t>
            </w:r>
          </w:p>
        </w:tc>
        <w:tc>
          <w:tcPr>
            <w:tcW w:type="dxa" w:w="7728"/>
            <w:shd w:val="clear" w:color="auto" w:fill="E6ECF4"/>
          </w:tcPr>
          <w:p>
            <w:pPr>
              <w:spacing w:before="0" w:after="0"/>
            </w:pPr>
            <w:r>
              <w:rPr>
                <w:b/>
                <w:sz w:val="20"/>
              </w:rPr>
              <w:t>Topic</w:t>
            </w:r>
          </w:p>
        </w:tc>
      </w:tr>
      <w:tr>
        <w:trPr>
          <w:cantSplit/>
        </w:trPr>
        <w:tc>
          <w:tcPr>
            <w:tcW w:type="dxa" w:w="1117"/>
          </w:tcPr>
          <w:p>
            <w:pPr>
              <w:spacing w:before="0" w:after="0"/>
            </w:pPr>
            <w:r>
              <w:rPr>
                <w:sz w:val="20"/>
              </w:rPr>
              <w:t>Module 1</w:t>
            </w:r>
          </w:p>
        </w:tc>
        <w:tc>
          <w:tcPr>
            <w:tcW w:type="dxa" w:w="793"/>
          </w:tcPr>
          <w:p>
            <w:pPr>
              <w:spacing w:before="0" w:after="0"/>
            </w:pPr>
            <w:r>
              <w:rPr>
                <w:sz w:val="20"/>
              </w:rPr>
              <w:t>1</w:t>
            </w:r>
          </w:p>
        </w:tc>
        <w:tc>
          <w:tcPr>
            <w:tcW w:type="dxa" w:w="7728"/>
          </w:tcPr>
          <w:p>
            <w:pPr>
              <w:spacing w:before="0" w:after="0"/>
            </w:pPr>
            <w:r>
              <w:rPr>
                <w:sz w:val="20"/>
              </w:rPr>
              <w:t>Fundamentals of UX/UI design for learning platforms and user-centred design of learning interfaces</w:t>
            </w:r>
          </w:p>
        </w:tc>
      </w:tr>
      <w:tr>
        <w:trPr>
          <w:cantSplit/>
        </w:trPr>
        <w:tc>
          <w:tcPr>
            <w:tcW w:type="dxa" w:w="1117"/>
          </w:tcPr>
          <w:p>
            <w:pPr>
              <w:spacing w:before="0" w:after="0"/>
            </w:pPr>
          </w:p>
        </w:tc>
        <w:tc>
          <w:tcPr>
            <w:tcW w:type="dxa" w:w="793"/>
          </w:tcPr>
          <w:p>
            <w:pPr>
              <w:spacing w:before="0" w:after="0"/>
            </w:pPr>
            <w:r>
              <w:rPr>
                <w:sz w:val="20"/>
              </w:rPr>
              <w:t>2</w:t>
            </w:r>
          </w:p>
        </w:tc>
        <w:tc>
          <w:tcPr>
            <w:tcW w:type="dxa" w:w="7728"/>
          </w:tcPr>
          <w:p>
            <w:pPr>
              <w:spacing w:before="0" w:after="0"/>
            </w:pPr>
            <w:r>
              <w:rPr>
                <w:sz w:val="20"/>
              </w:rPr>
              <w:t>Successful e-learning platforms, prototyping and testing, future technologies and adaptive learning</w:t>
            </w:r>
          </w:p>
        </w:tc>
      </w:tr>
      <w:tr>
        <w:trPr>
          <w:cantSplit/>
        </w:trPr>
        <w:tc>
          <w:tcPr>
            <w:tcW w:type="dxa" w:w="1117"/>
          </w:tcPr>
          <w:p>
            <w:pPr>
              <w:spacing w:before="0" w:after="0"/>
            </w:pPr>
            <w:r>
              <w:rPr>
                <w:sz w:val="20"/>
              </w:rPr>
              <w:t>Module 2</w:t>
            </w:r>
          </w:p>
        </w:tc>
        <w:tc>
          <w:tcPr>
            <w:tcW w:type="dxa" w:w="793"/>
          </w:tcPr>
          <w:p>
            <w:pPr>
              <w:spacing w:before="0" w:after="0"/>
            </w:pPr>
            <w:r>
              <w:rPr>
                <w:sz w:val="20"/>
              </w:rPr>
              <w:t>3</w:t>
            </w:r>
          </w:p>
        </w:tc>
        <w:tc>
          <w:tcPr>
            <w:tcW w:type="dxa" w:w="7728"/>
          </w:tcPr>
          <w:p>
            <w:pPr>
              <w:spacing w:before="0" w:after="0"/>
            </w:pPr>
            <w:r>
              <w:rPr>
                <w:sz w:val="20"/>
              </w:rPr>
              <w:t>Learning psychology for UX designers, cognitive load and information processing</w:t>
            </w:r>
          </w:p>
        </w:tc>
      </w:tr>
      <w:tr>
        <w:trPr>
          <w:cantSplit/>
        </w:trPr>
        <w:tc>
          <w:tcPr>
            <w:tcW w:type="dxa" w:w="1117"/>
          </w:tcPr>
          <w:p>
            <w:pPr>
              <w:spacing w:before="0" w:after="0"/>
            </w:pPr>
          </w:p>
        </w:tc>
        <w:tc>
          <w:tcPr>
            <w:tcW w:type="dxa" w:w="793"/>
          </w:tcPr>
          <w:p>
            <w:pPr>
              <w:spacing w:before="0" w:after="0"/>
            </w:pPr>
            <w:r>
              <w:rPr>
                <w:sz w:val="20"/>
              </w:rPr>
              <w:t>4</w:t>
            </w:r>
          </w:p>
        </w:tc>
        <w:tc>
          <w:tcPr>
            <w:tcW w:type="dxa" w:w="7728"/>
          </w:tcPr>
          <w:p>
            <w:pPr>
              <w:spacing w:before="0" w:after="0"/>
            </w:pPr>
            <w:r>
              <w:rPr>
                <w:sz w:val="20"/>
              </w:rPr>
              <w:t>Motivation and engagement through design psychology, design principles, evaluation of learning-psychology-based UX concepts</w:t>
            </w:r>
          </w:p>
        </w:tc>
      </w:tr>
      <w:tr>
        <w:trPr>
          <w:cantSplit/>
        </w:trPr>
        <w:tc>
          <w:tcPr>
            <w:tcW w:type="dxa" w:w="1117"/>
          </w:tcPr>
          <w:p>
            <w:pPr>
              <w:spacing w:before="0" w:after="0"/>
            </w:pPr>
            <w:r>
              <w:rPr>
                <w:sz w:val="20"/>
              </w:rPr>
              <w:t>Module 3</w:t>
            </w:r>
          </w:p>
        </w:tc>
        <w:tc>
          <w:tcPr>
            <w:tcW w:type="dxa" w:w="793"/>
          </w:tcPr>
          <w:p>
            <w:pPr>
              <w:spacing w:before="0" w:after="0"/>
            </w:pPr>
            <w:r>
              <w:rPr>
                <w:sz w:val="20"/>
              </w:rPr>
              <w:t>5</w:t>
            </w:r>
          </w:p>
        </w:tc>
        <w:tc>
          <w:tcPr>
            <w:tcW w:type="dxa" w:w="7728"/>
          </w:tcPr>
          <w:p>
            <w:pPr>
              <w:spacing w:before="0" w:after="0"/>
            </w:pPr>
            <w:r>
              <w:rPr>
                <w:sz w:val="20"/>
              </w:rPr>
              <w:t>Fundamentals of user-centred UX design for learning platforms</w:t>
            </w:r>
          </w:p>
        </w:tc>
      </w:tr>
      <w:tr>
        <w:trPr>
          <w:cantSplit/>
        </w:trPr>
        <w:tc>
          <w:tcPr>
            <w:tcW w:type="dxa" w:w="1117"/>
          </w:tcPr>
          <w:p>
            <w:pPr>
              <w:spacing w:before="0" w:after="0"/>
            </w:pPr>
          </w:p>
        </w:tc>
        <w:tc>
          <w:tcPr>
            <w:tcW w:type="dxa" w:w="793"/>
          </w:tcPr>
          <w:p>
            <w:pPr>
              <w:spacing w:before="0" w:after="0"/>
            </w:pPr>
            <w:r>
              <w:rPr>
                <w:sz w:val="20"/>
              </w:rPr>
              <w:t>6</w:t>
            </w:r>
          </w:p>
        </w:tc>
        <w:tc>
          <w:tcPr>
            <w:tcW w:type="dxa" w:w="7728"/>
          </w:tcPr>
          <w:p>
            <w:pPr>
              <w:spacing w:before="0" w:after="0"/>
            </w:pPr>
            <w:r>
              <w:rPr>
                <w:sz w:val="20"/>
              </w:rPr>
              <w:t>Personas for learners and teachers, user journeys in the learning context</w:t>
            </w:r>
          </w:p>
        </w:tc>
      </w:tr>
      <w:tr>
        <w:trPr>
          <w:cantSplit/>
        </w:trPr>
        <w:tc>
          <w:tcPr>
            <w:tcW w:type="dxa" w:w="1117"/>
          </w:tcPr>
          <w:p>
            <w:pPr>
              <w:spacing w:before="0" w:after="0"/>
            </w:pPr>
          </w:p>
        </w:tc>
        <w:tc>
          <w:tcPr>
            <w:tcW w:type="dxa" w:w="793"/>
          </w:tcPr>
          <w:p>
            <w:pPr>
              <w:spacing w:before="0" w:after="0"/>
            </w:pPr>
            <w:r>
              <w:rPr>
                <w:sz w:val="20"/>
              </w:rPr>
              <w:t>7</w:t>
            </w:r>
          </w:p>
        </w:tc>
        <w:tc>
          <w:tcPr>
            <w:tcW w:type="dxa" w:w="7728"/>
          </w:tcPr>
          <w:p>
            <w:pPr>
              <w:spacing w:before="0" w:after="0"/>
            </w:pPr>
            <w:r>
              <w:rPr>
                <w:sz w:val="20"/>
              </w:rPr>
              <w:t>Accessibility and inclusive design, integration and evaluation of user-centred UX concepts</w:t>
            </w:r>
          </w:p>
        </w:tc>
      </w:tr>
      <w:tr>
        <w:trPr>
          <w:cantSplit/>
        </w:trPr>
        <w:tc>
          <w:tcPr>
            <w:tcW w:type="dxa" w:w="1117"/>
          </w:tcPr>
          <w:p>
            <w:pPr>
              <w:spacing w:before="0" w:after="0"/>
            </w:pPr>
            <w:r>
              <w:rPr>
                <w:sz w:val="20"/>
              </w:rPr>
              <w:t>Module 4</w:t>
            </w:r>
          </w:p>
        </w:tc>
        <w:tc>
          <w:tcPr>
            <w:tcW w:type="dxa" w:w="793"/>
          </w:tcPr>
          <w:p>
            <w:pPr>
              <w:spacing w:before="0" w:after="0"/>
            </w:pPr>
            <w:r>
              <w:rPr>
                <w:sz w:val="20"/>
              </w:rPr>
              <w:t>8</w:t>
            </w:r>
          </w:p>
        </w:tc>
        <w:tc>
          <w:tcPr>
            <w:tcW w:type="dxa" w:w="7728"/>
          </w:tcPr>
          <w:p>
            <w:pPr>
              <w:spacing w:before="0" w:after="0"/>
            </w:pPr>
            <w:r>
              <w:rPr>
                <w:sz w:val="20"/>
              </w:rPr>
              <w:t>Fundamentals of UX/UI design for digital learning environments</w:t>
            </w:r>
          </w:p>
        </w:tc>
      </w:tr>
      <w:tr>
        <w:trPr>
          <w:cantSplit/>
        </w:trPr>
        <w:tc>
          <w:tcPr>
            <w:tcW w:type="dxa" w:w="1117"/>
          </w:tcPr>
          <w:p>
            <w:pPr>
              <w:spacing w:before="0" w:after="0"/>
            </w:pPr>
          </w:p>
        </w:tc>
        <w:tc>
          <w:tcPr>
            <w:tcW w:type="dxa" w:w="793"/>
          </w:tcPr>
          <w:p>
            <w:pPr>
              <w:spacing w:before="0" w:after="0"/>
            </w:pPr>
            <w:r>
              <w:rPr>
                <w:sz w:val="20"/>
              </w:rPr>
              <w:t>9</w:t>
            </w:r>
          </w:p>
        </w:tc>
        <w:tc>
          <w:tcPr>
            <w:tcW w:type="dxa" w:w="7728"/>
          </w:tcPr>
          <w:p>
            <w:pPr>
              <w:spacing w:before="0" w:after="0"/>
            </w:pPr>
            <w:r>
              <w:rPr>
                <w:sz w:val="20"/>
              </w:rPr>
              <w:t>Information architecture and navigation, interactive elements and engagement strategies</w:t>
            </w:r>
          </w:p>
        </w:tc>
      </w:tr>
      <w:tr>
        <w:trPr>
          <w:cantSplit/>
        </w:trPr>
        <w:tc>
          <w:tcPr>
            <w:tcW w:type="dxa" w:w="1117"/>
          </w:tcPr>
          <w:p>
            <w:pPr>
              <w:spacing w:before="0" w:after="0"/>
            </w:pPr>
          </w:p>
        </w:tc>
        <w:tc>
          <w:tcPr>
            <w:tcW w:type="dxa" w:w="793"/>
          </w:tcPr>
          <w:p>
            <w:pPr>
              <w:spacing w:before="0" w:after="0"/>
            </w:pPr>
            <w:r>
              <w:rPr>
                <w:sz w:val="20"/>
              </w:rPr>
              <w:t>10</w:t>
            </w:r>
          </w:p>
        </w:tc>
        <w:tc>
          <w:tcPr>
            <w:tcW w:type="dxa" w:w="7728"/>
          </w:tcPr>
          <w:p>
            <w:pPr>
              <w:spacing w:before="0" w:after="0"/>
            </w:pPr>
            <w:r>
              <w:rPr>
                <w:sz w:val="20"/>
              </w:rPr>
              <w:t>Visual feedback and progress tracking, responsive design and accessibility</w:t>
            </w:r>
          </w:p>
        </w:tc>
      </w:tr>
      <w:tr>
        <w:trPr>
          <w:cantSplit/>
        </w:trPr>
        <w:tc>
          <w:tcPr>
            <w:tcW w:type="dxa" w:w="1117"/>
          </w:tcPr>
          <w:p>
            <w:pPr>
              <w:spacing w:before="0" w:after="0"/>
            </w:pPr>
            <w:r>
              <w:rPr>
                <w:sz w:val="20"/>
              </w:rPr>
              <w:t>Module 5</w:t>
            </w:r>
          </w:p>
        </w:tc>
        <w:tc>
          <w:tcPr>
            <w:tcW w:type="dxa" w:w="793"/>
          </w:tcPr>
          <w:p>
            <w:pPr>
              <w:spacing w:before="0" w:after="0"/>
            </w:pPr>
            <w:r>
              <w:rPr>
                <w:sz w:val="20"/>
              </w:rPr>
              <w:t>11</w:t>
            </w:r>
          </w:p>
        </w:tc>
        <w:tc>
          <w:tcPr>
            <w:tcW w:type="dxa" w:w="7728"/>
          </w:tcPr>
          <w:p>
            <w:pPr>
              <w:spacing w:before="0" w:after="0"/>
            </w:pPr>
            <w:r>
              <w:rPr>
                <w:sz w:val="20"/>
              </w:rPr>
              <w:t>Fundamentals of gamification in UX design, psychological foundations and motivation theories</w:t>
            </w:r>
          </w:p>
        </w:tc>
      </w:tr>
      <w:tr>
        <w:trPr>
          <w:cantSplit/>
        </w:trPr>
        <w:tc>
          <w:tcPr>
            <w:tcW w:type="dxa" w:w="1117"/>
          </w:tcPr>
          <w:p>
            <w:pPr>
              <w:spacing w:before="0" w:after="0"/>
            </w:pPr>
          </w:p>
        </w:tc>
        <w:tc>
          <w:tcPr>
            <w:tcW w:type="dxa" w:w="793"/>
          </w:tcPr>
          <w:p>
            <w:pPr>
              <w:spacing w:before="0" w:after="0"/>
            </w:pPr>
            <w:r>
              <w:rPr>
                <w:sz w:val="20"/>
              </w:rPr>
              <w:t>12</w:t>
            </w:r>
          </w:p>
        </w:tc>
        <w:tc>
          <w:tcPr>
            <w:tcW w:type="dxa" w:w="7728"/>
          </w:tcPr>
          <w:p>
            <w:pPr>
              <w:spacing w:before="0" w:after="0"/>
            </w:pPr>
            <w:r>
              <w:rPr>
                <w:sz w:val="20"/>
              </w:rPr>
              <w:t>Adaptive learning systems, UX patterns for personalised paths, practical project: a gamified platform</w:t>
            </w:r>
          </w:p>
        </w:tc>
      </w:tr>
      <w:tr>
        <w:trPr>
          <w:cantSplit/>
        </w:trPr>
        <w:tc>
          <w:tcPr>
            <w:tcW w:type="dxa" w:w="1117"/>
          </w:tcPr>
          <w:p>
            <w:pPr>
              <w:spacing w:before="0" w:after="0"/>
            </w:pPr>
            <w:r>
              <w:rPr>
                <w:sz w:val="20"/>
              </w:rPr>
              <w:t>Module 6</w:t>
            </w:r>
          </w:p>
        </w:tc>
        <w:tc>
          <w:tcPr>
            <w:tcW w:type="dxa" w:w="793"/>
          </w:tcPr>
          <w:p>
            <w:pPr>
              <w:spacing w:before="0" w:after="0"/>
            </w:pPr>
            <w:r>
              <w:rPr>
                <w:sz w:val="20"/>
              </w:rPr>
              <w:t>13</w:t>
            </w:r>
          </w:p>
        </w:tc>
        <w:tc>
          <w:tcPr>
            <w:tcW w:type="dxa" w:w="7728"/>
          </w:tcPr>
          <w:p>
            <w:pPr>
              <w:spacing w:before="0" w:after="0"/>
            </w:pPr>
            <w:r>
              <w:rPr>
                <w:sz w:val="20"/>
              </w:rPr>
              <w:t>Inclusive UX/UI design and accessibility in practice: WCAG</w:t>
            </w:r>
          </w:p>
        </w:tc>
      </w:tr>
      <w:tr>
        <w:trPr>
          <w:cantSplit/>
        </w:trPr>
        <w:tc>
          <w:tcPr>
            <w:tcW w:type="dxa" w:w="1117"/>
          </w:tcPr>
          <w:p>
            <w:pPr>
              <w:spacing w:before="0" w:after="0"/>
            </w:pPr>
          </w:p>
        </w:tc>
        <w:tc>
          <w:tcPr>
            <w:tcW w:type="dxa" w:w="793"/>
          </w:tcPr>
          <w:p>
            <w:pPr>
              <w:spacing w:before="0" w:after="0"/>
            </w:pPr>
            <w:r>
              <w:rPr>
                <w:sz w:val="20"/>
              </w:rPr>
              <w:t>14</w:t>
            </w:r>
          </w:p>
        </w:tc>
        <w:tc>
          <w:tcPr>
            <w:tcW w:type="dxa" w:w="7728"/>
          </w:tcPr>
          <w:p>
            <w:pPr>
              <w:spacing w:before="0" w:after="0"/>
            </w:pPr>
            <w:r>
              <w:rPr>
                <w:sz w:val="20"/>
              </w:rPr>
              <w:t>Plain language, intuitive learning environments, testing and optimising inclusive design</w:t>
            </w:r>
          </w:p>
        </w:tc>
      </w:tr>
      <w:tr>
        <w:trPr>
          <w:cantSplit/>
        </w:trPr>
        <w:tc>
          <w:tcPr>
            <w:tcW w:type="dxa" w:w="1117"/>
          </w:tcPr>
          <w:p>
            <w:pPr>
              <w:spacing w:before="0" w:after="0"/>
            </w:pPr>
            <w:r>
              <w:rPr>
                <w:sz w:val="20"/>
              </w:rPr>
              <w:t>Module 7</w:t>
            </w:r>
          </w:p>
        </w:tc>
        <w:tc>
          <w:tcPr>
            <w:tcW w:type="dxa" w:w="793"/>
          </w:tcPr>
          <w:p>
            <w:pPr>
              <w:spacing w:before="0" w:after="0"/>
            </w:pPr>
            <w:r>
              <w:rPr>
                <w:sz w:val="20"/>
              </w:rPr>
              <w:t>15</w:t>
            </w:r>
          </w:p>
        </w:tc>
        <w:tc>
          <w:tcPr>
            <w:tcW w:type="dxa" w:w="7728"/>
          </w:tcPr>
          <w:p>
            <w:pPr>
              <w:spacing w:before="0" w:after="0"/>
            </w:pPr>
            <w:r>
              <w:rPr>
                <w:sz w:val="20"/>
              </w:rPr>
              <w:t>Mobile learning UX, microlearning, responsive design, cross-device optimisation</w:t>
            </w:r>
          </w:p>
        </w:tc>
      </w:tr>
      <w:tr>
        <w:trPr>
          <w:cantSplit/>
        </w:trPr>
        <w:tc>
          <w:tcPr>
            <w:tcW w:type="dxa" w:w="1117"/>
          </w:tcPr>
          <w:p>
            <w:pPr>
              <w:spacing w:before="0" w:after="0"/>
            </w:pPr>
            <w:r>
              <w:rPr>
                <w:sz w:val="20"/>
              </w:rPr>
              <w:t>Module 8</w:t>
            </w:r>
          </w:p>
        </w:tc>
        <w:tc>
          <w:tcPr>
            <w:tcW w:type="dxa" w:w="793"/>
          </w:tcPr>
          <w:p>
            <w:pPr>
              <w:spacing w:before="0" w:after="0"/>
            </w:pPr>
            <w:r>
              <w:rPr>
                <w:sz w:val="20"/>
              </w:rPr>
              <w:t>16</w:t>
            </w:r>
          </w:p>
        </w:tc>
        <w:tc>
          <w:tcPr>
            <w:tcW w:type="dxa" w:w="7728"/>
          </w:tcPr>
          <w:p>
            <w:pPr>
              <w:spacing w:before="0" w:after="0"/>
            </w:pPr>
            <w:r>
              <w:rPr>
                <w:sz w:val="20"/>
              </w:rPr>
              <w:t>UX testing, analytics tools and tracking, KPIs, data-driven optimisation</w:t>
            </w:r>
          </w:p>
        </w:tc>
      </w:tr>
    </w:tbl>
    <w:p>
      <w:pPr>
        <w:spacing w:before="0" w:after="80"/>
      </w:pPr>
    </w:p>
    <w:p>
      <w:pPr>
        <w:spacing w:before="0" w:after="100"/>
      </w:pPr>
      <w:r>
        <w:rPr/>
        <w:t>This release contains the documents for Days 1 to 8. The documents for Days 9 to 16 follow in the same form.</w:t>
      </w:r>
    </w:p>
    <w:p>
      <w:pPr>
        <w:pStyle w:val="Heading2"/>
      </w:pPr>
      <w:r>
        <w:rPr/>
        <w:t>How every day runs</w:t>
      </w:r>
    </w:p>
    <w:p>
      <w:pPr>
        <w:spacing w:before="0" w:after="100"/>
      </w:pPr>
      <w:r>
        <w:rPr/>
        <w:t>Every day has the same ten teaching units (UE) and the same three levels of work.</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987"/>
        <w:gridCol w:w="5765"/>
        <w:gridCol w:w="2886"/>
      </w:tblGrid>
      <w:tr>
        <w:trPr>
          <w:cantSplit/>
          <w:tblHeader/>
        </w:trPr>
        <w:tc>
          <w:tcPr>
            <w:tcW w:type="dxa" w:w="987"/>
            <w:shd w:val="clear" w:color="auto" w:fill="E6ECF4"/>
          </w:tcPr>
          <w:p>
            <w:pPr>
              <w:spacing w:before="0" w:after="0"/>
            </w:pPr>
            <w:r>
              <w:rPr>
                <w:b/>
                <w:sz w:val="20"/>
              </w:rPr>
              <w:t>UE</w:t>
            </w:r>
          </w:p>
        </w:tc>
        <w:tc>
          <w:tcPr>
            <w:tcW w:type="dxa" w:w="5765"/>
            <w:shd w:val="clear" w:color="auto" w:fill="E6ECF4"/>
          </w:tcPr>
          <w:p>
            <w:pPr>
              <w:spacing w:before="0" w:after="0"/>
            </w:pPr>
            <w:r>
              <w:rPr>
                <w:b/>
                <w:sz w:val="20"/>
              </w:rPr>
              <w:t>What happens</w:t>
            </w:r>
          </w:p>
        </w:tc>
        <w:tc>
          <w:tcPr>
            <w:tcW w:type="dxa" w:w="2886"/>
            <w:shd w:val="clear" w:color="auto" w:fill="E6ECF4"/>
          </w:tcPr>
          <w:p>
            <w:pPr>
              <w:spacing w:before="0" w:after="0"/>
            </w:pPr>
            <w:r>
              <w:rPr>
                <w:b/>
                <w:sz w:val="20"/>
              </w:rPr>
              <w:t>Level</w:t>
            </w:r>
          </w:p>
        </w:tc>
      </w:tr>
      <w:tr>
        <w:trPr>
          <w:cantSplit/>
        </w:trPr>
        <w:tc>
          <w:tcPr>
            <w:tcW w:type="dxa" w:w="987"/>
          </w:tcPr>
          <w:p>
            <w:pPr>
              <w:spacing w:before="0" w:after="0"/>
            </w:pPr>
            <w:r>
              <w:rPr>
                <w:sz w:val="20"/>
              </w:rPr>
              <w:t>1</w:t>
            </w:r>
          </w:p>
        </w:tc>
        <w:tc>
          <w:tcPr>
            <w:tcW w:type="dxa" w:w="5765"/>
          </w:tcPr>
          <w:p>
            <w:pPr>
              <w:spacing w:before="0" w:after="0"/>
            </w:pPr>
            <w:r>
              <w:rPr>
                <w:sz w:val="20"/>
              </w:rPr>
              <w:t>Knowledge transfer: the trainer presents the day's topic</w:t>
            </w:r>
          </w:p>
        </w:tc>
        <w:tc>
          <w:tcPr>
            <w:tcW w:type="dxa" w:w="2886"/>
          </w:tcPr>
          <w:p>
            <w:pPr>
              <w:spacing w:before="0" w:after="0"/>
            </w:pPr>
            <w:r>
              <w:rPr>
                <w:sz w:val="20"/>
              </w:rPr>
              <w:t>Level 1 · Knowledge</w:t>
            </w:r>
          </w:p>
        </w:tc>
      </w:tr>
      <w:tr>
        <w:trPr>
          <w:cantSplit/>
        </w:trPr>
        <w:tc>
          <w:tcPr>
            <w:tcW w:type="dxa" w:w="987"/>
          </w:tcPr>
          <w:p>
            <w:pPr>
              <w:spacing w:before="0" w:after="0"/>
            </w:pPr>
            <w:r>
              <w:rPr>
                <w:sz w:val="20"/>
              </w:rPr>
              <w:t>2–3</w:t>
            </w:r>
          </w:p>
        </w:tc>
        <w:tc>
          <w:tcPr>
            <w:tcW w:type="dxa" w:w="5765"/>
          </w:tcPr>
          <w:p>
            <w:pPr>
              <w:spacing w:before="0" w:after="0"/>
            </w:pPr>
            <w:r>
              <w:rPr>
                <w:sz w:val="20"/>
              </w:rPr>
              <w:t>Two short tasks: take the user's side, then weigh options under limits</w:t>
            </w:r>
          </w:p>
        </w:tc>
        <w:tc>
          <w:tcPr>
            <w:tcW w:type="dxa" w:w="2886"/>
          </w:tcPr>
          <w:p>
            <w:pPr>
              <w:spacing w:before="0" w:after="0"/>
            </w:pPr>
            <w:r>
              <w:rPr>
                <w:sz w:val="20"/>
              </w:rPr>
              <w:t>Level 1 · Knowledge</w:t>
            </w:r>
          </w:p>
        </w:tc>
      </w:tr>
      <w:tr>
        <w:trPr>
          <w:cantSplit/>
        </w:trPr>
        <w:tc>
          <w:tcPr>
            <w:tcW w:type="dxa" w:w="987"/>
          </w:tcPr>
          <w:p>
            <w:pPr>
              <w:spacing w:before="0" w:after="0"/>
            </w:pPr>
            <w:r>
              <w:rPr>
                <w:sz w:val="20"/>
              </w:rPr>
              <w:t>4</w:t>
            </w:r>
          </w:p>
        </w:tc>
        <w:tc>
          <w:tcPr>
            <w:tcW w:type="dxa" w:w="5765"/>
          </w:tcPr>
          <w:p>
            <w:pPr>
              <w:spacing w:before="0" w:after="0"/>
            </w:pPr>
            <w:r>
              <w:rPr>
                <w:sz w:val="20"/>
              </w:rPr>
              <w:t>Coaching: from understanding to application</w:t>
            </w:r>
          </w:p>
        </w:tc>
        <w:tc>
          <w:tcPr>
            <w:tcW w:type="dxa" w:w="2886"/>
          </w:tcPr>
          <w:p>
            <w:pPr>
              <w:spacing w:before="0" w:after="0"/>
            </w:pPr>
            <w:r>
              <w:rPr>
                <w:sz w:val="20"/>
              </w:rPr>
              <w:t>Level 1 to 2</w:t>
            </w:r>
          </w:p>
        </w:tc>
      </w:tr>
      <w:tr>
        <w:trPr>
          <w:cantSplit/>
        </w:trPr>
        <w:tc>
          <w:tcPr>
            <w:tcW w:type="dxa" w:w="987"/>
          </w:tcPr>
          <w:p>
            <w:pPr>
              <w:spacing w:before="0" w:after="0"/>
            </w:pPr>
            <w:r>
              <w:rPr>
                <w:sz w:val="20"/>
              </w:rPr>
              <w:t>5–6</w:t>
            </w:r>
          </w:p>
        </w:tc>
        <w:tc>
          <w:tcPr>
            <w:tcW w:type="dxa" w:w="5765"/>
          </w:tcPr>
          <w:p>
            <w:pPr>
              <w:spacing w:before="0" w:after="0"/>
            </w:pPr>
            <w:r>
              <w:rPr>
                <w:sz w:val="20"/>
              </w:rPr>
              <w:t>Case study (2 UE) with a model solution</w:t>
            </w:r>
          </w:p>
        </w:tc>
        <w:tc>
          <w:tcPr>
            <w:tcW w:type="dxa" w:w="2886"/>
          </w:tcPr>
          <w:p>
            <w:pPr>
              <w:spacing w:before="0" w:after="0"/>
            </w:pPr>
            <w:r>
              <w:rPr>
                <w:sz w:val="20"/>
              </w:rPr>
              <w:t>Level 2 · Application</w:t>
            </w:r>
          </w:p>
        </w:tc>
      </w:tr>
      <w:tr>
        <w:trPr>
          <w:cantSplit/>
        </w:trPr>
        <w:tc>
          <w:tcPr>
            <w:tcW w:type="dxa" w:w="987"/>
          </w:tcPr>
          <w:p>
            <w:pPr>
              <w:spacing w:before="0" w:after="0"/>
            </w:pPr>
            <w:r>
              <w:rPr>
                <w:sz w:val="20"/>
              </w:rPr>
              <w:t>7</w:t>
            </w:r>
          </w:p>
        </w:tc>
        <w:tc>
          <w:tcPr>
            <w:tcW w:type="dxa" w:w="5765"/>
          </w:tcPr>
          <w:p>
            <w:pPr>
              <w:spacing w:before="0" w:after="0"/>
            </w:pPr>
            <w:r>
              <w:rPr>
                <w:sz w:val="20"/>
              </w:rPr>
              <w:t>Feedback round with a management perspective</w:t>
            </w:r>
          </w:p>
        </w:tc>
        <w:tc>
          <w:tcPr>
            <w:tcW w:type="dxa" w:w="2886"/>
          </w:tcPr>
          <w:p>
            <w:pPr>
              <w:spacing w:before="0" w:after="0"/>
            </w:pPr>
            <w:r>
              <w:rPr>
                <w:sz w:val="20"/>
              </w:rPr>
              <w:t>Level 2 + 3</w:t>
            </w:r>
          </w:p>
        </w:tc>
      </w:tr>
      <w:tr>
        <w:trPr>
          <w:cantSplit/>
        </w:trPr>
        <w:tc>
          <w:tcPr>
            <w:tcW w:type="dxa" w:w="987"/>
          </w:tcPr>
          <w:p>
            <w:pPr>
              <w:spacing w:before="0" w:after="0"/>
            </w:pPr>
            <w:r>
              <w:rPr>
                <w:sz w:val="20"/>
              </w:rPr>
              <w:t>8–10</w:t>
            </w:r>
          </w:p>
        </w:tc>
        <w:tc>
          <w:tcPr>
            <w:tcW w:type="dxa" w:w="5765"/>
          </w:tcPr>
          <w:p>
            <w:pPr>
              <w:spacing w:before="0" w:after="0"/>
            </w:pPr>
            <w:r>
              <w:rPr>
                <w:sz w:val="20"/>
              </w:rPr>
              <w:t>Transfer project (3 UE): you take a management role and decide</w:t>
            </w:r>
          </w:p>
        </w:tc>
        <w:tc>
          <w:tcPr>
            <w:tcW w:type="dxa" w:w="2886"/>
          </w:tcPr>
          <w:p>
            <w:pPr>
              <w:spacing w:before="0" w:after="0"/>
            </w:pPr>
            <w:r>
              <w:rPr>
                <w:sz w:val="20"/>
              </w:rPr>
              <w:t>Level 3 · Management decision</w:t>
            </w:r>
          </w:p>
        </w:tc>
      </w:tr>
    </w:tbl>
    <w:p>
      <w:pPr>
        <w:spacing w:before="0" w:after="80"/>
      </w:pPr>
    </w:p>
    <w:p>
      <w:pPr>
        <w:spacing w:before="0" w:after="100"/>
      </w:pPr>
      <w:r>
        <w:rPr>
          <w:b/>
        </w:rPr>
        <w:t>Level 1</w:t>
      </w:r>
      <w:r>
        <w:rPr/>
        <w:t xml:space="preserve"> asks you to understand and to take the learner's side. </w:t>
      </w:r>
      <w:r>
        <w:rPr>
          <w:b/>
        </w:rPr>
        <w:t>Level 2</w:t>
      </w:r>
      <w:r>
        <w:rPr/>
        <w:t xml:space="preserve"> asks you to analyse a learning interface and make first design decisions. </w:t>
      </w:r>
      <w:r>
        <w:rPr>
          <w:b/>
        </w:rPr>
        <w:t>Level 3</w:t>
      </w:r>
      <w:r>
        <w:rPr/>
        <w:t xml:space="preserve"> asks you to decide as a manager: to set priorities between user value, effort and business goals, and to decide even when the data is incomplete.</w:t>
      </w:r>
    </w:p>
    <w:p>
      <w:pPr>
        <w:pStyle w:val="Heading2"/>
      </w:pPr>
      <w:r>
        <w:rPr/>
        <w:t>Your documents and the playground</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601"/>
        <w:gridCol w:w="6118"/>
        <w:gridCol w:w="1919"/>
      </w:tblGrid>
      <w:tr>
        <w:trPr>
          <w:cantSplit/>
          <w:tblHeader/>
        </w:trPr>
        <w:tc>
          <w:tcPr>
            <w:tcW w:type="dxa" w:w="1601"/>
            <w:shd w:val="clear" w:color="auto" w:fill="E6ECF4"/>
          </w:tcPr>
          <w:p>
            <w:pPr>
              <w:spacing w:before="0" w:after="0"/>
            </w:pPr>
            <w:r>
              <w:rPr>
                <w:b/>
                <w:sz w:val="20"/>
              </w:rPr>
              <w:t>Document</w:t>
            </w:r>
          </w:p>
        </w:tc>
        <w:tc>
          <w:tcPr>
            <w:tcW w:type="dxa" w:w="6118"/>
            <w:shd w:val="clear" w:color="auto" w:fill="E6ECF4"/>
          </w:tcPr>
          <w:p>
            <w:pPr>
              <w:spacing w:before="0" w:after="0"/>
            </w:pPr>
            <w:r>
              <w:rPr>
                <w:b/>
                <w:sz w:val="20"/>
              </w:rPr>
              <w:t>What it is</w:t>
            </w:r>
          </w:p>
        </w:tc>
        <w:tc>
          <w:tcPr>
            <w:tcW w:type="dxa" w:w="1919"/>
            <w:shd w:val="clear" w:color="auto" w:fill="E6ECF4"/>
          </w:tcPr>
          <w:p>
            <w:pPr>
              <w:spacing w:before="0" w:after="0"/>
            </w:pPr>
            <w:r>
              <w:rPr>
                <w:b/>
                <w:sz w:val="20"/>
              </w:rPr>
              <w:t>Who has it</w:t>
            </w:r>
          </w:p>
        </w:tc>
      </w:tr>
      <w:tr>
        <w:trPr>
          <w:cantSplit/>
        </w:trPr>
        <w:tc>
          <w:tcPr>
            <w:tcW w:type="dxa" w:w="1601"/>
          </w:tcPr>
          <w:p>
            <w:pPr>
              <w:spacing w:before="0" w:after="0"/>
            </w:pPr>
            <w:r>
              <w:rPr>
                <w:b/>
                <w:sz w:val="20"/>
              </w:rPr>
              <w:t>Materi</w:t>
            </w:r>
            <w:r>
              <w:rPr>
                <w:sz w:val="20"/>
              </w:rPr>
              <w:t xml:space="preserve"> (A and B)</w:t>
            </w:r>
          </w:p>
        </w:tc>
        <w:tc>
          <w:tcPr>
            <w:tcW w:type="dxa" w:w="6118"/>
          </w:tcPr>
          <w:p>
            <w:pPr>
              <w:spacing w:before="0" w:after="0"/>
            </w:pPr>
            <w:r>
              <w:rPr>
                <w:sz w:val="20"/>
              </w:rPr>
              <w:t>Study material. Materi A serves Route 1 (Levels 1 and 2); Materi B serves Route 2 (Level 3).</w:t>
            </w:r>
          </w:p>
        </w:tc>
        <w:tc>
          <w:tcPr>
            <w:tcW w:type="dxa" w:w="1919"/>
          </w:tcPr>
          <w:p>
            <w:pPr>
              <w:spacing w:before="0" w:after="0"/>
            </w:pPr>
            <w:r>
              <w:rPr>
                <w:sz w:val="20"/>
              </w:rPr>
              <w:t>Participants (handout)</w:t>
            </w:r>
          </w:p>
        </w:tc>
      </w:tr>
      <w:tr>
        <w:trPr>
          <w:cantSplit/>
        </w:trPr>
        <w:tc>
          <w:tcPr>
            <w:tcW w:type="dxa" w:w="1601"/>
          </w:tcPr>
          <w:p>
            <w:pPr>
              <w:spacing w:before="0" w:after="0"/>
            </w:pPr>
            <w:r>
              <w:rPr>
                <w:b/>
                <w:sz w:val="20"/>
              </w:rPr>
              <w:t>Task</w:t>
            </w:r>
            <w:r>
              <w:rPr>
                <w:sz w:val="20"/>
              </w:rPr>
              <w:t xml:space="preserve"> (1 and 2)</w:t>
            </w:r>
          </w:p>
        </w:tc>
        <w:tc>
          <w:tcPr>
            <w:tcW w:type="dxa" w:w="6118"/>
          </w:tcPr>
          <w:p>
            <w:pPr>
              <w:spacing w:before="0" w:after="0"/>
            </w:pPr>
            <w:r>
              <w:rPr>
                <w:sz w:val="20"/>
              </w:rPr>
              <w:t>The worksheet with answer boxes. Task 1 is Route 1; Task 2 is Route 2. There are no answer keys and no scores in it.</w:t>
            </w:r>
          </w:p>
        </w:tc>
        <w:tc>
          <w:tcPr>
            <w:tcW w:type="dxa" w:w="1919"/>
          </w:tcPr>
          <w:p>
            <w:pPr>
              <w:spacing w:before="0" w:after="0"/>
            </w:pPr>
            <w:r>
              <w:rPr>
                <w:sz w:val="20"/>
              </w:rPr>
              <w:t>Participants (handout)</w:t>
            </w:r>
          </w:p>
        </w:tc>
      </w:tr>
      <w:tr>
        <w:trPr>
          <w:cantSplit/>
        </w:trPr>
        <w:tc>
          <w:tcPr>
            <w:tcW w:type="dxa" w:w="1601"/>
          </w:tcPr>
          <w:p>
            <w:pPr>
              <w:spacing w:before="0" w:after="0"/>
            </w:pPr>
            <w:r>
              <w:rPr>
                <w:b/>
                <w:sz w:val="20"/>
              </w:rPr>
              <w:t>Trainer</w:t>
            </w:r>
          </w:p>
        </w:tc>
        <w:tc>
          <w:tcPr>
            <w:tcW w:type="dxa" w:w="6118"/>
          </w:tcPr>
          <w:p>
            <w:pPr>
              <w:spacing w:before="0" w:after="0"/>
            </w:pPr>
            <w:r>
              <w:rPr>
                <w:sz w:val="20"/>
              </w:rPr>
              <w:t>Coaching, feedback round, model solutions and assessment criteria.</w:t>
            </w:r>
          </w:p>
        </w:tc>
        <w:tc>
          <w:tcPr>
            <w:tcW w:type="dxa" w:w="1919"/>
          </w:tcPr>
          <w:p>
            <w:pPr>
              <w:spacing w:before="0" w:after="0"/>
            </w:pPr>
            <w:r>
              <w:rPr>
                <w:sz w:val="20"/>
              </w:rPr>
              <w:t>Trainer only</w:t>
            </w:r>
          </w:p>
        </w:tc>
      </w:tr>
      <w:tr>
        <w:trPr>
          <w:cantSplit/>
        </w:trPr>
        <w:tc>
          <w:tcPr>
            <w:tcW w:type="dxa" w:w="1601"/>
          </w:tcPr>
          <w:p>
            <w:pPr>
              <w:spacing w:before="0" w:after="0"/>
            </w:pPr>
            <w:r>
              <w:rPr>
                <w:b/>
                <w:sz w:val="20"/>
              </w:rPr>
              <w:t>Playground</w:t>
            </w:r>
          </w:p>
        </w:tc>
        <w:tc>
          <w:tcPr>
            <w:tcW w:type="dxa" w:w="6118"/>
          </w:tcPr>
          <w:p>
            <w:pPr>
              <w:spacing w:before="0" w:after="0"/>
            </w:pPr>
            <w:r>
              <w:rPr>
                <w:sz w:val="20"/>
              </w:rPr>
              <w:t>The course website (https://aion-dl.vercel.app/). In class it is the place to practise and learn: the cards and tasks are there too, and you can work in them directly.</w:t>
            </w:r>
          </w:p>
        </w:tc>
        <w:tc>
          <w:tcPr>
            <w:tcW w:type="dxa" w:w="1919"/>
          </w:tcPr>
          <w:p>
            <w:pPr>
              <w:spacing w:before="0" w:after="0"/>
            </w:pPr>
            <w:r>
              <w:rPr>
                <w:sz w:val="20"/>
              </w:rPr>
              <w:t>Everyone</w:t>
            </w:r>
          </w:p>
        </w:tc>
      </w:tr>
    </w:tbl>
    <w:p>
      <w:pPr>
        <w:spacing w:before="0" w:after="80"/>
      </w:pPr>
    </w:p>
    <w:p>
      <w:pPr>
        <w:pStyle w:val="Heading2"/>
      </w:pPr>
      <w:r>
        <w:rPr/>
        <w:t>How we work</w:t>
      </w:r>
    </w:p>
    <w:p>
      <w:pPr>
        <w:pStyle w:val="ListBullet"/>
        <w:spacing w:before="0" w:after="40"/>
      </w:pPr>
      <w:r>
        <w:rPr/>
        <w:t xml:space="preserve">Blocks marked </w:t>
      </w:r>
      <w:r>
        <w:rPr>
          <w:b/>
        </w:rPr>
        <w:t>Core</w:t>
      </w:r>
      <w:r>
        <w:rPr/>
        <w:t xml:space="preserve"> are enough for a complete answer. Blocks and cards marked </w:t>
      </w:r>
      <w:r>
        <w:rPr>
          <w:b/>
        </w:rPr>
        <w:t>Optional</w:t>
      </w:r>
      <w:r>
        <w:rPr/>
        <w:t xml:space="preserve"> deepen a skill; no Core block needs them.</w:t>
      </w:r>
    </w:p>
    <w:p>
      <w:pPr>
        <w:pStyle w:val="ListBullet"/>
        <w:spacing w:before="0" w:after="40"/>
      </w:pPr>
      <w:r>
        <w:rPr/>
        <w:t>In the judged parts, a different choice with a clear reason is a good answer. The reason matters more than the result.</w:t>
      </w:r>
    </w:p>
    <w:p>
      <w:pPr>
        <w:pStyle w:val="ListBullet"/>
        <w:spacing w:before="0" w:after="40"/>
      </w:pPr>
      <w:r>
        <w:rPr/>
        <w:t>The worked examples in the Materi use another company than the task. No task answer is printed in the study material.</w:t>
      </w:r>
    </w:p>
    <w:p>
      <w:pPr>
        <w:pStyle w:val="ListBullet"/>
        <w:spacing w:before="0" w:after="100"/>
      </w:pPr>
      <w:r>
        <w:rPr/>
        <w:t>Every document names its version, its release date and the person who reviewed and approved it. Diagrams are AI-generated and are labelled on the image.</w:t>
      </w:r>
    </w:p>
    <w:p>
      <w:r>
        <w:br w:type="page"/>
      </w:r>
    </w:p>
    <w:p>
      <w:pPr>
        <w:pStyle w:val="Heading1"/>
        <w:pBdr>
          <w:bottom w:val="single" w:sz="8" w:space="2" w:color="17212E"/>
        </w:pBdr>
      </w:pPr>
      <w:r>
        <w:rPr/>
        <w:t>Materi A · Route 1 · Levels 1 and 2</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How Materi A is used</w:t>
            </w:r>
          </w:p>
          <w:p>
            <w:pPr>
              <w:spacing w:before="0" w:after="100"/>
            </w:pPr>
            <w:r>
              <w:rPr/>
              <w:t>About 60 minutes, five cards. The plan's Level 1 asks you to understand the basic concepts, to tell UX from UI and to explain user-centredness. Level 2 asks you to analyse a learning interface and make first design decisions. Materi A gives you the ideas and the rules for both, and Task 1 uses them on one case. The card A4 is Optional: no Core block of the task needs it.</w:t>
            </w:r>
          </w:p>
        </w:tc>
      </w:tr>
    </w:tbl>
    <w:p>
      <w:pPr>
        <w:spacing w:before="0" w:after="80"/>
      </w:pPr>
    </w:p>
    <w:p>
      <w:pPr>
        <w:pStyle w:val="Heading2"/>
      </w:pPr>
      <w:r>
        <w:rPr/>
        <w:t>A1 · UX is the experience, UI is the surface · 10 min · Core</w:t>
      </w:r>
    </w:p>
    <w:p>
      <w:pPr>
        <w:pBdr>
          <w:left w:val="single" w:sz="18" w:space="6" w:color="1750A8"/>
        </w:pBdr>
        <w:spacing w:before="40" w:after="120"/>
        <w:ind w:left="170"/>
      </w:pPr>
      <w:r>
        <w:rPr>
          <w:i/>
          <w:color w:val="556274"/>
          <w:sz w:val="22"/>
        </w:rPr>
        <w:t>UX is everything a learner goes through; UI is only what they see and touch. A learning platform succeeds or fails on the first.</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UX (user experience) is how using the platform feels from start to finish: finding a course, understanding a lesson, seeing that you are getting somewhere. UI (user interface) is only what you see and touch: buttons, colours, text. A beautiful surface can still give a poor experience.</w:t>
            </w:r>
          </w:p>
          <w:p>
            <w:pPr>
              <w:spacing w:before="0" w:after="100"/>
            </w:pPr>
            <w:r>
              <w:rPr>
                <w:b/>
              </w:rPr>
              <w:t>Why it matters.</w:t>
            </w:r>
            <w:r>
              <w:rPr/>
              <w:t xml:space="preserve"> On a learning platform the experience is the product. If learners get lost or do not understand, they do not learn, and they leave. In Task 1 you will describe problems the way this card does: by what the learner cannot do or feel, not by what looks wrong.</w:t>
            </w:r>
          </w:p>
          <w:p>
            <w:pPr>
              <w:spacing w:before="0" w:after="100"/>
            </w:pPr>
            <w:r>
              <w:rPr>
                <w:b/>
              </w:rPr>
              <w:t>How to read the picture.</w:t>
            </w:r>
            <w:r>
              <w:rPr/>
              <w:t xml:space="preserve"> The top half is one course page seen as a surface (UI). The bottom row is what the learner goes through (UX): find it, understand it, finish it. The bracket on the left shows that the surface is part of the experience, not separate from it. Read from top to bottom.</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766789"/>
            <wp:docPr id="1" name="Picture 1"/>
            <wp:cNvGraphicFramePr>
              <a:graphicFrameLocks noChangeAspect="1"/>
            </wp:cNvGraphicFramePr>
            <a:graphic>
              <a:graphicData uri="http://schemas.openxmlformats.org/drawingml/2006/picture">
                <pic:pic>
                  <pic:nvPicPr>
                    <pic:cNvPr id="0" name="d1_a1_ux-ui-layers-d6fabb0c4fc3.png"/>
                    <pic:cNvPicPr/>
                  </pic:nvPicPr>
                  <pic:blipFill>
                    <a:blip r:embed="rId10"/>
                    <a:stretch>
                      <a:fillRect/>
                    </a:stretch>
                  </pic:blipFill>
                  <pic:spPr>
                    <a:xfrm>
                      <a:off x="0" y="0"/>
                      <a:ext cx="5940000" cy="2766789"/>
                    </a:xfrm>
                    <a:prstGeom prst="rect"/>
                  </pic:spPr>
                </pic:pic>
              </a:graphicData>
            </a:graphic>
          </wp:inline>
        </w:drawing>
      </w:r>
    </w:p>
    <w:p>
      <w:pPr>
        <w:spacing w:before="0" w:after="160"/>
        <w:jc w:val="center"/>
      </w:pPr>
      <w:r>
        <w:rPr>
          <w:i/>
          <w:color w:val="556274"/>
          <w:sz w:val="18"/>
        </w:rPr>
        <w:t>Figure 1 · UI is the surface, UX is the experience. A beautiful surface can sit on top of a poor experience; the reverse is rare, because a good experience needs a surface that works.</w:t>
      </w:r>
    </w:p>
    <w:p>
      <w:pPr>
        <w:spacing w:before="0" w:after="100"/>
      </w:pPr>
      <w:r>
        <w:rPr/>
        <w:t>Let us look at the three steps in the bottom row, because each one is a question a learner asks without saying it. "Find it": where is my course, and where did I stop yesterday? "Understand it": can I follow this lesson without extra effort? "Finish it": am I getting there, and do I know how I did? A platform can do well on the surface and still fail one of the three, and then learners leave for a reason that a screenshot does not show.</w:t>
      </w:r>
    </w:p>
    <w:p>
      <w:pPr>
        <w:pStyle w:val="ListBullet"/>
        <w:spacing w:before="0" w:after="40"/>
      </w:pPr>
      <w:r>
        <w:rPr>
          <w:b/>
        </w:rPr>
        <w:t>UX, in the words of Norman and Nielsen:</w:t>
      </w:r>
      <w:r>
        <w:rPr/>
        <w:t xml:space="preserve"> all aspects of the end user's interaction with the company, its services and its products.</w:t>
      </w:r>
    </w:p>
    <w:p>
      <w:pPr>
        <w:pStyle w:val="ListBullet"/>
        <w:spacing w:before="0" w:after="40"/>
      </w:pPr>
      <w:r>
        <w:rPr>
          <w:b/>
        </w:rPr>
        <w:t>Learning success is UX success.</w:t>
      </w:r>
      <w:r>
        <w:rPr/>
        <w:t xml:space="preserve"> A learner who cannot find, follow or finish a course has not learned, however good the content is.</w:t>
      </w:r>
    </w:p>
    <w:p>
      <w:pPr>
        <w:pStyle w:val="ListBullet"/>
        <w:spacing w:before="0" w:after="100"/>
      </w:pPr>
      <w:r>
        <w:rPr>
          <w:b/>
        </w:rPr>
        <w:t>A UI can change without the experience changing</w:t>
      </w:r>
      <w:r>
        <w:rPr/>
        <w:t xml:space="preserve"> (new colours), and an experience can be poor behind a polished surface.</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Describe a problem as what the learner cannot do, understand or feel (an experience), not as what looks wrong (a surface).</w:t>
            </w:r>
          </w:p>
          <w:p>
            <w:pPr>
              <w:pStyle w:val="ListBullet"/>
              <w:spacing w:before="0" w:after="40"/>
            </w:pPr>
            <w:r>
              <w:rPr/>
              <w:t>If a fix changes only colours, icons or fonts, it is a UI fix. It helps the experience only if the experience problem was the surface itself.</w:t>
            </w:r>
          </w:p>
          <w:p>
            <w:pPr>
              <w:pStyle w:val="ListBullet"/>
              <w:spacing w:before="0" w:after="100"/>
            </w:pPr>
            <w:r>
              <w:rPr/>
              <w:t>On a learning platform a UX problem shows up as a learning problem: someone who cannot find, follow or finish a course does not learn.</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b/>
              </w:rPr>
              <w:t>Two definitions you can quote.</w:t>
            </w:r>
            <w:r>
              <w:rPr/>
              <w:t xml:space="preserve"> ISO 9241-210 defines user experience as a person's perceptions and responses that result from the use, or anticipated use, of a product, system or service. ISO 9241-11 defines usability more narrowly: how far a system can be used by specified users to reach specified goals with effectiveness, efficiency and satisfaction in a specified context of use. So usability is one part of UX, and both standards tie the judgement to the user, the goal and the context, never to taste.</w:t>
            </w:r>
          </w:p>
          <w:p>
            <w:pPr>
              <w:spacing w:before="0" w:after="100"/>
            </w:pPr>
            <w:r>
              <w:rPr>
                <w:b/>
              </w:rPr>
              <w:t>What this means for a learning platform.</w:t>
            </w:r>
            <w:r>
              <w:rPr/>
              <w:t xml:space="preserve"> Usability asks "can the learner do the task?". On a learning platform the task is learning, so you need a second question: "did the learner learn?". A screen can be easy to use and still teach little, which is why A4 comes later in this document.</w:t>
            </w:r>
          </w:p>
          <w:p>
            <w:pPr>
              <w:spacing w:before="0" w:after="100"/>
            </w:pPr>
            <w:r>
              <w:rPr>
                <w:b/>
              </w:rPr>
              <w:t>A common mistake.</w:t>
            </w:r>
            <w:r>
              <w:rPr/>
              <w:t xml:space="preserve"> Teams often call a redesign "a UX project" when it changes only the UI. The test is simple: after the change, can a learner do something they could not do before, or feel something they did not feel before?</w:t>
            </w:r>
          </w:p>
        </w:tc>
      </w:tr>
    </w:tbl>
    <w:p>
      <w:pPr>
        <w:spacing w:before="0" w:after="80"/>
      </w:pPr>
    </w:p>
    <w:p>
      <w:pPr>
        <w:spacing w:before="80" w:after="160"/>
      </w:pPr>
      <w:r>
        <w:rPr>
          <w:b/>
          <w:color w:val="556274"/>
          <w:sz w:val="18"/>
        </w:rPr>
        <w:t xml:space="preserve">Sources · </w:t>
      </w:r>
      <w:r>
        <w:rPr>
          <w:color w:val="556274"/>
          <w:sz w:val="18"/>
        </w:rPr>
        <w:t>Norman &amp; Nielsen (NN/g) · ISO 9241-11:2018 · ISO 9241-210:2019</w:t>
      </w:r>
    </w:p>
    <w:p>
      <w:pPr>
        <w:pStyle w:val="Heading2"/>
      </w:pPr>
      <w:r>
        <w:rPr/>
        <w:t>A2 · Design from the learner's need, not from the system's logic · 12 min · Core</w:t>
      </w:r>
    </w:p>
    <w:p>
      <w:pPr>
        <w:pBdr>
          <w:left w:val="single" w:sz="18" w:space="6" w:color="1750A8"/>
        </w:pBdr>
        <w:spacing w:before="40" w:after="120"/>
        <w:ind w:left="170"/>
      </w:pPr>
      <w:r>
        <w:rPr>
          <w:i/>
          <w:color w:val="556274"/>
          <w:sz w:val="22"/>
        </w:rPr>
        <w:t>A platform organised around its own features confuses learners. One organised around what they want to do guides them.</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Software is usually built around what it can do: a menu with every feature. Learners come with a goal: carry on where I stopped, find a course for my job, show my employer that I finished. User-centred design starts from that goal and asks what the learner needs at each step. A learning platform has three kinds of users with different goals: learners, teachers and the organisations that pay for the courses.</w:t>
            </w:r>
          </w:p>
          <w:p>
            <w:pPr>
              <w:spacing w:before="0" w:after="100"/>
            </w:pPr>
            <w:r>
              <w:rPr>
                <w:b/>
              </w:rPr>
              <w:t>Why it matters.</w:t>
            </w:r>
            <w:r>
              <w:rPr/>
              <w:t xml:space="preserve"> In Block 1.1 and Block 2.2 of the task you judge problems and measures from the learner's side. The test of this card is the one you use there: for every screen or measure, whose goal does it serve, the learner's or the system's?</w:t>
            </w:r>
          </w:p>
          <w:p>
            <w:pPr>
              <w:spacing w:before="0" w:after="100"/>
            </w:pPr>
            <w:r>
              <w:rPr>
                <w:b/>
              </w:rPr>
              <w:t>How to read the picture.</w:t>
            </w:r>
            <w:r>
              <w:rPr/>
              <w:t xml:space="preserve"> The same platform is drawn twice. On the left it is organised by the system's features: an eight-entry menu. On the right it is organised by what a learner wants to do: three cards, and the first one carries on where the learner stopped.</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688632"/>
            <wp:docPr id="2" name="Picture 2"/>
            <wp:cNvGraphicFramePr>
              <a:graphicFrameLocks noChangeAspect="1"/>
            </wp:cNvGraphicFramePr>
            <a:graphic>
              <a:graphicData uri="http://schemas.openxmlformats.org/drawingml/2006/picture">
                <pic:pic>
                  <pic:nvPicPr>
                    <pic:cNvPr id="0" name="d1_a2_system-vs-learner-0e1ee24a0f74.png"/>
                    <pic:cNvPicPr/>
                  </pic:nvPicPr>
                  <pic:blipFill>
                    <a:blip r:embed="rId11"/>
                    <a:stretch>
                      <a:fillRect/>
                    </a:stretch>
                  </pic:blipFill>
                  <pic:spPr>
                    <a:xfrm>
                      <a:off x="0" y="0"/>
                      <a:ext cx="5940000" cy="2688632"/>
                    </a:xfrm>
                    <a:prstGeom prst="rect"/>
                  </pic:spPr>
                </pic:pic>
              </a:graphicData>
            </a:graphic>
          </wp:inline>
        </w:drawing>
      </w:r>
    </w:p>
    <w:p>
      <w:pPr>
        <w:spacing w:before="0" w:after="160"/>
        <w:jc w:val="center"/>
      </w:pPr>
      <w:r>
        <w:rPr>
          <w:i/>
          <w:color w:val="556274"/>
          <w:sz w:val="18"/>
        </w:rPr>
        <w:t>Figure 2 · One platform, two ways to organise it. On the left the learner has to guess which of eight entries leads to their lesson. On the right the first card says "Carry on where I stopped".</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 short story: Mia has twenty minutes</w:t>
            </w:r>
          </w:p>
          <w:p>
            <w:pPr>
              <w:spacing w:before="0" w:after="100"/>
            </w:pPr>
            <w:r>
              <w:rPr>
                <w:b/>
              </w:rPr>
              <w:t>Step 1 · The menu.</w:t>
            </w:r>
            <w:r>
              <w:rPr/>
              <w:t xml:space="preserve"> Let us follow Mia, a project manager at a logistics firm. Her employer pays for LearnLoop, an online-course platform, and yesterday she finished lesson 2 of a course on negotiating with suppliers. Today she has twenty free minutes before a meeting, so she opens the platform to carry on with lesson 3. The first thing she sees is the menu that the platform's builders organised: Courses, Library, Catalogue, Forum, Certificates, Reports, Admin and Settings. None of the eight entries says "continue".</w:t>
            </w:r>
          </w:p>
          <w:p>
            <w:pPr>
              <w:spacing w:before="0" w:after="100"/>
            </w:pPr>
            <w:r>
              <w:rPr>
                <w:b/>
              </w:rPr>
              <w:t>Step 2 · Where is lesson 3?</w:t>
            </w:r>
            <w:r>
              <w:rPr/>
              <w:t xml:space="preserve"> Mia tries Courses, then Library. After three minutes she still has not found lesson 3, so her twenty minutes are almost gone and she closes the tab. LearnLoop never finds out why she left, and that is why a problem like this stays hidden.</w:t>
            </w:r>
          </w:p>
          <w:p>
            <w:pPr>
              <w:spacing w:before="0" w:after="100"/>
            </w:pPr>
            <w:r>
              <w:rPr>
                <w:b/>
              </w:rPr>
              <w:t>Step 3 · The same platform, built around Mia's goal.</w:t>
            </w:r>
            <w:r>
              <w:rPr/>
              <w:t xml:space="preserve"> Now look at the same platform organised by what a learner wants to do. The first card says "Carry on where I stopped: lesson 3 of 8", so one click takes Mia straight back. None of the features changed. What changed is who does the work of finding the goal: before it was Mia, and now it is the platform.</w:t>
            </w:r>
          </w:p>
          <w:p>
            <w:pPr>
              <w:spacing w:before="0" w:after="100"/>
            </w:pPr>
            <w:r>
              <w:rPr>
                <w:b/>
              </w:rPr>
              <w:t>Step 4 · What to take from it.</w:t>
            </w:r>
            <w:r>
              <w:rPr/>
              <w:t xml:space="preserve"> When you judge any screen, ask whose goal it serves. The learner's or the system's? You will use this same question again in Blocks 1.1 and 2.2.</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LearnLoop, Mia and the eight menu entries are made up for this example. SkillUp's facts are in the Task document.</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038"/>
        <w:gridCol w:w="3670"/>
        <w:gridCol w:w="3930"/>
      </w:tblGrid>
      <w:tr>
        <w:trPr>
          <w:cantSplit/>
          <w:tblHeader/>
        </w:trPr>
        <w:tc>
          <w:tcPr>
            <w:tcW w:type="dxa" w:w="2038"/>
            <w:shd w:val="clear" w:color="auto" w:fill="E6ECF4"/>
          </w:tcPr>
          <w:p>
            <w:pPr>
              <w:spacing w:before="0" w:after="0"/>
            </w:pPr>
            <w:r>
              <w:rPr>
                <w:b/>
                <w:sz w:val="20"/>
              </w:rPr>
              <w:t>User</w:t>
            </w:r>
          </w:p>
        </w:tc>
        <w:tc>
          <w:tcPr>
            <w:tcW w:type="dxa" w:w="3670"/>
            <w:shd w:val="clear" w:color="auto" w:fill="E6ECF4"/>
          </w:tcPr>
          <w:p>
            <w:pPr>
              <w:spacing w:before="0" w:after="0"/>
            </w:pPr>
            <w:r>
              <w:rPr>
                <w:b/>
                <w:sz w:val="20"/>
              </w:rPr>
              <w:t>Their goal</w:t>
            </w:r>
          </w:p>
        </w:tc>
        <w:tc>
          <w:tcPr>
            <w:tcW w:type="dxa" w:w="3930"/>
            <w:shd w:val="clear" w:color="auto" w:fill="E6ECF4"/>
          </w:tcPr>
          <w:p>
            <w:pPr>
              <w:spacing w:before="0" w:after="0"/>
            </w:pPr>
            <w:r>
              <w:rPr>
                <w:b/>
                <w:sz w:val="20"/>
              </w:rPr>
              <w:t>What they need from the platform</w:t>
            </w:r>
          </w:p>
        </w:tc>
      </w:tr>
      <w:tr>
        <w:trPr>
          <w:cantSplit/>
        </w:trPr>
        <w:tc>
          <w:tcPr>
            <w:tcW w:type="dxa" w:w="2038"/>
          </w:tcPr>
          <w:p>
            <w:pPr>
              <w:spacing w:before="0" w:after="0"/>
            </w:pPr>
            <w:r>
              <w:rPr>
                <w:sz w:val="20"/>
              </w:rPr>
              <w:t>Learners</w:t>
            </w:r>
          </w:p>
        </w:tc>
        <w:tc>
          <w:tcPr>
            <w:tcW w:type="dxa" w:w="3670"/>
          </w:tcPr>
          <w:p>
            <w:pPr>
              <w:spacing w:before="0" w:after="0"/>
            </w:pPr>
            <w:r>
              <w:rPr>
                <w:sz w:val="20"/>
              </w:rPr>
              <w:t>Reach a skill or a qualification in the time they have</w:t>
            </w:r>
          </w:p>
        </w:tc>
        <w:tc>
          <w:tcPr>
            <w:tcW w:type="dxa" w:w="3930"/>
          </w:tcPr>
          <w:p>
            <w:pPr>
              <w:spacing w:before="0" w:after="0"/>
            </w:pPr>
            <w:r>
              <w:rPr>
                <w:sz w:val="20"/>
              </w:rPr>
              <w:t>A clear path, readable lessons, a sign of progress</w:t>
            </w:r>
          </w:p>
        </w:tc>
      </w:tr>
      <w:tr>
        <w:trPr>
          <w:cantSplit/>
        </w:trPr>
        <w:tc>
          <w:tcPr>
            <w:tcW w:type="dxa" w:w="2038"/>
          </w:tcPr>
          <w:p>
            <w:pPr>
              <w:spacing w:before="0" w:after="0"/>
            </w:pPr>
            <w:r>
              <w:rPr>
                <w:sz w:val="20"/>
              </w:rPr>
              <w:t>Teachers</w:t>
            </w:r>
          </w:p>
        </w:tc>
        <w:tc>
          <w:tcPr>
            <w:tcW w:type="dxa" w:w="3670"/>
          </w:tcPr>
          <w:p>
            <w:pPr>
              <w:spacing w:before="0" w:after="0"/>
            </w:pPr>
            <w:r>
              <w:rPr>
                <w:sz w:val="20"/>
              </w:rPr>
              <w:t>Set up and run courses with little effort</w:t>
            </w:r>
          </w:p>
        </w:tc>
        <w:tc>
          <w:tcPr>
            <w:tcW w:type="dxa" w:w="3930"/>
          </w:tcPr>
          <w:p>
            <w:pPr>
              <w:spacing w:before="0" w:after="0"/>
            </w:pPr>
            <w:r>
              <w:rPr>
                <w:sz w:val="20"/>
              </w:rPr>
              <w:t>Simple tools to build, update and see how learners are doing</w:t>
            </w:r>
          </w:p>
        </w:tc>
      </w:tr>
      <w:tr>
        <w:trPr>
          <w:cantSplit/>
        </w:trPr>
        <w:tc>
          <w:tcPr>
            <w:tcW w:type="dxa" w:w="2038"/>
          </w:tcPr>
          <w:p>
            <w:pPr>
              <w:spacing w:before="0" w:after="0"/>
            </w:pPr>
            <w:r>
              <w:rPr>
                <w:sz w:val="20"/>
              </w:rPr>
              <w:t>Organisations</w:t>
            </w:r>
          </w:p>
        </w:tc>
        <w:tc>
          <w:tcPr>
            <w:tcW w:type="dxa" w:w="3670"/>
          </w:tcPr>
          <w:p>
            <w:pPr>
              <w:spacing w:before="0" w:after="0"/>
            </w:pPr>
            <w:r>
              <w:rPr>
                <w:sz w:val="20"/>
              </w:rPr>
              <w:t>Staff trained, visible completion, costs under control</w:t>
            </w:r>
          </w:p>
        </w:tc>
        <w:tc>
          <w:tcPr>
            <w:tcW w:type="dxa" w:w="3930"/>
          </w:tcPr>
          <w:p>
            <w:pPr>
              <w:spacing w:before="0" w:after="0"/>
            </w:pPr>
            <w:r>
              <w:rPr>
                <w:sz w:val="20"/>
              </w:rPr>
              <w:t>Reports on who finished, certificates, a reliable platform</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Ask of each screen or measure: which goal of which user does it serve? One that serves only the system's structure (an admin menu shown to a learner) is a user-centred failure.</w:t>
            </w:r>
          </w:p>
          <w:p>
            <w:pPr>
              <w:pStyle w:val="ListBullet"/>
              <w:spacing w:before="0" w:after="40"/>
            </w:pPr>
            <w:r>
              <w:rPr/>
              <w:t>Start from what the learner wants to do, in their words; name the feature afterwards.</w:t>
            </w:r>
          </w:p>
          <w:p>
            <w:pPr>
              <w:pStyle w:val="ListBullet"/>
              <w:spacing w:before="0" w:after="100"/>
            </w:pPr>
            <w:r>
              <w:rPr/>
              <w:t>Learners, teachers and organisations want different things. A measure that helps one can burden another, so name who it helps.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b/>
              </w:rPr>
              <w:t>Six principles of human-centred design (ISO 9241-210).</w:t>
            </w:r>
            <w:r>
              <w:rPr/>
              <w:t xml:space="preserve"> The standard asks that design (1) rests on an explicit understanding of users, tasks and environments, (2) involves users throughout, (3) is driven and refined by user-centred evaluation, (4) is iterative, (5) addresses the whole user experience, and (6) is done by a multidisciplinary team. Notice that three of the six are about checking with real users: user-centredness is a habit of checking, not a mood.</w:t>
            </w:r>
          </w:p>
          <w:p>
            <w:pPr>
              <w:spacing w:before="0" w:after="100"/>
            </w:pPr>
            <w:r>
              <w:rPr>
                <w:b/>
              </w:rPr>
              <w:t>Jobs to be done.</w:t>
            </w:r>
            <w:r>
              <w:rPr/>
              <w:t xml:space="preserve"> Another way to start from the goal is the "job" a person hires a product for (Christensen and colleagues). Mia hires the platform to "carry on where I stopped in the time I have". Naming the job in the learner's words keeps the discussion away from features.</w:t>
            </w:r>
          </w:p>
        </w:tc>
      </w:tr>
    </w:tbl>
    <w:p>
      <w:pPr>
        <w:spacing w:before="0" w:after="80"/>
      </w:pPr>
    </w:p>
    <w:p>
      <w:pPr>
        <w:spacing w:before="80" w:after="160"/>
      </w:pPr>
      <w:r>
        <w:rPr>
          <w:b/>
          <w:color w:val="556274"/>
          <w:sz w:val="18"/>
        </w:rPr>
        <w:t xml:space="preserve">Sources · </w:t>
      </w:r>
      <w:r>
        <w:rPr>
          <w:color w:val="556274"/>
          <w:sz w:val="18"/>
        </w:rPr>
        <w:t>ISO 9241-210:2019 · Norman &amp; Nielsen (NN/g)</w:t>
      </w:r>
    </w:p>
    <w:p>
      <w:pPr>
        <w:pStyle w:val="Heading2"/>
      </w:pPr>
      <w:r>
        <w:rPr/>
        <w:t>A3 · Three principles of a good learning interface · 14 min · Core</w:t>
      </w:r>
    </w:p>
    <w:p>
      <w:pPr>
        <w:pBdr>
          <w:left w:val="single" w:sz="18" w:space="6" w:color="1750A8"/>
        </w:pBdr>
        <w:spacing w:before="40" w:after="120"/>
        <w:ind w:left="170"/>
      </w:pPr>
      <w:r>
        <w:rPr>
          <w:i/>
          <w:color w:val="556274"/>
          <w:sz w:val="22"/>
        </w:rPr>
        <w:t>Three things a learning screen must do: show where you are, ask for no needless effort, and show that you are getting somewhere.</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Good learning screens follow three principles. Clarity and orientation: the learner always knows where they are and what comes next. Low cognitive load: the screen does not spend the learner's limited attention on things that do not help them learn, such as dense text, clutter and unexplained words. Feedback and progress: the learner can see how far they have come and whether they got it right.</w:t>
            </w:r>
          </w:p>
          <w:p>
            <w:pPr>
              <w:spacing w:before="0" w:after="100"/>
            </w:pPr>
            <w:r>
              <w:rPr>
                <w:b/>
              </w:rPr>
              <w:t>Why it matters.</w:t>
            </w:r>
            <w:r>
              <w:rPr/>
              <w:t xml:space="preserve"> These are the three areas Block 1.1 sorts the findings into: Orientation, Understanding, Motivation. Each finding is one of these principles missing or broken.</w:t>
            </w:r>
          </w:p>
          <w:p>
            <w:pPr>
              <w:spacing w:before="0" w:after="100"/>
            </w:pPr>
            <w:r>
              <w:rPr>
                <w:b/>
              </w:rPr>
              <w:t>How to read the picture.</w:t>
            </w:r>
            <w:r>
              <w:rPr/>
              <w:t xml:space="preserve"> The same lesson screen is drawn twice. On the left none of the three principles is present. On the right all three are, and each is marked with a number: orientation (1), light load (2), feedback (3).</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3001263"/>
            <wp:docPr id="3" name="Picture 3"/>
            <wp:cNvGraphicFramePr>
              <a:graphicFrameLocks noChangeAspect="1"/>
            </wp:cNvGraphicFramePr>
            <a:graphic>
              <a:graphicData uri="http://schemas.openxmlformats.org/drawingml/2006/picture">
                <pic:pic>
                  <pic:nvPicPr>
                    <pic:cNvPr id="0" name="d1_a3_lesson-screen-263e58396b7b.png"/>
                    <pic:cNvPicPr/>
                  </pic:nvPicPr>
                  <pic:blipFill>
                    <a:blip r:embed="rId12"/>
                    <a:stretch>
                      <a:fillRect/>
                    </a:stretch>
                  </pic:blipFill>
                  <pic:spPr>
                    <a:xfrm>
                      <a:off x="0" y="0"/>
                      <a:ext cx="5940000" cy="3001263"/>
                    </a:xfrm>
                    <a:prstGeom prst="rect"/>
                  </pic:spPr>
                </pic:pic>
              </a:graphicData>
            </a:graphic>
          </wp:inline>
        </w:drawing>
      </w:r>
    </w:p>
    <w:p>
      <w:pPr>
        <w:spacing w:before="0" w:after="160"/>
        <w:jc w:val="center"/>
      </w:pPr>
      <w:r>
        <w:rPr>
          <w:i/>
          <w:color w:val="556274"/>
          <w:sz w:val="18"/>
        </w:rPr>
        <w:t>Figure 3 · A lesson screen before and after. Left: no orientation, a wall of text, no progress or result. Right: a path line and a Next button (1), a heading and short paragraphs with the new word explained (2), and progress with a quiz result (3).</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 short story: Daniel opens lesson 3</w:t>
            </w:r>
          </w:p>
          <w:p>
            <w:pPr>
              <w:spacing w:before="0" w:after="100"/>
            </w:pPr>
            <w:r>
              <w:rPr>
                <w:b/>
              </w:rPr>
              <w:t>Step 1.</w:t>
            </w:r>
            <w:r>
              <w:rPr/>
              <w:t xml:space="preserve"> Let us follow Daniel, who works in procurement and is taking an online course on contract basics. It is evening and he has had a long day, but he wants to finish lesson 3. When the lesson opens, he sees one block of about 500 words, nothing that tells him where this lesson sits in the course, and nothing that tells him how he is doing so far. Imagine being Daniel: how long would you keep reading?</w:t>
            </w:r>
          </w:p>
          <w:p>
            <w:pPr>
              <w:spacing w:before="0" w:after="100"/>
            </w:pPr>
            <w:r>
              <w:rPr>
                <w:b/>
              </w:rPr>
              <w:t>Step 2 · First fix: where am I?</w:t>
            </w:r>
            <w:r>
              <w:rPr/>
              <w:t xml:space="preserve"> Let us improve the lesson in three steps, and each step answers one question. The first question is "where am I?". A line at the top now reads "Module 2 › Lesson 3 of 8", and a "Next lesson" button shows what comes after. Daniel knows where he is, but the text is still a wall, and knowing where you are does not make a hard text easy.</w:t>
            </w:r>
          </w:p>
          <w:p>
            <w:pPr>
              <w:spacing w:before="0" w:after="100"/>
            </w:pPr>
            <w:r>
              <w:rPr>
                <w:b/>
              </w:rPr>
              <w:t>Step 3 · Second fix: can I follow this?</w:t>
            </w:r>
            <w:r>
              <w:rPr/>
              <w:t xml:space="preserve"> The same lesson now has a heading, three short paragraphs, and the new word "wireframe" explained right where it appears. Because of this, Daniel can scan the page and find the main point in a few seconds. He reads instead of digging, so his attention goes into the lesson and not into decoding the screen.</w:t>
            </w:r>
          </w:p>
          <w:p>
            <w:pPr>
              <w:spacing w:before="0" w:after="100"/>
            </w:pPr>
            <w:r>
              <w:rPr>
                <w:b/>
              </w:rPr>
              <w:t>Step 4 · Third fix: am I getting somewhere?</w:t>
            </w:r>
            <w:r>
              <w:rPr/>
              <w:t xml:space="preserve"> At the bottom Daniel now sees "3 of 8 lessons done", and after the quiz he reads "4 of 5 correct. Review question 2." He can see that he is progressing, and he knows what to do about the question he missed. Each fix answered a different question, so you can remove any one of them and see which problem comes back.</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217"/>
        <w:gridCol w:w="4019"/>
        <w:gridCol w:w="3402"/>
      </w:tblGrid>
      <w:tr>
        <w:trPr>
          <w:cantSplit/>
          <w:tblHeader/>
        </w:trPr>
        <w:tc>
          <w:tcPr>
            <w:tcW w:type="dxa" w:w="2217"/>
            <w:shd w:val="clear" w:color="auto" w:fill="E6ECF4"/>
          </w:tcPr>
          <w:p>
            <w:pPr>
              <w:spacing w:before="0" w:after="0"/>
            </w:pPr>
            <w:r>
              <w:rPr>
                <w:b/>
                <w:sz w:val="20"/>
              </w:rPr>
              <w:t>Principle</w:t>
            </w:r>
          </w:p>
        </w:tc>
        <w:tc>
          <w:tcPr>
            <w:tcW w:type="dxa" w:w="4019"/>
            <w:shd w:val="clear" w:color="auto" w:fill="E6ECF4"/>
          </w:tcPr>
          <w:p>
            <w:pPr>
              <w:spacing w:before="0" w:after="0"/>
            </w:pPr>
            <w:r>
              <w:rPr>
                <w:b/>
                <w:sz w:val="20"/>
              </w:rPr>
              <w:t>The question</w:t>
            </w:r>
          </w:p>
        </w:tc>
        <w:tc>
          <w:tcPr>
            <w:tcW w:type="dxa" w:w="3402"/>
            <w:shd w:val="clear" w:color="auto" w:fill="E6ECF4"/>
          </w:tcPr>
          <w:p>
            <w:pPr>
              <w:spacing w:before="0" w:after="0"/>
            </w:pPr>
            <w:r>
              <w:rPr>
                <w:b/>
                <w:sz w:val="20"/>
              </w:rPr>
              <w:t>A typical failure</w:t>
            </w:r>
          </w:p>
        </w:tc>
      </w:tr>
      <w:tr>
        <w:trPr>
          <w:cantSplit/>
        </w:trPr>
        <w:tc>
          <w:tcPr>
            <w:tcW w:type="dxa" w:w="2217"/>
          </w:tcPr>
          <w:p>
            <w:pPr>
              <w:spacing w:before="0" w:after="0"/>
            </w:pPr>
            <w:r>
              <w:rPr>
                <w:sz w:val="20"/>
              </w:rPr>
              <w:t>Clarity and orientation</w:t>
            </w:r>
          </w:p>
        </w:tc>
        <w:tc>
          <w:tcPr>
            <w:tcW w:type="dxa" w:w="4019"/>
          </w:tcPr>
          <w:p>
            <w:pPr>
              <w:spacing w:before="0" w:after="0"/>
            </w:pPr>
            <w:r>
              <w:rPr>
                <w:sz w:val="20"/>
              </w:rPr>
              <w:t>Can the learner tell where they are, where to start and what comes next?</w:t>
            </w:r>
          </w:p>
        </w:tc>
        <w:tc>
          <w:tcPr>
            <w:tcW w:type="dxa" w:w="3402"/>
          </w:tcPr>
          <w:p>
            <w:pPr>
              <w:spacing w:before="0" w:after="0"/>
            </w:pPr>
            <w:r>
              <w:rPr>
                <w:sz w:val="20"/>
              </w:rPr>
              <w:t>Many equal tiles, no "next" button, yesterday's course hidden</w:t>
            </w:r>
          </w:p>
        </w:tc>
      </w:tr>
      <w:tr>
        <w:trPr>
          <w:cantSplit/>
        </w:trPr>
        <w:tc>
          <w:tcPr>
            <w:tcW w:type="dxa" w:w="2217"/>
          </w:tcPr>
          <w:p>
            <w:pPr>
              <w:spacing w:before="0" w:after="0"/>
            </w:pPr>
            <w:r>
              <w:rPr>
                <w:sz w:val="20"/>
              </w:rPr>
              <w:t>Low cognitive load</w:t>
            </w:r>
          </w:p>
        </w:tc>
        <w:tc>
          <w:tcPr>
            <w:tcW w:type="dxa" w:w="4019"/>
          </w:tcPr>
          <w:p>
            <w:pPr>
              <w:spacing w:before="0" w:after="0"/>
            </w:pPr>
            <w:r>
              <w:rPr>
                <w:sz w:val="20"/>
              </w:rPr>
              <w:t>Can the learner follow what they read without extra effort?</w:t>
            </w:r>
          </w:p>
        </w:tc>
        <w:tc>
          <w:tcPr>
            <w:tcW w:type="dxa" w:w="3402"/>
          </w:tcPr>
          <w:p>
            <w:pPr>
              <w:spacing w:before="0" w:after="0"/>
            </w:pPr>
            <w:r>
              <w:rPr>
                <w:sz w:val="20"/>
              </w:rPr>
              <w:t>A wall of text, unexplained terms, very long sentences</w:t>
            </w:r>
          </w:p>
        </w:tc>
      </w:tr>
      <w:tr>
        <w:trPr>
          <w:cantSplit/>
        </w:trPr>
        <w:tc>
          <w:tcPr>
            <w:tcW w:type="dxa" w:w="2217"/>
          </w:tcPr>
          <w:p>
            <w:pPr>
              <w:spacing w:before="0" w:after="0"/>
            </w:pPr>
            <w:r>
              <w:rPr>
                <w:sz w:val="20"/>
              </w:rPr>
              <w:t>Feedback and progress</w:t>
            </w:r>
          </w:p>
        </w:tc>
        <w:tc>
          <w:tcPr>
            <w:tcW w:type="dxa" w:w="4019"/>
          </w:tcPr>
          <w:p>
            <w:pPr>
              <w:spacing w:before="0" w:after="0"/>
            </w:pPr>
            <w:r>
              <w:rPr>
                <w:sz w:val="20"/>
              </w:rPr>
              <w:t>Can the learner see they are getting somewhere, and get a sign when they succeed?</w:t>
            </w:r>
          </w:p>
        </w:tc>
        <w:tc>
          <w:tcPr>
            <w:tcW w:type="dxa" w:w="3402"/>
          </w:tcPr>
          <w:p>
            <w:pPr>
              <w:spacing w:before="0" w:after="0"/>
            </w:pPr>
            <w:r>
              <w:rPr>
                <w:sz w:val="20"/>
              </w:rPr>
              <w:t>No progress bar, no message after a quiz</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Where the ideas come from</w:t>
            </w:r>
          </w:p>
          <w:p>
            <w:pPr>
              <w:spacing w:before="0" w:after="100"/>
            </w:pPr>
            <w:r>
              <w:rPr/>
              <w:t>Sweller's cognitive load theory: working memory is limited, so effort spent decoding a bad screen is missing for learning. Nielsen's heuristic "visibility of system status" asks the system to keep users informed with prompt feedback.</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Sort a finding by the question it breaks: can the learner tell where they are or what to do next (Orientation), follow what they read (Understanding), or see they are getting somewhere (Motivation)?</w:t>
            </w:r>
          </w:p>
          <w:p>
            <w:pPr>
              <w:pStyle w:val="ListBullet"/>
              <w:spacing w:before="0" w:after="40"/>
            </w:pPr>
            <w:r>
              <w:rPr/>
              <w:t>A finding about text length, structure, pictures or unexplained words is about Understanding, even if it also looks like a design choice.</w:t>
            </w:r>
          </w:p>
          <w:p>
            <w:pPr>
              <w:pStyle w:val="ListBullet"/>
              <w:spacing w:before="0" w:after="40"/>
            </w:pPr>
            <w:r>
              <w:rPr/>
              <w:t>A finding about a missing progress bar or no message after a quiz is about Motivation: feedback and progress, not how the screen looks.</w:t>
            </w:r>
          </w:p>
          <w:p>
            <w:pPr>
              <w:pStyle w:val="ListBullet"/>
              <w:spacing w:before="0" w:after="100"/>
            </w:pPr>
            <w:r>
              <w:rPr/>
              <w:t>The drop-out figure is the consequence, not a cause and not an area: it is where the principles failing end up.</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b/>
              </w:rPr>
              <w:t>Why a wall of text fails.</w:t>
            </w:r>
            <w:r>
              <w:rPr/>
              <w:t xml:space="preserve"> Web studies by Nielsen and Morkes found that 79 percent of test users always scanned a new page and only 16 percent read word for word (Nielsen 1997). A lesson is read more carefully than a news page, but a learner who is tired or short of time scans as well. Headings, short paragraphs and one idea per paragraph let a scanning reader find the point.</w:t>
            </w:r>
          </w:p>
          <w:p>
            <w:pPr>
              <w:spacing w:before="0" w:after="100"/>
            </w:pPr>
            <w:r>
              <w:rPr>
                <w:b/>
              </w:rPr>
              <w:t>Why feedback is more than a pat on the back.</w:t>
            </w:r>
            <w:r>
              <w:rPr/>
              <w:t xml:space="preserve"> "4 of 5 correct. Review question 2" tells the learner what happened and what to do. "Well done!" tells them only that something happened. The first is feedback in Nielsen's sense (visibility of system status); the second is decoration.</w:t>
            </w:r>
          </w:p>
          <w:p>
            <w:pPr>
              <w:spacing w:before="0" w:after="100"/>
            </w:pPr>
            <w:r>
              <w:rPr>
                <w:b/>
              </w:rPr>
              <w:t>Where this goes next.</w:t>
            </w:r>
            <w:r>
              <w:rPr/>
              <w:t xml:space="preserve"> Day 3 explains cognitive load in detail (intrinsic, extraneous and germane load). Here you only need the idea: attention is limited, so do not waste it.</w:t>
            </w:r>
          </w:p>
        </w:tc>
      </w:tr>
    </w:tbl>
    <w:p>
      <w:pPr>
        <w:spacing w:before="0" w:after="80"/>
      </w:pPr>
    </w:p>
    <w:p>
      <w:pPr>
        <w:spacing w:before="80" w:after="160"/>
      </w:pPr>
      <w:r>
        <w:rPr>
          <w:b/>
          <w:color w:val="556274"/>
          <w:sz w:val="18"/>
        </w:rPr>
        <w:t xml:space="preserve">Sources · </w:t>
      </w:r>
      <w:r>
        <w:rPr>
          <w:color w:val="556274"/>
          <w:sz w:val="18"/>
        </w:rPr>
        <w:t>Sweller 1988 · Nielsen 1994 · Nielsen 1997</w:t>
      </w:r>
    </w:p>
    <w:p>
      <w:pPr>
        <w:pStyle w:val="Heading2"/>
      </w:pPr>
      <w:r>
        <w:rPr/>
        <w:t>A4 · A learning platform is not a classic app · 10 min · Optional</w:t>
      </w:r>
    </w:p>
    <w:p>
      <w:pPr>
        <w:pBdr>
          <w:left w:val="single" w:sz="18" w:space="6" w:color="1750A8"/>
        </w:pBdr>
        <w:spacing w:before="40" w:after="120"/>
        <w:ind w:left="170"/>
      </w:pPr>
      <w:r>
        <w:rPr>
          <w:i/>
          <w:color w:val="556274"/>
          <w:sz w:val="22"/>
        </w:rPr>
        <w:t>A learning platform is not a shopping or banking app: the goal is to change what you know, and learners differ in how much they steer themselves.</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In a classic app the goal is a quick task: pay, book, buy. On a learning platform the goal is to change what someone knows or can do, which takes effort and repeated visits. And learners differ in how much they steer themselves: some study alone at their own pace (self-directed), others follow a trainer and a schedule (guided). One screen rarely serves both equally.</w:t>
            </w:r>
          </w:p>
          <w:p>
            <w:pPr>
              <w:spacing w:before="0" w:after="100"/>
            </w:pPr>
            <w:r>
              <w:rPr>
                <w:b/>
              </w:rPr>
              <w:t>Why it matters.</w:t>
            </w:r>
            <w:r>
              <w:rPr/>
              <w:t xml:space="preserve"> It explains why a measure that makes a screen faster is not automatically better for learning, and why you ask who is learning, alone or with a trainer, before you choose.</w:t>
            </w:r>
          </w:p>
          <w:p>
            <w:pPr>
              <w:spacing w:before="0" w:after="100"/>
            </w:pPr>
            <w:r>
              <w:rPr>
                <w:b/>
              </w:rPr>
              <w:t>How to read the picture.</w:t>
            </w:r>
            <w:r>
              <w:rPr/>
              <w:t xml:space="preserve"> There is no drawing on this card. The first table sets a classic app next to a learning platform; the second sets self-directed next to guided learning. Read across each row.</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050"/>
        <w:gridCol w:w="3081"/>
        <w:gridCol w:w="4507"/>
      </w:tblGrid>
      <w:tr>
        <w:trPr>
          <w:cantSplit/>
          <w:tblHeader/>
        </w:trPr>
        <w:tc>
          <w:tcPr>
            <w:tcW w:type="dxa" w:w="2050"/>
            <w:shd w:val="clear" w:color="auto" w:fill="E6ECF4"/>
          </w:tcPr>
          <w:p>
            <w:pPr>
              <w:spacing w:before="0" w:after="0"/>
            </w:pPr>
          </w:p>
        </w:tc>
        <w:tc>
          <w:tcPr>
            <w:tcW w:type="dxa" w:w="3081"/>
            <w:shd w:val="clear" w:color="auto" w:fill="E6ECF4"/>
          </w:tcPr>
          <w:p>
            <w:pPr>
              <w:spacing w:before="0" w:after="0"/>
            </w:pPr>
            <w:r>
              <w:rPr>
                <w:b/>
                <w:sz w:val="20"/>
              </w:rPr>
              <w:t>Classic app (pay, book, buy)</w:t>
            </w:r>
          </w:p>
        </w:tc>
        <w:tc>
          <w:tcPr>
            <w:tcW w:type="dxa" w:w="4507"/>
            <w:shd w:val="clear" w:color="auto" w:fill="E6ECF4"/>
          </w:tcPr>
          <w:p>
            <w:pPr>
              <w:spacing w:before="0" w:after="0"/>
            </w:pPr>
            <w:r>
              <w:rPr>
                <w:b/>
                <w:sz w:val="20"/>
              </w:rPr>
              <w:t>Learning platform</w:t>
            </w:r>
          </w:p>
        </w:tc>
      </w:tr>
      <w:tr>
        <w:trPr>
          <w:cantSplit/>
        </w:trPr>
        <w:tc>
          <w:tcPr>
            <w:tcW w:type="dxa" w:w="2050"/>
          </w:tcPr>
          <w:p>
            <w:pPr>
              <w:spacing w:before="0" w:after="0"/>
            </w:pPr>
            <w:r>
              <w:rPr>
                <w:sz w:val="20"/>
              </w:rPr>
              <w:t>The goal</w:t>
            </w:r>
          </w:p>
        </w:tc>
        <w:tc>
          <w:tcPr>
            <w:tcW w:type="dxa" w:w="3081"/>
          </w:tcPr>
          <w:p>
            <w:pPr>
              <w:spacing w:before="0" w:after="0"/>
            </w:pPr>
            <w:r>
              <w:rPr>
                <w:sz w:val="20"/>
              </w:rPr>
              <w:t>A quick task done</w:t>
            </w:r>
          </w:p>
        </w:tc>
        <w:tc>
          <w:tcPr>
            <w:tcW w:type="dxa" w:w="4507"/>
          </w:tcPr>
          <w:p>
            <w:pPr>
              <w:spacing w:before="0" w:after="0"/>
            </w:pPr>
            <w:r>
              <w:rPr>
                <w:sz w:val="20"/>
              </w:rPr>
              <w:t>What someone knows or can do has changed</w:t>
            </w:r>
          </w:p>
        </w:tc>
      </w:tr>
      <w:tr>
        <w:trPr>
          <w:cantSplit/>
        </w:trPr>
        <w:tc>
          <w:tcPr>
            <w:tcW w:type="dxa" w:w="2050"/>
          </w:tcPr>
          <w:p>
            <w:pPr>
              <w:spacing w:before="0" w:after="0"/>
            </w:pPr>
            <w:r>
              <w:rPr>
                <w:sz w:val="20"/>
              </w:rPr>
              <w:t>The time</w:t>
            </w:r>
          </w:p>
        </w:tc>
        <w:tc>
          <w:tcPr>
            <w:tcW w:type="dxa" w:w="3081"/>
          </w:tcPr>
          <w:p>
            <w:pPr>
              <w:spacing w:before="0" w:after="0"/>
            </w:pPr>
            <w:r>
              <w:rPr>
                <w:sz w:val="20"/>
              </w:rPr>
              <w:t>Minutes, one visit</w:t>
            </w:r>
          </w:p>
        </w:tc>
        <w:tc>
          <w:tcPr>
            <w:tcW w:type="dxa" w:w="4507"/>
          </w:tcPr>
          <w:p>
            <w:pPr>
              <w:spacing w:before="0" w:after="0"/>
            </w:pPr>
            <w:r>
              <w:rPr>
                <w:sz w:val="20"/>
              </w:rPr>
              <w:t>Weeks, many visits</w:t>
            </w:r>
          </w:p>
        </w:tc>
      </w:tr>
      <w:tr>
        <w:trPr>
          <w:cantSplit/>
        </w:trPr>
        <w:tc>
          <w:tcPr>
            <w:tcW w:type="dxa" w:w="2050"/>
          </w:tcPr>
          <w:p>
            <w:pPr>
              <w:spacing w:before="0" w:after="0"/>
            </w:pPr>
            <w:r>
              <w:rPr>
                <w:sz w:val="20"/>
              </w:rPr>
              <w:t>Success looks like</w:t>
            </w:r>
          </w:p>
        </w:tc>
        <w:tc>
          <w:tcPr>
            <w:tcW w:type="dxa" w:w="3081"/>
          </w:tcPr>
          <w:p>
            <w:pPr>
              <w:spacing w:before="0" w:after="0"/>
            </w:pPr>
            <w:r>
              <w:rPr>
                <w:sz w:val="20"/>
              </w:rPr>
              <w:t>The task is finished</w:t>
            </w:r>
          </w:p>
        </w:tc>
        <w:tc>
          <w:tcPr>
            <w:tcW w:type="dxa" w:w="4507"/>
          </w:tcPr>
          <w:p>
            <w:pPr>
              <w:spacing w:before="0" w:after="0"/>
            </w:pPr>
            <w:r>
              <w:rPr>
                <w:sz w:val="20"/>
              </w:rPr>
              <w:t>The learner finishes and can use it</w:t>
            </w:r>
          </w:p>
        </w:tc>
      </w:tr>
      <w:tr>
        <w:trPr>
          <w:cantSplit/>
        </w:trPr>
        <w:tc>
          <w:tcPr>
            <w:tcW w:type="dxa" w:w="2050"/>
          </w:tcPr>
          <w:p>
            <w:pPr>
              <w:spacing w:before="0" w:after="0"/>
            </w:pPr>
            <w:r>
              <w:rPr>
                <w:sz w:val="20"/>
              </w:rPr>
              <w:t>Effort</w:t>
            </w:r>
          </w:p>
        </w:tc>
        <w:tc>
          <w:tcPr>
            <w:tcW w:type="dxa" w:w="3081"/>
          </w:tcPr>
          <w:p>
            <w:pPr>
              <w:spacing w:before="0" w:after="0"/>
            </w:pPr>
            <w:r>
              <w:rPr>
                <w:sz w:val="20"/>
              </w:rPr>
              <w:t>The less, the better</w:t>
            </w:r>
          </w:p>
        </w:tc>
        <w:tc>
          <w:tcPr>
            <w:tcW w:type="dxa" w:w="4507"/>
          </w:tcPr>
          <w:p>
            <w:pPr>
              <w:spacing w:before="0" w:after="0"/>
            </w:pPr>
            <w:r>
              <w:rPr>
                <w:sz w:val="20"/>
              </w:rPr>
              <w:t>Some effort is the point of learning</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18"/>
        <w:gridCol w:w="3388"/>
        <w:gridCol w:w="3632"/>
      </w:tblGrid>
      <w:tr>
        <w:trPr>
          <w:cantSplit/>
          <w:tblHeader/>
        </w:trPr>
        <w:tc>
          <w:tcPr>
            <w:tcW w:type="dxa" w:w="2618"/>
            <w:shd w:val="clear" w:color="auto" w:fill="E6ECF4"/>
          </w:tcPr>
          <w:p>
            <w:pPr>
              <w:spacing w:before="0" w:after="0"/>
            </w:pPr>
          </w:p>
        </w:tc>
        <w:tc>
          <w:tcPr>
            <w:tcW w:type="dxa" w:w="3388"/>
            <w:shd w:val="clear" w:color="auto" w:fill="E6ECF4"/>
          </w:tcPr>
          <w:p>
            <w:pPr>
              <w:spacing w:before="0" w:after="0"/>
            </w:pPr>
            <w:r>
              <w:rPr>
                <w:b/>
                <w:sz w:val="20"/>
              </w:rPr>
              <w:t>Self-directed (alone, own pace)</w:t>
            </w:r>
          </w:p>
        </w:tc>
        <w:tc>
          <w:tcPr>
            <w:tcW w:type="dxa" w:w="3632"/>
            <w:shd w:val="clear" w:color="auto" w:fill="E6ECF4"/>
          </w:tcPr>
          <w:p>
            <w:pPr>
              <w:spacing w:before="0" w:after="0"/>
            </w:pPr>
            <w:r>
              <w:rPr>
                <w:b/>
                <w:sz w:val="20"/>
              </w:rPr>
              <w:t>Guided (trainer, schedule)</w:t>
            </w:r>
          </w:p>
        </w:tc>
      </w:tr>
      <w:tr>
        <w:trPr>
          <w:cantSplit/>
        </w:trPr>
        <w:tc>
          <w:tcPr>
            <w:tcW w:type="dxa" w:w="2618"/>
          </w:tcPr>
          <w:p>
            <w:pPr>
              <w:spacing w:before="0" w:after="0"/>
            </w:pPr>
            <w:r>
              <w:rPr>
                <w:sz w:val="20"/>
              </w:rPr>
              <w:t>Who sets the next step</w:t>
            </w:r>
          </w:p>
        </w:tc>
        <w:tc>
          <w:tcPr>
            <w:tcW w:type="dxa" w:w="3388"/>
          </w:tcPr>
          <w:p>
            <w:pPr>
              <w:spacing w:before="0" w:after="0"/>
            </w:pPr>
            <w:r>
              <w:rPr>
                <w:sz w:val="20"/>
              </w:rPr>
              <w:t>The learner</w:t>
            </w:r>
          </w:p>
        </w:tc>
        <w:tc>
          <w:tcPr>
            <w:tcW w:type="dxa" w:w="3632"/>
          </w:tcPr>
          <w:p>
            <w:pPr>
              <w:spacing w:before="0" w:after="0"/>
            </w:pPr>
            <w:r>
              <w:rPr>
                <w:sz w:val="20"/>
              </w:rPr>
              <w:t>The trainer</w:t>
            </w:r>
          </w:p>
        </w:tc>
      </w:tr>
      <w:tr>
        <w:trPr>
          <w:cantSplit/>
        </w:trPr>
        <w:tc>
          <w:tcPr>
            <w:tcW w:type="dxa" w:w="2618"/>
          </w:tcPr>
          <w:p>
            <w:pPr>
              <w:spacing w:before="0" w:after="0"/>
            </w:pPr>
            <w:r>
              <w:rPr>
                <w:sz w:val="20"/>
              </w:rPr>
              <w:t>What the platform must supply</w:t>
            </w:r>
          </w:p>
        </w:tc>
        <w:tc>
          <w:tcPr>
            <w:tcW w:type="dxa" w:w="3388"/>
          </w:tcPr>
          <w:p>
            <w:pPr>
              <w:spacing w:before="0" w:after="0"/>
            </w:pPr>
            <w:r>
              <w:rPr>
                <w:sz w:val="20"/>
              </w:rPr>
              <w:t>A clear path and feedback on its own</w:t>
            </w:r>
          </w:p>
        </w:tc>
        <w:tc>
          <w:tcPr>
            <w:tcW w:type="dxa" w:w="3632"/>
          </w:tcPr>
          <w:p>
            <w:pPr>
              <w:spacing w:before="0" w:after="0"/>
            </w:pPr>
            <w:r>
              <w:rPr>
                <w:sz w:val="20"/>
              </w:rPr>
              <w:t>Visibility for the trainer, a shared schedule</w:t>
            </w:r>
          </w:p>
        </w:tc>
      </w:tr>
      <w:tr>
        <w:trPr>
          <w:cantSplit/>
        </w:trPr>
        <w:tc>
          <w:tcPr>
            <w:tcW w:type="dxa" w:w="2618"/>
          </w:tcPr>
          <w:p>
            <w:pPr>
              <w:spacing w:before="0" w:after="0"/>
            </w:pPr>
            <w:r>
              <w:rPr>
                <w:sz w:val="20"/>
              </w:rPr>
              <w:t>Typical failure</w:t>
            </w:r>
          </w:p>
        </w:tc>
        <w:tc>
          <w:tcPr>
            <w:tcW w:type="dxa" w:w="3388"/>
          </w:tcPr>
          <w:p>
            <w:pPr>
              <w:spacing w:before="0" w:after="0"/>
            </w:pPr>
            <w:r>
              <w:rPr>
                <w:sz w:val="20"/>
              </w:rPr>
              <w:t>Gets lost and stops unnoticed</w:t>
            </w:r>
          </w:p>
        </w:tc>
        <w:tc>
          <w:tcPr>
            <w:tcW w:type="dxa" w:w="3632"/>
          </w:tcPr>
          <w:p>
            <w:pPr>
              <w:spacing w:before="0" w:after="0"/>
            </w:pPr>
            <w:r>
              <w:rPr>
                <w:sz w:val="20"/>
              </w:rPr>
              <w:t>Waits for instruction that does not come</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A measure that makes a screen quicker is not automatically better for learning. Remove effort that does not help learning; keep effort that does.</w:t>
            </w:r>
          </w:p>
          <w:p>
            <w:pPr>
              <w:pStyle w:val="ListBullet"/>
              <w:spacing w:before="0" w:after="100"/>
            </w:pPr>
            <w:r>
              <w:rPr/>
              <w:t>Ask whether the learner studies alone or with a trainer before you choose: alone, the platform must supply the structure and feedback a trainer would.</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b/>
              </w:rPr>
              <w:t>Which effort is worth keeping.</w:t>
            </w:r>
            <w:r>
              <w:rPr/>
              <w:t xml:space="preserve"> Bjork and Bjork call useful struggle "desirable difficulty": trying to recall an answer is harder than re-reading it, and it helps memory more. But a confusing menu is not a desirable difficulty. It uses attention without teaching anything. The design question is therefore always: does this effort go into learning, or into working out the interface?</w:t>
            </w:r>
          </w:p>
          <w:p>
            <w:pPr>
              <w:spacing w:before="0" w:after="100"/>
            </w:pPr>
            <w:r>
              <w:rPr>
                <w:b/>
              </w:rPr>
              <w:t>Adult learners.</w:t>
            </w:r>
            <w:r>
              <w:rPr/>
              <w:t xml:space="preserve"> Knowles described adults as increasingly self-directed: they want to know why they learn something and they bring their own experience. For a platform this means the learner needs the "why" at the start and the choice to skip what they know. Most Habmann learners are working professionals, so both matter.</w:t>
            </w:r>
          </w:p>
        </w:tc>
      </w:tr>
    </w:tbl>
    <w:p>
      <w:pPr>
        <w:spacing w:before="0" w:after="80"/>
      </w:pPr>
    </w:p>
    <w:p>
      <w:pPr>
        <w:spacing w:before="80" w:after="160"/>
      </w:pPr>
      <w:r>
        <w:rPr>
          <w:b/>
          <w:color w:val="556274"/>
          <w:sz w:val="18"/>
        </w:rPr>
        <w:t xml:space="preserve">Sources · </w:t>
      </w:r>
      <w:r>
        <w:rPr>
          <w:color w:val="556274"/>
          <w:sz w:val="18"/>
        </w:rPr>
        <w:t>Knowles 1975 · Bjork &amp; Bjork 2011</w:t>
      </w:r>
    </w:p>
    <w:p>
      <w:pPr>
        <w:pStyle w:val="Heading2"/>
      </w:pPr>
      <w:r>
        <w:rPr/>
        <w:t>A5 · Weighing a measure: user impact, effort, risk · 14 min · Core</w:t>
      </w:r>
    </w:p>
    <w:p>
      <w:pPr>
        <w:pBdr>
          <w:left w:val="single" w:sz="18" w:space="6" w:color="1750A8"/>
        </w:pBdr>
        <w:spacing w:before="40" w:after="120"/>
        <w:ind w:left="170"/>
      </w:pPr>
      <w:r>
        <w:rPr>
          <w:i/>
          <w:color w:val="556274"/>
          <w:sz w:val="22"/>
        </w:rPr>
        <w:t>To choose under a budget, rate each measure on user impact, effort and risk, put them in order, and say what you do not know.</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A budget never covers every good idea, so you compare measures with the same three questions. User impact: how much does it help learners get unstuck, understand or carry on? Effort: money and time; here a rule decides it. Under €10,000 is Low, up to €15,000 is Mid, above that is High. Risk: what could go wrong or backfire? Then you put the measures in order and say what information you are missing, because you rarely know enough.</w:t>
            </w:r>
          </w:p>
          <w:p>
            <w:pPr>
              <w:spacing w:before="0" w:after="100"/>
            </w:pPr>
            <w:r>
              <w:rPr>
                <w:b/>
              </w:rPr>
              <w:t>Why it matters.</w:t>
            </w:r>
            <w:r>
              <w:rPr/>
              <w:t xml:space="preserve"> Block 2.2 asks you to choose four measures for SkillUp, rate them like this, order them and name the missing information. The example here uses LearnLoop, a different company, so the answer is not given.</w:t>
            </w:r>
          </w:p>
          <w:p>
            <w:pPr>
              <w:spacing w:before="0" w:after="100"/>
            </w:pPr>
            <w:r>
              <w:rPr>
                <w:b/>
              </w:rPr>
              <w:t>How to read the picture.</w:t>
            </w:r>
            <w:r>
              <w:rPr/>
              <w:t xml:space="preserve"> The bars show the cost of each of three LearnLoop measures. The coloured bands behind them are the effort rule: Low, Mid, High. The dashed line is the budget. A measure inside the Low band has Low effort. The table below the picture gives the three ratings for each measure and the reason.</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953947"/>
            <wp:docPr id="4" name="Picture 4"/>
            <wp:cNvGraphicFramePr>
              <a:graphicFrameLocks noChangeAspect="1"/>
            </wp:cNvGraphicFramePr>
            <a:graphic>
              <a:graphicData uri="http://schemas.openxmlformats.org/drawingml/2006/picture">
                <pic:pic>
                  <pic:nvPicPr>
                    <pic:cNvPr id="0" name="d1_a5_budget-effort-8a0cb0a96b78.png"/>
                    <pic:cNvPicPr/>
                  </pic:nvPicPr>
                  <pic:blipFill>
                    <a:blip r:embed="rId13"/>
                    <a:stretch>
                      <a:fillRect/>
                    </a:stretch>
                  </pic:blipFill>
                  <pic:spPr>
                    <a:xfrm>
                      <a:off x="0" y="0"/>
                      <a:ext cx="5940000" cy="1953947"/>
                    </a:xfrm>
                    <a:prstGeom prst="rect"/>
                  </pic:spPr>
                </pic:pic>
              </a:graphicData>
            </a:graphic>
          </wp:inline>
        </w:drawing>
      </w:r>
    </w:p>
    <w:p>
      <w:pPr>
        <w:spacing w:before="0" w:after="160"/>
        <w:jc w:val="center"/>
      </w:pPr>
      <w:r>
        <w:rPr>
          <w:i/>
          <w:color w:val="556274"/>
          <w:sz w:val="18"/>
        </w:rPr>
        <w:t>Figure 4 · LearnLoop weighs three measures. Cost against the effort rule and the €30,000 budget (Case assumption).</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 short story: LearnLoop has €30,000 and six weeks</w:t>
            </w:r>
          </w:p>
          <w:p>
            <w:pPr>
              <w:spacing w:before="0" w:after="100"/>
            </w:pPr>
            <w:r>
              <w:rPr>
                <w:b/>
              </w:rPr>
              <w:t>Step 1 · Idea one: a guided first week.</w:t>
            </w:r>
            <w:r>
              <w:rPr/>
              <w:t xml:space="preserve"> Let us look at LearnLoop, an online-course provider. It has a problem: 30 of every 100 new learners leave in the first week. To improve this, LearnLoop has €30,000 and six weeks, and three ideas on the table. We will rate each idea on three questions: how much it helps the learner (user impact), what it costs (effort), and what could go wrong (risk). The first idea is a guided first week that tells every newcomer what to do first. It costs €7,000, and the rule says that anything under €10,000 has Low effort, so its effort is Low.</w:t>
            </w:r>
          </w:p>
          <w:p>
            <w:pPr>
              <w:spacing w:before="0" w:after="100"/>
            </w:pPr>
            <w:r>
              <w:rPr>
                <w:b/>
              </w:rPr>
              <w:t>Step 2 · Does it help? Could it backfire?</w:t>
            </w:r>
            <w:r>
              <w:rPr/>
              <w:t xml:space="preserve"> Week one is exactly where learners leave, and with a guided week a newcomer finally knows where to start, so the user impact is High. It adds a path and takes nothing away, and LearnLoop can switch it off again, so the risk is Low. Put together, this is a cheap, direct and safe measure.</w:t>
            </w:r>
          </w:p>
          <w:p>
            <w:pPr>
              <w:spacing w:before="0" w:after="100"/>
            </w:pPr>
            <w:r>
              <w:rPr>
                <w:b/>
              </w:rPr>
              <w:t>Step 3 · Idea two: a tempting leaderboard.</w:t>
            </w:r>
            <w:r>
              <w:rPr/>
              <w:t xml:space="preserve"> The second idea is a leaderboard, a ranking of learners by activity. It costs €12,000, which is between €10,000 and €15,000, so the effort is Mid. It sounds exciting, but a ranking mostly rewards learners who are already active, and a newcomer who is lost gains nothing from it, so its user impact is Low. It can even backfire: learners at the bottom of a ranking may leave sooner, and they are the ones LearnLoop most wants to keep, so the risk is High.</w:t>
            </w:r>
          </w:p>
          <w:p>
            <w:pPr>
              <w:spacing w:before="0" w:after="100"/>
            </w:pPr>
            <w:r>
              <w:rPr>
                <w:b/>
              </w:rPr>
              <w:t>Step 4 · Idea three, and what is still unknown.</w:t>
            </w:r>
            <w:r>
              <w:rPr/>
              <w:t xml:space="preserve"> The third idea is to rewrite the whole course catalogue. It costs €27,000, so the effort is High, and it would use almost the whole budget. Most of the benefit would also come after the six weeks, while learners are leaving in week one. LearnLoop also does not know yet whether newcomers leave because they lack direction or because they lack time, and it should find that out before it commits the money.</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816"/>
        <w:gridCol w:w="3297"/>
        <w:gridCol w:w="1792"/>
        <w:gridCol w:w="2733"/>
      </w:tblGrid>
      <w:tr>
        <w:trPr>
          <w:cantSplit/>
          <w:tblHeader/>
        </w:trPr>
        <w:tc>
          <w:tcPr>
            <w:tcW w:type="dxa" w:w="1816"/>
            <w:shd w:val="clear" w:color="auto" w:fill="E6ECF4"/>
          </w:tcPr>
          <w:p>
            <w:pPr>
              <w:spacing w:before="0" w:after="0"/>
            </w:pPr>
            <w:r>
              <w:rPr>
                <w:b/>
                <w:sz w:val="19"/>
              </w:rPr>
              <w:t>LearnLoop measure</w:t>
            </w:r>
          </w:p>
        </w:tc>
        <w:tc>
          <w:tcPr>
            <w:tcW w:type="dxa" w:w="3297"/>
            <w:shd w:val="clear" w:color="auto" w:fill="E6ECF4"/>
          </w:tcPr>
          <w:p>
            <w:pPr>
              <w:spacing w:before="0" w:after="0"/>
            </w:pPr>
            <w:r>
              <w:rPr>
                <w:b/>
                <w:sz w:val="19"/>
              </w:rPr>
              <w:t>User impact</w:t>
            </w:r>
          </w:p>
        </w:tc>
        <w:tc>
          <w:tcPr>
            <w:tcW w:type="dxa" w:w="1792"/>
            <w:shd w:val="clear" w:color="auto" w:fill="E6ECF4"/>
          </w:tcPr>
          <w:p>
            <w:pPr>
              <w:spacing w:before="0" w:after="0"/>
            </w:pPr>
            <w:r>
              <w:rPr>
                <w:b/>
                <w:sz w:val="19"/>
              </w:rPr>
              <w:t>Effort</w:t>
            </w:r>
          </w:p>
        </w:tc>
        <w:tc>
          <w:tcPr>
            <w:tcW w:type="dxa" w:w="2733"/>
            <w:shd w:val="clear" w:color="auto" w:fill="E6ECF4"/>
          </w:tcPr>
          <w:p>
            <w:pPr>
              <w:spacing w:before="0" w:after="0"/>
            </w:pPr>
            <w:r>
              <w:rPr>
                <w:b/>
                <w:sz w:val="19"/>
              </w:rPr>
              <w:t>Risk</w:t>
            </w:r>
          </w:p>
        </w:tc>
      </w:tr>
      <w:tr>
        <w:trPr>
          <w:cantSplit/>
        </w:trPr>
        <w:tc>
          <w:tcPr>
            <w:tcW w:type="dxa" w:w="1816"/>
          </w:tcPr>
          <w:p>
            <w:pPr>
              <w:spacing w:before="0" w:after="0"/>
            </w:pPr>
            <w:r>
              <w:rPr>
                <w:b/>
                <w:sz w:val="19"/>
              </w:rPr>
              <w:t>Guided first week</w:t>
            </w:r>
            <w:r>
              <w:rPr>
                <w:sz w:val="19"/>
              </w:rPr>
              <w:t xml:space="preserve"> · €7,000</w:t>
            </w:r>
          </w:p>
        </w:tc>
        <w:tc>
          <w:tcPr>
            <w:tcW w:type="dxa" w:w="3297"/>
          </w:tcPr>
          <w:p>
            <w:pPr>
              <w:spacing w:before="0" w:after="0"/>
            </w:pPr>
            <w:r>
              <w:rPr>
                <w:b/>
                <w:sz w:val="19"/>
              </w:rPr>
              <w:t>High.</w:t>
            </w:r>
            <w:r>
              <w:rPr>
                <w:sz w:val="19"/>
              </w:rPr>
              <w:t xml:space="preserve"> Week one is where learners leave, and this tells every new learner exactly what to do first.</w:t>
            </w:r>
          </w:p>
        </w:tc>
        <w:tc>
          <w:tcPr>
            <w:tcW w:type="dxa" w:w="1792"/>
          </w:tcPr>
          <w:p>
            <w:pPr>
              <w:spacing w:before="0" w:after="0"/>
            </w:pPr>
            <w:r>
              <w:rPr>
                <w:b/>
                <w:sz w:val="19"/>
              </w:rPr>
              <w:t>Low.</w:t>
            </w:r>
            <w:r>
              <w:rPr>
                <w:sz w:val="19"/>
              </w:rPr>
              <w:t xml:space="preserve"> €7,000 is under €10,000.</w:t>
            </w:r>
          </w:p>
        </w:tc>
        <w:tc>
          <w:tcPr>
            <w:tcW w:type="dxa" w:w="2733"/>
          </w:tcPr>
          <w:p>
            <w:pPr>
              <w:spacing w:before="0" w:after="0"/>
            </w:pPr>
            <w:r>
              <w:rPr>
                <w:b/>
                <w:sz w:val="19"/>
              </w:rPr>
              <w:t>Low.</w:t>
            </w:r>
            <w:r>
              <w:rPr>
                <w:sz w:val="19"/>
              </w:rPr>
              <w:t xml:space="preserve"> It adds a path and removes nothing, and it can be switched off again.</w:t>
            </w:r>
          </w:p>
        </w:tc>
      </w:tr>
      <w:tr>
        <w:trPr>
          <w:cantSplit/>
        </w:trPr>
        <w:tc>
          <w:tcPr>
            <w:tcW w:type="dxa" w:w="1816"/>
          </w:tcPr>
          <w:p>
            <w:pPr>
              <w:spacing w:before="0" w:after="0"/>
            </w:pPr>
            <w:r>
              <w:rPr>
                <w:b/>
                <w:sz w:val="19"/>
              </w:rPr>
              <w:t>Leaderboard</w:t>
            </w:r>
            <w:r>
              <w:rPr>
                <w:sz w:val="19"/>
              </w:rPr>
              <w:t xml:space="preserve"> · €12,000</w:t>
            </w:r>
          </w:p>
        </w:tc>
        <w:tc>
          <w:tcPr>
            <w:tcW w:type="dxa" w:w="3297"/>
          </w:tcPr>
          <w:p>
            <w:pPr>
              <w:spacing w:before="0" w:after="0"/>
            </w:pPr>
            <w:r>
              <w:rPr>
                <w:b/>
                <w:sz w:val="19"/>
              </w:rPr>
              <w:t>Low.</w:t>
            </w:r>
            <w:r>
              <w:rPr>
                <w:sz w:val="19"/>
              </w:rPr>
              <w:t xml:space="preserve"> It rewards the few learners who are already active and does nothing for a newcomer who is lost.</w:t>
            </w:r>
          </w:p>
        </w:tc>
        <w:tc>
          <w:tcPr>
            <w:tcW w:type="dxa" w:w="1792"/>
          </w:tcPr>
          <w:p>
            <w:pPr>
              <w:spacing w:before="0" w:after="0"/>
            </w:pPr>
            <w:r>
              <w:rPr>
                <w:b/>
                <w:sz w:val="19"/>
              </w:rPr>
              <w:t>Mid.</w:t>
            </w:r>
            <w:r>
              <w:rPr>
                <w:sz w:val="19"/>
              </w:rPr>
              <w:t xml:space="preserve"> €12,000 lies between €10,000 and €15,000.</w:t>
            </w:r>
          </w:p>
        </w:tc>
        <w:tc>
          <w:tcPr>
            <w:tcW w:type="dxa" w:w="2733"/>
          </w:tcPr>
          <w:p>
            <w:pPr>
              <w:spacing w:before="0" w:after="0"/>
            </w:pPr>
            <w:r>
              <w:rPr>
                <w:b/>
                <w:sz w:val="19"/>
              </w:rPr>
              <w:t>High.</w:t>
            </w:r>
            <w:r>
              <w:rPr>
                <w:sz w:val="19"/>
              </w:rPr>
              <w:t xml:space="preserve"> A ranking can discourage learners at the bottom, and they are the ones most likely to leave.</w:t>
            </w:r>
          </w:p>
        </w:tc>
      </w:tr>
      <w:tr>
        <w:trPr>
          <w:cantSplit/>
        </w:trPr>
        <w:tc>
          <w:tcPr>
            <w:tcW w:type="dxa" w:w="1816"/>
          </w:tcPr>
          <w:p>
            <w:pPr>
              <w:spacing w:before="0" w:after="0"/>
            </w:pPr>
            <w:r>
              <w:rPr>
                <w:b/>
                <w:sz w:val="19"/>
              </w:rPr>
              <w:t>Rewrite the whole catalogue</w:t>
            </w:r>
            <w:r>
              <w:rPr>
                <w:sz w:val="19"/>
              </w:rPr>
              <w:t xml:space="preserve"> · €27,000</w:t>
            </w:r>
          </w:p>
        </w:tc>
        <w:tc>
          <w:tcPr>
            <w:tcW w:type="dxa" w:w="3297"/>
          </w:tcPr>
          <w:p>
            <w:pPr>
              <w:spacing w:before="0" w:after="0"/>
            </w:pPr>
            <w:r>
              <w:rPr>
                <w:b/>
                <w:sz w:val="19"/>
              </w:rPr>
              <w:t>Mid.</w:t>
            </w:r>
            <w:r>
              <w:rPr>
                <w:sz w:val="19"/>
              </w:rPr>
              <w:t xml:space="preserve"> It helps understanding, but most of the benefit arrives after the six weeks, and learners leave in week one.</w:t>
            </w:r>
          </w:p>
        </w:tc>
        <w:tc>
          <w:tcPr>
            <w:tcW w:type="dxa" w:w="1792"/>
          </w:tcPr>
          <w:p>
            <w:pPr>
              <w:spacing w:before="0" w:after="0"/>
            </w:pPr>
            <w:r>
              <w:rPr>
                <w:b/>
                <w:sz w:val="19"/>
              </w:rPr>
              <w:t>High.</w:t>
            </w:r>
            <w:r>
              <w:rPr>
                <w:sz w:val="19"/>
              </w:rPr>
              <w:t xml:space="preserve"> €27,000 is above €15,000 and uses almost the whole €30,000.</w:t>
            </w:r>
          </w:p>
        </w:tc>
        <w:tc>
          <w:tcPr>
            <w:tcW w:type="dxa" w:w="2733"/>
          </w:tcPr>
          <w:p>
            <w:pPr>
              <w:spacing w:before="0" w:after="0"/>
            </w:pPr>
            <w:r>
              <w:rPr>
                <w:b/>
                <w:sz w:val="19"/>
              </w:rPr>
              <w:t>Mid.</w:t>
            </w:r>
            <w:r>
              <w:rPr>
                <w:sz w:val="19"/>
              </w:rPr>
              <w:t xml:space="preserve"> Most of the budget goes into one bet; if the cause is not the text, little is left to try something else.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Still unknown (LearnLoop)</w:t>
            </w:r>
          </w:p>
          <w:p>
            <w:pPr>
              <w:spacing w:before="0" w:after="100"/>
            </w:pPr>
            <w:r>
              <w:rPr/>
              <w:t>Whether week-one leavers lack direction or lack time. LearnLoop would run five short interviews before committing the whole budget.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LearnLoop, its 30%, its costs and its reasons are made up for this example. SkillUp's numbers are in the Task document.</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Rate effort by the printed cost: under €10,000 is Low; €10,000 to €15,000 is Mid; above €15,000 is High. Do not judge it by how hard it feels.</w:t>
            </w:r>
          </w:p>
          <w:p>
            <w:pPr>
              <w:pStyle w:val="ListBullet"/>
              <w:spacing w:before="0" w:after="40"/>
            </w:pPr>
            <w:r>
              <w:rPr/>
              <w:t>Rate user impact by the learner's problem the measure meets: a measure that answers a printed finding scores higher than one that answers none.</w:t>
            </w:r>
          </w:p>
          <w:p>
            <w:pPr>
              <w:pStyle w:val="ListBullet"/>
              <w:spacing w:before="0" w:after="40"/>
            </w:pPr>
            <w:r>
              <w:rPr/>
              <w:t>Rate risk by what could go wrong: it backfires (a ranking that discourages), rests on one person, or uses most of the budget for a late result.</w:t>
            </w:r>
          </w:p>
          <w:p>
            <w:pPr>
              <w:pStyle w:val="ListBullet"/>
              <w:spacing w:before="0" w:after="40"/>
            </w:pPr>
            <w:r>
              <w:rPr/>
              <w:t>A measure that answers none of the printed findings (a new feature, a new look, more courses) is a weak choice however attractive it sounds.</w:t>
            </w:r>
          </w:p>
          <w:p>
            <w:pPr>
              <w:pStyle w:val="ListBullet"/>
              <w:spacing w:before="0" w:after="100"/>
            </w:pPr>
            <w:r>
              <w:rPr/>
              <w:t>Put the chosen measures in order and say why the first goes first. Going over budget is allowed with a stated reason; saying nothing about what you do not know is not.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b/>
              </w:rPr>
              <w:t>Effort is a rule, impact and risk are judgements.</w:t>
            </w:r>
            <w:r>
              <w:rPr/>
              <w:t xml:space="preserve"> The effort rule is a convention for this course so that two people rate the same cost the same way. User impact and risk are judgements: two experienced designers can rate them differently and both be right, as long as each can point at a printed fact.</w:t>
            </w:r>
          </w:p>
          <w:p>
            <w:pPr>
              <w:spacing w:before="0" w:after="100"/>
            </w:pPr>
            <w:r>
              <w:rPr>
                <w:b/>
              </w:rPr>
              <w:t>A prioritisation matrix.</w:t>
            </w:r>
            <w:r>
              <w:rPr/>
              <w:t xml:space="preserve"> The Nielsen Norman Group describes a prioritisation matrix as a way to plot options on two criteria, for example value to the user against effort, so that the quick wins (high value, low effort) stand out (Gibbons 2018). Here you rate three criteria and show them side by side. The app never adds them up, because adding unlike things hides the trade-off you want to see.</w:t>
            </w:r>
          </w:p>
          <w:p>
            <w:pPr>
              <w:spacing w:before="0" w:after="100"/>
            </w:pPr>
            <w:r>
              <w:rPr>
                <w:b/>
              </w:rPr>
              <w:t>Reversibility as part of risk.</w:t>
            </w:r>
            <w:r>
              <w:rPr/>
              <w:t xml:space="preserve"> A measure you can switch off again carries less risk than one that commits the budget. The same thought returns in Materi B3.</w:t>
            </w:r>
          </w:p>
        </w:tc>
      </w:tr>
    </w:tbl>
    <w:p>
      <w:pPr>
        <w:spacing w:before="0" w:after="80"/>
      </w:pPr>
    </w:p>
    <w:p>
      <w:pPr>
        <w:spacing w:before="80" w:after="160"/>
      </w:pPr>
      <w:r>
        <w:rPr>
          <w:b/>
          <w:color w:val="556274"/>
          <w:sz w:val="18"/>
        </w:rPr>
        <w:t xml:space="preserve">Sources · </w:t>
      </w:r>
      <w:r>
        <w:rPr>
          <w:color w:val="556274"/>
          <w:sz w:val="18"/>
        </w:rPr>
        <w:t>Gibbons 2018 (NN/g)</w:t>
      </w:r>
    </w:p>
    <w:p>
      <w:r>
        <w:br w:type="page"/>
      </w:r>
    </w:p>
    <w:p>
      <w:pPr>
        <w:pStyle w:val="Heading1"/>
        <w:pBdr>
          <w:bottom w:val="single" w:sz="8" w:space="2" w:color="17212E"/>
        </w:pBdr>
      </w:pPr>
      <w:r>
        <w:rPr/>
        <w:t>Materi B · Route 2 · Level 3</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How Materi B is used</w:t>
            </w:r>
          </w:p>
          <w:p>
            <w:pPr>
              <w:spacing w:before="0" w:after="100"/>
            </w:pPr>
            <w:r>
              <w:rPr/>
              <w:t>About 60 minutes, three cards. Level 3 is the management level: you assess UX as a strategic competitive factor and set priorities between user value, effort and business goals. Materi B teaches the three things Task 2 asks: argue a UX decision in business terms (B1), weigh conflicting goals (B2), and decide when you do not know enough (B3). The worked examples use LearnLoop again.</w:t>
            </w:r>
          </w:p>
        </w:tc>
      </w:tr>
    </w:tbl>
    <w:p>
      <w:pPr>
        <w:spacing w:before="0" w:after="80"/>
      </w:pPr>
    </w:p>
    <w:p>
      <w:pPr>
        <w:pStyle w:val="Heading2"/>
      </w:pPr>
      <w:r>
        <w:rPr/>
        <w:t>B1 · Why UX matters to the business · 18 min · Core</w:t>
      </w:r>
    </w:p>
    <w:p>
      <w:pPr>
        <w:pBdr>
          <w:left w:val="single" w:sz="18" w:space="6" w:color="1750A8"/>
        </w:pBdr>
        <w:spacing w:before="40" w:after="120"/>
        <w:ind w:left="170"/>
      </w:pPr>
      <w:r>
        <w:rPr>
          <w:i/>
          <w:color w:val="556274"/>
          <w:sz w:val="22"/>
        </w:rPr>
        <w:t>For an EdTech company, UX decides whether learners finish and come back, and that is what the business earns from.</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A learning platform earns when learners finish courses, come back for the next one and recommend it to their employers. Three numbers show it: completion rate (how many of those who start, finish), retention (how many come back) and engagement (how much they do while they are there). All three move with the experience, so a UX decision is also a business decision. And if a competitor's platform is easier to use, learners, and the companies that pay for them, can switch.</w:t>
            </w:r>
          </w:p>
          <w:p>
            <w:pPr>
              <w:spacing w:before="0" w:after="100"/>
            </w:pPr>
            <w:r>
              <w:rPr>
                <w:b/>
              </w:rPr>
              <w:t>Why it matters.</w:t>
            </w:r>
            <w:r>
              <w:rPr/>
              <w:t xml:space="preserve"> Route 2 puts you in the chair of SkillUp's Chief UX Officer. Every decision there has to be justified to people who think in completion, retention and cost, not in screens.</w:t>
            </w:r>
          </w:p>
          <w:p>
            <w:pPr>
              <w:spacing w:before="0" w:after="100"/>
            </w:pPr>
            <w:r>
              <w:rPr>
                <w:b/>
              </w:rPr>
              <w:t>How to read the picture.</w:t>
            </w:r>
            <w:r>
              <w:rPr/>
              <w:t xml:space="preserve"> The chain reads from left to right: what the learner experiences, what they then do, and which number shows it. Follow it from any of the three experiences to its number.</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793724"/>
            <wp:docPr id="5" name="Picture 5"/>
            <wp:cNvGraphicFramePr>
              <a:graphicFrameLocks noChangeAspect="1"/>
            </wp:cNvGraphicFramePr>
            <a:graphic>
              <a:graphicData uri="http://schemas.openxmlformats.org/drawingml/2006/picture">
                <pic:pic>
                  <pic:nvPicPr>
                    <pic:cNvPr id="0" name="d1_b1_experience-to-number-f870be08e980.png"/>
                    <pic:cNvPicPr/>
                  </pic:nvPicPr>
                  <pic:blipFill>
                    <a:blip r:embed="rId14"/>
                    <a:stretch>
                      <a:fillRect/>
                    </a:stretch>
                  </pic:blipFill>
                  <pic:spPr>
                    <a:xfrm>
                      <a:off x="0" y="0"/>
                      <a:ext cx="5940000" cy="1793724"/>
                    </a:xfrm>
                    <a:prstGeom prst="rect"/>
                  </pic:spPr>
                </pic:pic>
              </a:graphicData>
            </a:graphic>
          </wp:inline>
        </w:drawing>
      </w:r>
    </w:p>
    <w:p>
      <w:pPr>
        <w:spacing w:before="0" w:after="160"/>
        <w:jc w:val="center"/>
      </w:pPr>
      <w:r>
        <w:rPr>
          <w:i/>
          <w:color w:val="556274"/>
          <w:sz w:val="18"/>
        </w:rPr>
        <w:t>Figure 5 · From the experience to the numbers a business watches. Typical links, drawn for a learning platform; a real platform checks each link with its own data.</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003"/>
        <w:gridCol w:w="3900"/>
        <w:gridCol w:w="3735"/>
      </w:tblGrid>
      <w:tr>
        <w:trPr>
          <w:cantSplit/>
          <w:tblHeader/>
        </w:trPr>
        <w:tc>
          <w:tcPr>
            <w:tcW w:type="dxa" w:w="2003"/>
            <w:shd w:val="clear" w:color="auto" w:fill="E6ECF4"/>
          </w:tcPr>
          <w:p>
            <w:pPr>
              <w:spacing w:before="0" w:after="0"/>
            </w:pPr>
            <w:r>
              <w:rPr>
                <w:b/>
                <w:sz w:val="20"/>
              </w:rPr>
              <w:t>Number</w:t>
            </w:r>
          </w:p>
        </w:tc>
        <w:tc>
          <w:tcPr>
            <w:tcW w:type="dxa" w:w="3900"/>
            <w:shd w:val="clear" w:color="auto" w:fill="E6ECF4"/>
          </w:tcPr>
          <w:p>
            <w:pPr>
              <w:spacing w:before="0" w:after="0"/>
            </w:pPr>
            <w:r>
              <w:rPr>
                <w:b/>
                <w:sz w:val="20"/>
              </w:rPr>
              <w:t>It counts</w:t>
            </w:r>
          </w:p>
        </w:tc>
        <w:tc>
          <w:tcPr>
            <w:tcW w:type="dxa" w:w="3735"/>
            <w:shd w:val="clear" w:color="auto" w:fill="E6ECF4"/>
          </w:tcPr>
          <w:p>
            <w:pPr>
              <w:spacing w:before="0" w:after="0"/>
            </w:pPr>
            <w:r>
              <w:rPr>
                <w:b/>
                <w:sz w:val="20"/>
              </w:rPr>
              <w:t>UX moves it by</w:t>
            </w:r>
          </w:p>
        </w:tc>
      </w:tr>
      <w:tr>
        <w:trPr>
          <w:cantSplit/>
        </w:trPr>
        <w:tc>
          <w:tcPr>
            <w:tcW w:type="dxa" w:w="2003"/>
          </w:tcPr>
          <w:p>
            <w:pPr>
              <w:spacing w:before="0" w:after="0"/>
            </w:pPr>
            <w:r>
              <w:rPr>
                <w:sz w:val="20"/>
              </w:rPr>
              <w:t>Completion rate</w:t>
            </w:r>
          </w:p>
        </w:tc>
        <w:tc>
          <w:tcPr>
            <w:tcW w:type="dxa" w:w="3900"/>
          </w:tcPr>
          <w:p>
            <w:pPr>
              <w:spacing w:before="0" w:after="0"/>
            </w:pPr>
            <w:r>
              <w:rPr>
                <w:sz w:val="20"/>
              </w:rPr>
              <w:t>Of those who start a course, how many finish</w:t>
            </w:r>
          </w:p>
        </w:tc>
        <w:tc>
          <w:tcPr>
            <w:tcW w:type="dxa" w:w="3735"/>
          </w:tcPr>
          <w:p>
            <w:pPr>
              <w:spacing w:before="0" w:after="0"/>
            </w:pPr>
            <w:r>
              <w:rPr>
                <w:sz w:val="20"/>
              </w:rPr>
              <w:t>A clear path, lessons you can follow</w:t>
            </w:r>
          </w:p>
        </w:tc>
      </w:tr>
      <w:tr>
        <w:trPr>
          <w:cantSplit/>
        </w:trPr>
        <w:tc>
          <w:tcPr>
            <w:tcW w:type="dxa" w:w="2003"/>
          </w:tcPr>
          <w:p>
            <w:pPr>
              <w:spacing w:before="0" w:after="0"/>
            </w:pPr>
            <w:r>
              <w:rPr>
                <w:sz w:val="20"/>
              </w:rPr>
              <w:t>Retention</w:t>
            </w:r>
          </w:p>
        </w:tc>
        <w:tc>
          <w:tcPr>
            <w:tcW w:type="dxa" w:w="3900"/>
          </w:tcPr>
          <w:p>
            <w:pPr>
              <w:spacing w:before="0" w:after="0"/>
            </w:pPr>
            <w:r>
              <w:rPr>
                <w:sz w:val="20"/>
              </w:rPr>
              <w:t>How many come back for the next lesson, course or year</w:t>
            </w:r>
          </w:p>
        </w:tc>
        <w:tc>
          <w:tcPr>
            <w:tcW w:type="dxa" w:w="3735"/>
          </w:tcPr>
          <w:p>
            <w:pPr>
              <w:spacing w:before="0" w:after="0"/>
            </w:pPr>
            <w:r>
              <w:rPr>
                <w:sz w:val="20"/>
              </w:rPr>
              <w:t>Visible progress, a good last experience</w:t>
            </w:r>
          </w:p>
        </w:tc>
      </w:tr>
      <w:tr>
        <w:trPr>
          <w:cantSplit/>
        </w:trPr>
        <w:tc>
          <w:tcPr>
            <w:tcW w:type="dxa" w:w="2003"/>
          </w:tcPr>
          <w:p>
            <w:pPr>
              <w:spacing w:before="0" w:after="0"/>
            </w:pPr>
            <w:r>
              <w:rPr>
                <w:sz w:val="20"/>
              </w:rPr>
              <w:t>Engagement</w:t>
            </w:r>
          </w:p>
        </w:tc>
        <w:tc>
          <w:tcPr>
            <w:tcW w:type="dxa" w:w="3900"/>
          </w:tcPr>
          <w:p>
            <w:pPr>
              <w:spacing w:before="0" w:after="0"/>
            </w:pPr>
            <w:r>
              <w:rPr>
                <w:sz w:val="20"/>
              </w:rPr>
              <w:t>How much learners do while they are there</w:t>
            </w:r>
          </w:p>
        </w:tc>
        <w:tc>
          <w:tcPr>
            <w:tcW w:type="dxa" w:w="3735"/>
          </w:tcPr>
          <w:p>
            <w:pPr>
              <w:spacing w:before="0" w:after="0"/>
            </w:pPr>
            <w:r>
              <w:rPr>
                <w:sz w:val="20"/>
              </w:rPr>
              <w:t>Tasks and feedback that invite the next step</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Argue a UX decision in the business's numbers: which of completion rate, retention or engagement does it move, and how do you expect to see it?</w:t>
            </w:r>
          </w:p>
          <w:p>
            <w:pPr>
              <w:pStyle w:val="ListBullet"/>
              <w:spacing w:before="0" w:after="40"/>
            </w:pPr>
            <w:r>
              <w:rPr/>
              <w:t>A competitor with an easier platform is a business risk, not a design detail: learners and the companies that pay for them can switch.</w:t>
            </w:r>
          </w:p>
          <w:p>
            <w:pPr>
              <w:pStyle w:val="ListBullet"/>
              <w:spacing w:before="0" w:after="100"/>
            </w:pPr>
            <w:r>
              <w:rPr/>
              <w:t>A number such as a drop-out rate counts who left, not why. Treat it as a symptom until you know the cause.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b/>
              </w:rPr>
              <w:t>How big is the problem?</w:t>
            </w:r>
            <w:r>
              <w:rPr/>
              <w:t xml:space="preserve"> Completion is low across online learning. Jordan (2015) collected published figures for 221 open online courses (MOOCs, with data from before 2015) and found a median completion rate of 12.6 percent, with courses ranging from 0.7 to 52.1 percent; longer courses had lower completion, and the first two weeks were the most critical for engagement. A company platform with paid staff learners behaves differently from an open course, so use the figure as a reminder that "most people who start do not finish" is normal, not as a benchmark for SkillUp.</w:t>
            </w:r>
          </w:p>
          <w:p>
            <w:pPr>
              <w:spacing w:before="0" w:after="100"/>
            </w:pPr>
            <w:r>
              <w:rPr>
                <w:b/>
              </w:rPr>
              <w:t>Two buyers, two views.</w:t>
            </w:r>
            <w:r>
              <w:rPr/>
              <w:t xml:space="preserve"> An employer judges training on the levels described by Kirkpatrick: reaction, learning, behaviour at work and results. The learner meets only the first two. A UX decision therefore has to work on both sides: the learner must be able to finish (levels 1 and 2), and the employer must see that people finished and that it made a difference (levels 3 and 4).</w:t>
            </w:r>
          </w:p>
          <w:p>
            <w:pPr>
              <w:spacing w:before="0" w:after="100"/>
            </w:pPr>
            <w:r>
              <w:rPr>
                <w:b/>
              </w:rPr>
              <w:t>Symptom against cause.</w:t>
            </w:r>
            <w:r>
              <w:rPr/>
              <w:t xml:space="preserve"> A drop-out rate is a symptom. Two platforms can both lose 40 percent of learners for opposite reasons, one because the course is too hard to follow and the other because it is too easy. No number on its own says which; you need to look at the learners.</w:t>
            </w:r>
          </w:p>
        </w:tc>
      </w:tr>
    </w:tbl>
    <w:p>
      <w:pPr>
        <w:spacing w:before="0" w:after="80"/>
      </w:pPr>
    </w:p>
    <w:p>
      <w:pPr>
        <w:spacing w:before="80" w:after="160"/>
      </w:pPr>
      <w:r>
        <w:rPr>
          <w:b/>
          <w:color w:val="556274"/>
          <w:sz w:val="18"/>
        </w:rPr>
        <w:t xml:space="preserve">Sources · </w:t>
      </w:r>
      <w:r>
        <w:rPr>
          <w:color w:val="556274"/>
          <w:sz w:val="18"/>
        </w:rPr>
        <w:t>Norman &amp; Nielsen (NN/g) · ISO 9241-11:2018 · Jordan 2015 · Kirkpatrick &amp; Kirkpatrick 2006</w:t>
      </w:r>
    </w:p>
    <w:p>
      <w:pPr>
        <w:pStyle w:val="Heading2"/>
      </w:pPr>
      <w:r>
        <w:rPr/>
        <w:t>B2 · Conflicting goals: user value, effort and business goals · 22 min · Core</w:t>
      </w:r>
    </w:p>
    <w:p>
      <w:pPr>
        <w:pBdr>
          <w:left w:val="single" w:sz="18" w:space="6" w:color="1750A8"/>
        </w:pBdr>
        <w:spacing w:before="40" w:after="120"/>
        <w:ind w:left="170"/>
      </w:pPr>
      <w:r>
        <w:rPr>
          <w:i/>
          <w:color w:val="556274"/>
          <w:sz w:val="22"/>
        </w:rPr>
        <w:t>In every UX decision goals pull against each other. Name the conflict, say what each side gets and loses, then decide.</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In every UX decision, goals pull against each other. The plan's own example: usability, depth of content and time pressure. A simple screen is easy to use but may carry less depth; depth takes time the learner may not have. At management level a second tension appears: what is best for the user, what is cheap to build, and what the business asks for. A good decision names the tension in one sentence, says what each side gets, and says what it loses.</w:t>
            </w:r>
          </w:p>
          <w:p>
            <w:pPr>
              <w:spacing w:before="0" w:after="100"/>
            </w:pPr>
            <w:r>
              <w:rPr>
                <w:b/>
              </w:rPr>
              <w:t>Why it matters.</w:t>
            </w:r>
            <w:r>
              <w:rPr/>
              <w:t xml:space="preserve"> Block 3.1 asks you to pick three strategic decisions under a limited budget while competitors move. This card gives you the way to weigh them.</w:t>
            </w:r>
          </w:p>
          <w:p>
            <w:pPr>
              <w:spacing w:before="0" w:after="100"/>
            </w:pPr>
            <w:r>
              <w:rPr>
                <w:b/>
              </w:rPr>
              <w:t>How to read the picture.</w:t>
            </w:r>
            <w:r>
              <w:rPr/>
              <w:t xml:space="preserve"> The matrix places three options for LearnLoop by the value they give the user (left to right) and the value they give the business (bottom to top). The position is a reading of the example, not a score. The table below it gives the reason for each rating.</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3657789"/>
            <wp:docPr id="6" name="Picture 6"/>
            <wp:cNvGraphicFramePr>
              <a:graphicFrameLocks noChangeAspect="1"/>
            </wp:cNvGraphicFramePr>
            <a:graphic>
              <a:graphicData uri="http://schemas.openxmlformats.org/drawingml/2006/picture">
                <pic:pic>
                  <pic:nvPicPr>
                    <pic:cNvPr id="0" name="d1_b2_user-vs-business-9989f526b580.png"/>
                    <pic:cNvPicPr/>
                  </pic:nvPicPr>
                  <pic:blipFill>
                    <a:blip r:embed="rId15"/>
                    <a:stretch>
                      <a:fillRect/>
                    </a:stretch>
                  </pic:blipFill>
                  <pic:spPr>
                    <a:xfrm>
                      <a:off x="0" y="0"/>
                      <a:ext cx="5940000" cy="3657789"/>
                    </a:xfrm>
                    <a:prstGeom prst="rect"/>
                  </pic:spPr>
                </pic:pic>
              </a:graphicData>
            </a:graphic>
          </wp:inline>
        </w:drawing>
      </w:r>
    </w:p>
    <w:p>
      <w:pPr>
        <w:spacing w:before="0" w:after="160"/>
        <w:jc w:val="center"/>
      </w:pPr>
      <w:r>
        <w:rPr>
          <w:i/>
          <w:color w:val="556274"/>
          <w:sz w:val="18"/>
        </w:rPr>
        <w:t>Figure 6 · LearnLoop weighs three options against conflicting goals. The position of each option is a reading of the example (Case assumption).</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 short story: the managing director wants growth</w:t>
            </w:r>
          </w:p>
          <w:p>
            <w:pPr>
              <w:spacing w:before="0" w:after="100"/>
            </w:pPr>
            <w:r>
              <w:rPr>
                <w:b/>
              </w:rPr>
              <w:t>Step 1 · The managing director wants growth.</w:t>
            </w:r>
            <w:r>
              <w:rPr/>
              <w:t xml:space="preserve"> Let us look at LearnLoop again, this time at management level. The managing director wants the company to grow this year. At the same time, satisfaction scores are falling and the budget is limited. In the meeting three ideas come up, and each one serves a different goal. The first is more marketing. It serves the growth goal, because it brings new sign-ups quickly.</w:t>
            </w:r>
          </w:p>
          <w:p>
            <w:pPr>
              <w:spacing w:before="0" w:after="100"/>
            </w:pPr>
            <w:r>
              <w:rPr>
                <w:b/>
              </w:rPr>
              <w:t>Step 2 · The catch.</w:t>
            </w:r>
            <w:r>
              <w:rPr/>
              <w:t xml:space="preserve"> The new learners arrive, meet the same confusing platform, and many of them leave again. So part of the money is lost, and nothing has become better for the learners who were already there. In other words, the growth goal can only be reached if the user goal is reached as well.</w:t>
            </w:r>
          </w:p>
          <w:p>
            <w:pPr>
              <w:spacing w:before="0" w:after="100"/>
            </w:pPr>
            <w:r>
              <w:rPr>
                <w:b/>
              </w:rPr>
              <w:t>Step 3 · An option that serves both.</w:t>
            </w:r>
            <w:r>
              <w:rPr/>
              <w:t xml:space="preserve"> The user team suggests a different idea: simplify the navigation. It is a small change and it can be undone. Learners find their course more easily, and as a result more of them finish, which also helps the business, only more slowly. Compare this with the third idea, adding more courses. It sounds like added value, but a longer catalogue makes finding the right course harder, so it serves a business goal while hurting the user goal.</w:t>
            </w:r>
          </w:p>
          <w:p>
            <w:pPr>
              <w:spacing w:before="0" w:after="100"/>
            </w:pPr>
            <w:r>
              <w:rPr>
                <w:b/>
              </w:rPr>
              <w:t>Step 4 · How to decide.</w:t>
            </w:r>
            <w:r>
              <w:rPr/>
              <w:t xml:space="preserve"> A good decision first names the conflict in one sentence, for example quick growth against a platform that learners can actually use. Then it says what each side gets and what it loses, and only then does it decide. When the options are close, prefer the one that can be undone cheaply while you learn more.</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055"/>
        <w:gridCol w:w="2504"/>
        <w:gridCol w:w="2594"/>
        <w:gridCol w:w="2485"/>
      </w:tblGrid>
      <w:tr>
        <w:trPr>
          <w:cantSplit/>
          <w:tblHeader/>
        </w:trPr>
        <w:tc>
          <w:tcPr>
            <w:tcW w:type="dxa" w:w="2055"/>
            <w:shd w:val="clear" w:color="auto" w:fill="E6ECF4"/>
          </w:tcPr>
          <w:p>
            <w:pPr>
              <w:spacing w:before="0" w:after="0"/>
            </w:pPr>
            <w:r>
              <w:rPr>
                <w:b/>
                <w:sz w:val="19"/>
              </w:rPr>
              <w:t>LearnLoop option</w:t>
            </w:r>
          </w:p>
        </w:tc>
        <w:tc>
          <w:tcPr>
            <w:tcW w:type="dxa" w:w="2504"/>
            <w:shd w:val="clear" w:color="auto" w:fill="E6ECF4"/>
          </w:tcPr>
          <w:p>
            <w:pPr>
              <w:spacing w:before="0" w:after="0"/>
            </w:pPr>
            <w:r>
              <w:rPr>
                <w:b/>
                <w:sz w:val="19"/>
              </w:rPr>
              <w:t>User value</w:t>
            </w:r>
          </w:p>
        </w:tc>
        <w:tc>
          <w:tcPr>
            <w:tcW w:type="dxa" w:w="2594"/>
            <w:shd w:val="clear" w:color="auto" w:fill="E6ECF4"/>
          </w:tcPr>
          <w:p>
            <w:pPr>
              <w:spacing w:before="0" w:after="0"/>
            </w:pPr>
            <w:r>
              <w:rPr>
                <w:b/>
                <w:sz w:val="19"/>
              </w:rPr>
              <w:t>Business value</w:t>
            </w:r>
          </w:p>
        </w:tc>
        <w:tc>
          <w:tcPr>
            <w:tcW w:type="dxa" w:w="2485"/>
            <w:shd w:val="clear" w:color="auto" w:fill="E6ECF4"/>
          </w:tcPr>
          <w:p>
            <w:pPr>
              <w:spacing w:before="0" w:after="0"/>
            </w:pPr>
            <w:r>
              <w:rPr>
                <w:b/>
                <w:sz w:val="19"/>
              </w:rPr>
              <w:t>Risk</w:t>
            </w:r>
          </w:p>
        </w:tc>
      </w:tr>
      <w:tr>
        <w:trPr>
          <w:cantSplit/>
        </w:trPr>
        <w:tc>
          <w:tcPr>
            <w:tcW w:type="dxa" w:w="2055"/>
          </w:tcPr>
          <w:p>
            <w:pPr>
              <w:spacing w:before="0" w:after="0"/>
            </w:pPr>
            <w:r>
              <w:rPr>
                <w:b/>
                <w:sz w:val="19"/>
              </w:rPr>
              <w:t>Add more courses</w:t>
            </w:r>
            <w:r>
              <w:rPr>
                <w:sz w:val="19"/>
              </w:rPr>
              <w:t xml:space="preserve"> (a business goal)</w:t>
            </w:r>
          </w:p>
        </w:tc>
        <w:tc>
          <w:tcPr>
            <w:tcW w:type="dxa" w:w="2504"/>
          </w:tcPr>
          <w:p>
            <w:pPr>
              <w:spacing w:before="0" w:after="0"/>
            </w:pPr>
            <w:r>
              <w:rPr>
                <w:b/>
                <w:sz w:val="19"/>
              </w:rPr>
              <w:t>Low.</w:t>
            </w:r>
            <w:r>
              <w:rPr>
                <w:sz w:val="19"/>
              </w:rPr>
              <w:t xml:space="preserve"> More to choose from makes finding the right course harder, not easier.</w:t>
            </w:r>
          </w:p>
        </w:tc>
        <w:tc>
          <w:tcPr>
            <w:tcW w:type="dxa" w:w="2594"/>
          </w:tcPr>
          <w:p>
            <w:pPr>
              <w:spacing w:before="0" w:after="0"/>
            </w:pPr>
            <w:r>
              <w:rPr>
                <w:b/>
                <w:sz w:val="19"/>
              </w:rPr>
              <w:t>Mid.</w:t>
            </w:r>
            <w:r>
              <w:rPr>
                <w:sz w:val="19"/>
              </w:rPr>
              <w:t xml:space="preserve"> A bigger catalogue can sell, but only if learners can find what they want.</w:t>
            </w:r>
          </w:p>
        </w:tc>
        <w:tc>
          <w:tcPr>
            <w:tcW w:type="dxa" w:w="2485"/>
          </w:tcPr>
          <w:p>
            <w:pPr>
              <w:spacing w:before="0" w:after="0"/>
            </w:pPr>
            <w:r>
              <w:rPr>
                <w:b/>
                <w:sz w:val="19"/>
              </w:rPr>
              <w:t>Mid.</w:t>
            </w:r>
            <w:r>
              <w:rPr>
                <w:sz w:val="19"/>
              </w:rPr>
              <w:t xml:space="preserve"> Money goes into content before the finding problem is fixed.</w:t>
            </w:r>
          </w:p>
        </w:tc>
      </w:tr>
      <w:tr>
        <w:trPr>
          <w:cantSplit/>
        </w:trPr>
        <w:tc>
          <w:tcPr>
            <w:tcW w:type="dxa" w:w="2055"/>
          </w:tcPr>
          <w:p>
            <w:pPr>
              <w:spacing w:before="0" w:after="0"/>
            </w:pPr>
            <w:r>
              <w:rPr>
                <w:b/>
                <w:sz w:val="19"/>
              </w:rPr>
              <w:t>Simplify the navigation</w:t>
            </w:r>
            <w:r>
              <w:rPr>
                <w:sz w:val="19"/>
              </w:rPr>
              <w:t xml:space="preserve"> (a user goal)</w:t>
            </w:r>
          </w:p>
        </w:tc>
        <w:tc>
          <w:tcPr>
            <w:tcW w:type="dxa" w:w="2504"/>
          </w:tcPr>
          <w:p>
            <w:pPr>
              <w:spacing w:before="0" w:after="0"/>
            </w:pPr>
            <w:r>
              <w:rPr>
                <w:b/>
                <w:sz w:val="19"/>
              </w:rPr>
              <w:t>High.</w:t>
            </w:r>
            <w:r>
              <w:rPr>
                <w:sz w:val="19"/>
              </w:rPr>
              <w:t xml:space="preserve"> Learners find their course and see what comes next.</w:t>
            </w:r>
          </w:p>
        </w:tc>
        <w:tc>
          <w:tcPr>
            <w:tcW w:type="dxa" w:w="2594"/>
          </w:tcPr>
          <w:p>
            <w:pPr>
              <w:spacing w:before="0" w:after="0"/>
            </w:pPr>
            <w:r>
              <w:rPr>
                <w:b/>
                <w:sz w:val="19"/>
              </w:rPr>
              <w:t>Mid.</w:t>
            </w:r>
            <w:r>
              <w:rPr>
                <w:sz w:val="19"/>
              </w:rPr>
              <w:t xml:space="preserve"> Fewer leave, so completion and renewals rise, but slowly.</w:t>
            </w:r>
          </w:p>
        </w:tc>
        <w:tc>
          <w:tcPr>
            <w:tcW w:type="dxa" w:w="2485"/>
          </w:tcPr>
          <w:p>
            <w:pPr>
              <w:spacing w:before="0" w:after="0"/>
            </w:pPr>
            <w:r>
              <w:rPr>
                <w:b/>
                <w:sz w:val="19"/>
              </w:rPr>
              <w:t>Low.</w:t>
            </w:r>
            <w:r>
              <w:rPr>
                <w:sz w:val="19"/>
              </w:rPr>
              <w:t xml:space="preserve"> It is a small change that can be undone.</w:t>
            </w:r>
          </w:p>
        </w:tc>
      </w:tr>
      <w:tr>
        <w:trPr>
          <w:cantSplit/>
        </w:trPr>
        <w:tc>
          <w:tcPr>
            <w:tcW w:type="dxa" w:w="2055"/>
          </w:tcPr>
          <w:p>
            <w:pPr>
              <w:spacing w:before="0" w:after="0"/>
            </w:pPr>
            <w:r>
              <w:rPr>
                <w:b/>
                <w:sz w:val="19"/>
              </w:rPr>
              <w:t>Buy more marketing</w:t>
            </w:r>
            <w:r>
              <w:rPr>
                <w:sz w:val="19"/>
              </w:rPr>
              <w:t xml:space="preserve"> (a growth goal)</w:t>
            </w:r>
          </w:p>
        </w:tc>
        <w:tc>
          <w:tcPr>
            <w:tcW w:type="dxa" w:w="2504"/>
          </w:tcPr>
          <w:p>
            <w:pPr>
              <w:spacing w:before="0" w:after="0"/>
            </w:pPr>
            <w:r>
              <w:rPr>
                <w:b/>
                <w:sz w:val="19"/>
              </w:rPr>
              <w:t>Low.</w:t>
            </w:r>
            <w:r>
              <w:rPr>
                <w:sz w:val="19"/>
              </w:rPr>
              <w:t xml:space="preserve"> Nothing gets better for the learner who is already there.</w:t>
            </w:r>
          </w:p>
        </w:tc>
        <w:tc>
          <w:tcPr>
            <w:tcW w:type="dxa" w:w="2594"/>
          </w:tcPr>
          <w:p>
            <w:pPr>
              <w:spacing w:before="0" w:after="0"/>
            </w:pPr>
            <w:r>
              <w:rPr>
                <w:b/>
                <w:sz w:val="19"/>
              </w:rPr>
              <w:t>Mid.</w:t>
            </w:r>
            <w:r>
              <w:rPr>
                <w:sz w:val="19"/>
              </w:rPr>
              <w:t xml:space="preserve"> More sign-ups in the short term.</w:t>
            </w:r>
          </w:p>
        </w:tc>
        <w:tc>
          <w:tcPr>
            <w:tcW w:type="dxa" w:w="2485"/>
          </w:tcPr>
          <w:p>
            <w:pPr>
              <w:spacing w:before="0" w:after="0"/>
            </w:pPr>
            <w:r>
              <w:rPr>
                <w:b/>
                <w:sz w:val="19"/>
              </w:rPr>
              <w:t>High.</w:t>
            </w:r>
            <w:r>
              <w:rPr>
                <w:sz w:val="19"/>
              </w:rPr>
              <w:t xml:space="preserve"> New learners meet the same problems and leave, so the spend is partly lost.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LearnLoop and the three options are made up for this example.</w:t>
            </w:r>
          </w:p>
        </w:tc>
      </w:tr>
    </w:tbl>
    <w:p>
      <w:pPr>
        <w:spacing w:before="0" w:after="80"/>
      </w:pPr>
    </w:p>
    <w:p>
      <w:pPr>
        <w:pStyle w:val="ListBullet"/>
        <w:spacing w:before="0" w:after="40"/>
      </w:pPr>
      <w:r>
        <w:rPr/>
        <w:t>The plan's own example of a conflict: usability against depth of content against time pressure. A simple screen is easy to use but may carry less depth; depth takes time the learner may not have.</w:t>
      </w:r>
    </w:p>
    <w:p>
      <w:pPr>
        <w:pStyle w:val="ListBullet"/>
        <w:spacing w:before="0" w:after="100"/>
      </w:pPr>
      <w:r>
        <w:rPr/>
        <w:t>At management level a second conflict appears: what is best for the user, what is cheap to build, and what the business asks for.</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Name the conflict in one sentence with two legitimate sides (for example depth of content against time to finish) before you decide.</w:t>
            </w:r>
          </w:p>
          <w:p>
            <w:pPr>
              <w:pStyle w:val="ListBullet"/>
              <w:spacing w:before="0" w:after="40"/>
            </w:pPr>
            <w:r>
              <w:rPr/>
              <w:t>A decision that gives each side something is not the same as one that serves nobody. Say what each side gets and what it loses.</w:t>
            </w:r>
          </w:p>
          <w:p>
            <w:pPr>
              <w:pStyle w:val="ListBullet"/>
              <w:spacing w:before="0" w:after="40"/>
            </w:pPr>
            <w:r>
              <w:rPr/>
              <w:t>A growth goal reached by features learners cannot find does not reach growth: check whether the business goal depends on the user goal.</w:t>
            </w:r>
          </w:p>
          <w:p>
            <w:pPr>
              <w:pStyle w:val="ListBullet"/>
              <w:spacing w:before="0" w:after="100"/>
            </w:pPr>
            <w:r>
              <w:rPr/>
              <w:t>Order decisions by what unlocks the others, usually a fix every learner meets (orientation) before an extra.</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b/>
              </w:rPr>
              <w:t>Who is in the room.</w:t>
            </w:r>
            <w:r>
              <w:rPr/>
              <w:t xml:space="preserve"> A stakeholder is anyone affected by a decision or able to influence it: management, the product team, trainers, the customer's HR department, the learners themselves. Each brings a legitimate goal. Naming the conflict in one sentence lets each of them recognise their own goal in it, which makes the trade-off a discussion about priorities and not about who is right.</w:t>
            </w:r>
          </w:p>
          <w:p>
            <w:pPr>
              <w:spacing w:before="0" w:after="100"/>
            </w:pPr>
            <w:r>
              <w:rPr>
                <w:b/>
              </w:rPr>
              <w:t>Do not hide the loser.</w:t>
            </w:r>
            <w:r>
              <w:rPr/>
              <w:t xml:space="preserve"> "Everyone wins" is almost never true under a limited budget. If a plan names no loser, someone has not looked closely enough, or the loser is the learner and nobody said so.</w:t>
            </w:r>
          </w:p>
        </w:tc>
      </w:tr>
    </w:tbl>
    <w:p>
      <w:pPr>
        <w:spacing w:before="0" w:after="80"/>
      </w:pPr>
    </w:p>
    <w:p>
      <w:pPr>
        <w:spacing w:before="80" w:after="160"/>
      </w:pPr>
      <w:r>
        <w:rPr>
          <w:b/>
          <w:color w:val="556274"/>
          <w:sz w:val="18"/>
        </w:rPr>
        <w:t xml:space="preserve">Sources · </w:t>
      </w:r>
      <w:r>
        <w:rPr>
          <w:color w:val="556274"/>
          <w:sz w:val="18"/>
        </w:rPr>
        <w:t>Gibbons 2018 (NN/g) · ISO 9241-210:2019</w:t>
      </w:r>
    </w:p>
    <w:p>
      <w:pPr>
        <w:pStyle w:val="Heading2"/>
      </w:pPr>
      <w:r>
        <w:rPr/>
        <w:t>B3 · Deciding when you do not know enough · 20 min · Core</w:t>
      </w:r>
    </w:p>
    <w:p>
      <w:pPr>
        <w:pBdr>
          <w:left w:val="single" w:sz="18" w:space="6" w:color="1750A8"/>
        </w:pBdr>
        <w:spacing w:before="40" w:after="120"/>
        <w:ind w:left="170"/>
      </w:pPr>
      <w:r>
        <w:rPr>
          <w:i/>
          <w:color w:val="556274"/>
          <w:sz w:val="22"/>
        </w:rPr>
        <w:t>When you must decide without the data you want, state what you decide, what you do not know, when you would reverse it, and what you give up.</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Sometimes you must decide without the data you would like. A decision under uncertainty states four things: what you decide, what you do not know, what would make you reverse it and by when, and what you give up. You also fix how future UX decisions are made: who decides and what evidence they need, so that a decision does not rest on one person's taste.</w:t>
            </w:r>
          </w:p>
          <w:p>
            <w:pPr>
              <w:spacing w:before="0" w:after="100"/>
            </w:pPr>
            <w:r>
              <w:rPr>
                <w:b/>
              </w:rPr>
              <w:t>Why it matters.</w:t>
            </w:r>
            <w:r>
              <w:rPr/>
              <w:t xml:space="preserve"> Block 3.2 is exactly this: the risk of your plan, one decision made without complete data, a rule for future decisions, and what you give up.</w:t>
            </w:r>
          </w:p>
          <w:p>
            <w:pPr>
              <w:spacing w:before="0" w:after="100"/>
            </w:pPr>
            <w:r>
              <w:rPr>
                <w:b/>
              </w:rPr>
              <w:t>How to read the picture.</w:t>
            </w:r>
            <w:r>
              <w:rPr/>
              <w:t xml:space="preserve"> The four boxes at the top are the parts of a decision made under uncertainty, filled in for LearnLoop. The two boxes below are the rule for future decisions. Read from left to right.</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844947"/>
            <wp:docPr id="7" name="Picture 7"/>
            <wp:cNvGraphicFramePr>
              <a:graphicFrameLocks noChangeAspect="1"/>
            </wp:cNvGraphicFramePr>
            <a:graphic>
              <a:graphicData uri="http://schemas.openxmlformats.org/drawingml/2006/picture">
                <pic:pic>
                  <pic:nvPicPr>
                    <pic:cNvPr id="0" name="d1_b3_decision-frame-109cce78d674.png"/>
                    <pic:cNvPicPr/>
                  </pic:nvPicPr>
                  <pic:blipFill>
                    <a:blip r:embed="rId16"/>
                    <a:stretch>
                      <a:fillRect/>
                    </a:stretch>
                  </pic:blipFill>
                  <pic:spPr>
                    <a:xfrm>
                      <a:off x="0" y="0"/>
                      <a:ext cx="5940000" cy="2844947"/>
                    </a:xfrm>
                    <a:prstGeom prst="rect"/>
                  </pic:spPr>
                </pic:pic>
              </a:graphicData>
            </a:graphic>
          </wp:inline>
        </w:drawing>
      </w:r>
    </w:p>
    <w:p>
      <w:pPr>
        <w:spacing w:before="0" w:after="160"/>
        <w:jc w:val="center"/>
      </w:pPr>
      <w:r>
        <w:rPr>
          <w:i/>
          <w:color w:val="556274"/>
          <w:sz w:val="18"/>
        </w:rPr>
        <w:t>Figure 7 · The four parts of a decision made without complete data, filled in for LearnLoop (Case assumption), and the rule for future decisions.</w:t>
      </w:r>
    </w:p>
    <w:p>
      <w:pPr>
        <w:pStyle w:val="ListBullet"/>
        <w:spacing w:before="0" w:after="40"/>
      </w:pPr>
      <w:r>
        <w:rPr>
          <w:b/>
        </w:rPr>
        <w:t>A premortem</w:t>
      </w:r>
      <w:r>
        <w:rPr/>
        <w:t xml:space="preserve"> (Klein 2007) helps with the risk: imagine the plan has failed and ask why. It brings risks to the surface before the money is spent.</w:t>
      </w:r>
    </w:p>
    <w:p>
      <w:pPr>
        <w:pStyle w:val="ListBullet"/>
        <w:spacing w:before="0" w:after="100"/>
      </w:pPr>
      <w:r>
        <w:rPr/>
        <w:t>The plan's coaching says it plainly: UX is not a design problem but a decision problem.</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A decision under uncertainty states four things: what you decide, what you do not know, what would make you reverse it and by when, and what you give up.</w:t>
            </w:r>
          </w:p>
          <w:p>
            <w:pPr>
              <w:pStyle w:val="ListBullet"/>
              <w:spacing w:before="0" w:after="40"/>
            </w:pPr>
            <w:r>
              <w:rPr/>
              <w:t>A reversal condition is checkable when it has a figure and a time ("below 25% after six weeks"), not when it is a feeling ("if it does not work").</w:t>
            </w:r>
          </w:p>
          <w:p>
            <w:pPr>
              <w:pStyle w:val="ListBullet"/>
              <w:spacing w:before="0" w:after="40"/>
            </w:pPr>
            <w:r>
              <w:rPr/>
              <w:t>Prefer the decision you can undo cheaply while you learn; let the rest wait.</w:t>
            </w:r>
          </w:p>
          <w:p>
            <w:pPr>
              <w:pStyle w:val="ListBullet"/>
              <w:spacing w:before="0" w:after="40"/>
            </w:pPr>
            <w:r>
              <w:rPr/>
              <w:t>A rule for future UX decisions names who decides and what evidence they need, so that a decision does not rest on one person's taste.</w:t>
            </w:r>
          </w:p>
          <w:p>
            <w:pPr>
              <w:pStyle w:val="ListBullet"/>
              <w:spacing w:before="0" w:after="100"/>
            </w:pPr>
            <w:r>
              <w:rPr/>
              <w:t>Giving up nothing means you have not decided: name the thing you postpone.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b/>
              </w:rPr>
              <w:t>One-way and two-way decisions.</w:t>
            </w:r>
            <w:r>
              <w:rPr/>
              <w:t xml:space="preserve"> Bezos distinguished decisions that are hard to reverse ("one-way doors") from those that can be reversed cheaply ("two-way doors"). Spend the care on the first kind and move quickly on the second. A guided first week that can be switched off is a two-way door; a rewritten catalogue is closer to a one-way door.</w:t>
            </w:r>
          </w:p>
          <w:p>
            <w:pPr>
              <w:spacing w:before="0" w:after="100"/>
            </w:pPr>
            <w:r>
              <w:rPr>
                <w:b/>
              </w:rPr>
              <w:t>Evidence has a ranking.</w:t>
            </w:r>
            <w:r>
              <w:rPr/>
              <w:t xml:space="preserve"> Interviews and a usability test with a handful of learners tell you why; drop-out data per lesson tells you where; a competitor comparison tells you what is possible; the opinion of the most senior person in the room tells you what that person thinks. A decision rule that names only the last is a rule about authority, not evidence.</w:t>
            </w:r>
          </w:p>
          <w:p>
            <w:pPr>
              <w:spacing w:before="0" w:after="100"/>
            </w:pPr>
            <w:r>
              <w:rPr>
                <w:b/>
              </w:rPr>
              <w:t>What "give up" does.</w:t>
            </w:r>
            <w:r>
              <w:rPr/>
              <w:t xml:space="preserve"> Naming what you postpone makes the plan honest and gives the person who loses something a date to expect an answer. It is the cheapest way to keep trust when the budget is limited.</w:t>
            </w:r>
          </w:p>
        </w:tc>
      </w:tr>
    </w:tbl>
    <w:p>
      <w:pPr>
        <w:spacing w:before="0" w:after="80"/>
      </w:pPr>
    </w:p>
    <w:p>
      <w:pPr>
        <w:spacing w:before="80" w:after="160"/>
      </w:pPr>
      <w:r>
        <w:rPr>
          <w:b/>
          <w:color w:val="556274"/>
          <w:sz w:val="18"/>
        </w:rPr>
        <w:t xml:space="preserve">Sources · </w:t>
      </w:r>
      <w:r>
        <w:rPr>
          <w:color w:val="556274"/>
          <w:sz w:val="18"/>
        </w:rPr>
        <w:t>Klein 2007 · Gibbons 2018 (NN/g) · Bezos 2016</w:t>
      </w:r>
    </w:p>
    <w:p>
      <w:r>
        <w:br w:type="page"/>
      </w:r>
    </w:p>
    <w:p>
      <w:pPr>
        <w:pStyle w:val="Heading1"/>
        <w:pBdr>
          <w:bottom w:val="single" w:sz="8" w:space="2" w:color="17212E"/>
        </w:pBdr>
      </w:pPr>
      <w:r>
        <w:rPr/>
        <w:t>Use in class: presentation and handout</w:t>
      </w:r>
    </w:p>
    <w:p>
      <w:pPr>
        <w:spacing w:before="0" w:after="100"/>
      </w:pPr>
      <w:r>
        <w:rPr/>
        <w:t xml:space="preserve">Mark of use for the study material. </w:t>
      </w:r>
      <w:r>
        <w:rPr>
          <w:b/>
        </w:rPr>
        <w:t>Presentation</w:t>
      </w:r>
      <w:r>
        <w:rPr/>
        <w:t xml:space="preserve"> is what the trainer shows on screen; </w:t>
      </w:r>
      <w:r>
        <w:rPr>
          <w:b/>
        </w:rPr>
        <w:t>Handout</w:t>
      </w:r>
      <w:r>
        <w:rPr/>
        <w:t xml:space="preserve"> is what participants read and keep.</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807"/>
        <w:gridCol w:w="4242"/>
        <w:gridCol w:w="1589"/>
      </w:tblGrid>
      <w:tr>
        <w:trPr>
          <w:cantSplit/>
          <w:tblHeader/>
        </w:trPr>
        <w:tc>
          <w:tcPr>
            <w:tcW w:type="dxa" w:w="3807"/>
            <w:shd w:val="clear" w:color="auto" w:fill="E6ECF4"/>
          </w:tcPr>
          <w:p>
            <w:pPr>
              <w:spacing w:before="0" w:after="0"/>
            </w:pPr>
            <w:r>
              <w:rPr>
                <w:b/>
                <w:sz w:val="20"/>
              </w:rPr>
              <w:t>Card</w:t>
            </w:r>
          </w:p>
        </w:tc>
        <w:tc>
          <w:tcPr>
            <w:tcW w:type="dxa" w:w="4242"/>
            <w:shd w:val="clear" w:color="auto" w:fill="E6ECF4"/>
          </w:tcPr>
          <w:p>
            <w:pPr>
              <w:spacing w:before="0" w:after="0"/>
            </w:pPr>
            <w:r>
              <w:rPr>
                <w:b/>
                <w:sz w:val="20"/>
              </w:rPr>
              <w:t>Presentation (shown on the playground)</w:t>
            </w:r>
          </w:p>
        </w:tc>
        <w:tc>
          <w:tcPr>
            <w:tcW w:type="dxa" w:w="1589"/>
            <w:shd w:val="clear" w:color="auto" w:fill="E6ECF4"/>
          </w:tcPr>
          <w:p>
            <w:pPr>
              <w:spacing w:before="0" w:after="0"/>
            </w:pPr>
            <w:r>
              <w:rPr>
                <w:b/>
                <w:sz w:val="20"/>
              </w:rPr>
              <w:t>Handout</w:t>
            </w:r>
          </w:p>
        </w:tc>
      </w:tr>
      <w:tr>
        <w:trPr>
          <w:cantSplit/>
        </w:trPr>
        <w:tc>
          <w:tcPr>
            <w:tcW w:type="dxa" w:w="3807"/>
          </w:tcPr>
          <w:p>
            <w:pPr>
              <w:spacing w:before="0" w:after="0"/>
            </w:pPr>
            <w:r>
              <w:rPr>
                <w:b/>
                <w:sz w:val="20"/>
              </w:rPr>
              <w:t>A1</w:t>
            </w:r>
            <w:r>
              <w:rPr>
                <w:sz w:val="20"/>
              </w:rPr>
              <w:t xml:space="preserve"> · UX is the experience, UI is the surface (Core)</w:t>
            </w:r>
          </w:p>
        </w:tc>
        <w:tc>
          <w:tcPr>
            <w:tcW w:type="dxa" w:w="4242"/>
          </w:tcPr>
          <w:p>
            <w:pPr>
              <w:spacing w:before="0" w:after="0"/>
            </w:pPr>
            <w:r>
              <w:rPr>
                <w:sz w:val="20"/>
              </w:rPr>
              <w:t>Scan line and Figure 1; the "In plain words" and "How to decide" boxes</w:t>
            </w:r>
          </w:p>
        </w:tc>
        <w:tc>
          <w:tcPr>
            <w:tcW w:type="dxa" w:w="1589"/>
          </w:tcPr>
          <w:p>
            <w:pPr>
              <w:spacing w:before="0" w:after="0"/>
            </w:pPr>
            <w:r>
              <w:rPr>
                <w:sz w:val="20"/>
              </w:rPr>
              <w:t>The whole card</w:t>
            </w:r>
          </w:p>
        </w:tc>
      </w:tr>
      <w:tr>
        <w:trPr>
          <w:cantSplit/>
        </w:trPr>
        <w:tc>
          <w:tcPr>
            <w:tcW w:type="dxa" w:w="3807"/>
          </w:tcPr>
          <w:p>
            <w:pPr>
              <w:spacing w:before="0" w:after="0"/>
            </w:pPr>
            <w:r>
              <w:rPr>
                <w:b/>
                <w:sz w:val="20"/>
              </w:rPr>
              <w:t>A2</w:t>
            </w:r>
            <w:r>
              <w:rPr>
                <w:sz w:val="20"/>
              </w:rPr>
              <w:t xml:space="preserve"> · Design from the learner's need, not from the system's logic (Core)</w:t>
            </w:r>
          </w:p>
        </w:tc>
        <w:tc>
          <w:tcPr>
            <w:tcW w:type="dxa" w:w="4242"/>
          </w:tcPr>
          <w:p>
            <w:pPr>
              <w:spacing w:before="0" w:after="0"/>
            </w:pPr>
            <w:r>
              <w:rPr>
                <w:sz w:val="20"/>
              </w:rPr>
              <w:t>Scan line and Figure 2; the "In plain words" and "How to decide" boxes</w:t>
            </w:r>
          </w:p>
        </w:tc>
        <w:tc>
          <w:tcPr>
            <w:tcW w:type="dxa" w:w="1589"/>
          </w:tcPr>
          <w:p>
            <w:pPr>
              <w:spacing w:before="0" w:after="0"/>
            </w:pPr>
            <w:r>
              <w:rPr>
                <w:sz w:val="20"/>
              </w:rPr>
              <w:t>The whole card</w:t>
            </w:r>
          </w:p>
        </w:tc>
      </w:tr>
      <w:tr>
        <w:trPr>
          <w:cantSplit/>
        </w:trPr>
        <w:tc>
          <w:tcPr>
            <w:tcW w:type="dxa" w:w="3807"/>
          </w:tcPr>
          <w:p>
            <w:pPr>
              <w:spacing w:before="0" w:after="0"/>
            </w:pPr>
            <w:r>
              <w:rPr>
                <w:b/>
                <w:sz w:val="20"/>
              </w:rPr>
              <w:t>A3</w:t>
            </w:r>
            <w:r>
              <w:rPr>
                <w:sz w:val="20"/>
              </w:rPr>
              <w:t xml:space="preserve"> · Three principles of a good learning interface (Core)</w:t>
            </w:r>
          </w:p>
        </w:tc>
        <w:tc>
          <w:tcPr>
            <w:tcW w:type="dxa" w:w="4242"/>
          </w:tcPr>
          <w:p>
            <w:pPr>
              <w:spacing w:before="0" w:after="0"/>
            </w:pPr>
            <w:r>
              <w:rPr>
                <w:sz w:val="20"/>
              </w:rPr>
              <w:t>Scan line and Figure 3; the "In plain words" and "How to decide" boxes</w:t>
            </w:r>
          </w:p>
        </w:tc>
        <w:tc>
          <w:tcPr>
            <w:tcW w:type="dxa" w:w="1589"/>
          </w:tcPr>
          <w:p>
            <w:pPr>
              <w:spacing w:before="0" w:after="0"/>
            </w:pPr>
            <w:r>
              <w:rPr>
                <w:sz w:val="20"/>
              </w:rPr>
              <w:t>The whole card</w:t>
            </w:r>
          </w:p>
        </w:tc>
      </w:tr>
      <w:tr>
        <w:trPr>
          <w:cantSplit/>
        </w:trPr>
        <w:tc>
          <w:tcPr>
            <w:tcW w:type="dxa" w:w="3807"/>
          </w:tcPr>
          <w:p>
            <w:pPr>
              <w:spacing w:before="0" w:after="0"/>
            </w:pPr>
            <w:r>
              <w:rPr>
                <w:b/>
                <w:sz w:val="20"/>
              </w:rPr>
              <w:t>A4</w:t>
            </w:r>
            <w:r>
              <w:rPr>
                <w:sz w:val="20"/>
              </w:rPr>
              <w:t xml:space="preserve"> · A learning platform is not a classic app (Optional)</w:t>
            </w:r>
          </w:p>
        </w:tc>
        <w:tc>
          <w:tcPr>
            <w:tcW w:type="dxa" w:w="4242"/>
          </w:tcPr>
          <w:p>
            <w:pPr>
              <w:spacing w:before="0" w:after="0"/>
            </w:pPr>
            <w:r>
              <w:rPr>
                <w:sz w:val="20"/>
              </w:rPr>
              <w:t>Not shown (self-study)</w:t>
            </w:r>
          </w:p>
        </w:tc>
        <w:tc>
          <w:tcPr>
            <w:tcW w:type="dxa" w:w="1589"/>
          </w:tcPr>
          <w:p>
            <w:pPr>
              <w:spacing w:before="0" w:after="0"/>
            </w:pPr>
            <w:r>
              <w:rPr>
                <w:sz w:val="20"/>
              </w:rPr>
              <w:t>The whole card</w:t>
            </w:r>
          </w:p>
        </w:tc>
      </w:tr>
      <w:tr>
        <w:trPr>
          <w:cantSplit/>
        </w:trPr>
        <w:tc>
          <w:tcPr>
            <w:tcW w:type="dxa" w:w="3807"/>
          </w:tcPr>
          <w:p>
            <w:pPr>
              <w:spacing w:before="0" w:after="0"/>
            </w:pPr>
            <w:r>
              <w:rPr>
                <w:b/>
                <w:sz w:val="20"/>
              </w:rPr>
              <w:t>A5</w:t>
            </w:r>
            <w:r>
              <w:rPr>
                <w:sz w:val="20"/>
              </w:rPr>
              <w:t xml:space="preserve"> · Weighing a measure: user impact, effort, risk (Core)</w:t>
            </w:r>
          </w:p>
        </w:tc>
        <w:tc>
          <w:tcPr>
            <w:tcW w:type="dxa" w:w="4242"/>
          </w:tcPr>
          <w:p>
            <w:pPr>
              <w:spacing w:before="0" w:after="0"/>
            </w:pPr>
            <w:r>
              <w:rPr>
                <w:sz w:val="20"/>
              </w:rPr>
              <w:t>Scan line and Figure 4; the "In plain words" and "How to decide" boxes</w:t>
            </w:r>
          </w:p>
        </w:tc>
        <w:tc>
          <w:tcPr>
            <w:tcW w:type="dxa" w:w="1589"/>
          </w:tcPr>
          <w:p>
            <w:pPr>
              <w:spacing w:before="0" w:after="0"/>
            </w:pPr>
            <w:r>
              <w:rPr>
                <w:sz w:val="20"/>
              </w:rPr>
              <w:t>The whole card</w:t>
            </w:r>
          </w:p>
        </w:tc>
      </w:tr>
      <w:tr>
        <w:trPr>
          <w:cantSplit/>
        </w:trPr>
        <w:tc>
          <w:tcPr>
            <w:tcW w:type="dxa" w:w="3807"/>
          </w:tcPr>
          <w:p>
            <w:pPr>
              <w:spacing w:before="0" w:after="0"/>
            </w:pPr>
            <w:r>
              <w:rPr>
                <w:b/>
                <w:sz w:val="20"/>
              </w:rPr>
              <w:t>B1</w:t>
            </w:r>
            <w:r>
              <w:rPr>
                <w:sz w:val="20"/>
              </w:rPr>
              <w:t xml:space="preserve"> · Why UX matters to the business (Core)</w:t>
            </w:r>
          </w:p>
        </w:tc>
        <w:tc>
          <w:tcPr>
            <w:tcW w:type="dxa" w:w="4242"/>
          </w:tcPr>
          <w:p>
            <w:pPr>
              <w:spacing w:before="0" w:after="0"/>
            </w:pPr>
            <w:r>
              <w:rPr>
                <w:sz w:val="20"/>
              </w:rPr>
              <w:t>Scan line and Figure 5; the "In plain words" and "How to decide" boxes</w:t>
            </w:r>
          </w:p>
        </w:tc>
        <w:tc>
          <w:tcPr>
            <w:tcW w:type="dxa" w:w="1589"/>
          </w:tcPr>
          <w:p>
            <w:pPr>
              <w:spacing w:before="0" w:after="0"/>
            </w:pPr>
            <w:r>
              <w:rPr>
                <w:sz w:val="20"/>
              </w:rPr>
              <w:t>The whole card</w:t>
            </w:r>
          </w:p>
        </w:tc>
      </w:tr>
      <w:tr>
        <w:trPr>
          <w:cantSplit/>
        </w:trPr>
        <w:tc>
          <w:tcPr>
            <w:tcW w:type="dxa" w:w="3807"/>
          </w:tcPr>
          <w:p>
            <w:pPr>
              <w:spacing w:before="0" w:after="0"/>
            </w:pPr>
            <w:r>
              <w:rPr>
                <w:b/>
                <w:sz w:val="20"/>
              </w:rPr>
              <w:t>B2</w:t>
            </w:r>
            <w:r>
              <w:rPr>
                <w:sz w:val="20"/>
              </w:rPr>
              <w:t xml:space="preserve"> · Conflicting goals: user value, effort and business goals (Core)</w:t>
            </w:r>
          </w:p>
        </w:tc>
        <w:tc>
          <w:tcPr>
            <w:tcW w:type="dxa" w:w="4242"/>
          </w:tcPr>
          <w:p>
            <w:pPr>
              <w:spacing w:before="0" w:after="0"/>
            </w:pPr>
            <w:r>
              <w:rPr>
                <w:sz w:val="20"/>
              </w:rPr>
              <w:t>Scan line and Figure 6; the "In plain words" and "How to decide" boxes</w:t>
            </w:r>
          </w:p>
        </w:tc>
        <w:tc>
          <w:tcPr>
            <w:tcW w:type="dxa" w:w="1589"/>
          </w:tcPr>
          <w:p>
            <w:pPr>
              <w:spacing w:before="0" w:after="0"/>
            </w:pPr>
            <w:r>
              <w:rPr>
                <w:sz w:val="20"/>
              </w:rPr>
              <w:t>The whole card</w:t>
            </w:r>
          </w:p>
        </w:tc>
      </w:tr>
      <w:tr>
        <w:trPr>
          <w:cantSplit/>
        </w:trPr>
        <w:tc>
          <w:tcPr>
            <w:tcW w:type="dxa" w:w="3807"/>
          </w:tcPr>
          <w:p>
            <w:pPr>
              <w:spacing w:before="0" w:after="0"/>
            </w:pPr>
            <w:r>
              <w:rPr>
                <w:b/>
                <w:sz w:val="20"/>
              </w:rPr>
              <w:t>B3</w:t>
            </w:r>
            <w:r>
              <w:rPr>
                <w:sz w:val="20"/>
              </w:rPr>
              <w:t xml:space="preserve"> · Deciding when you do not know enough (Core)</w:t>
            </w:r>
          </w:p>
        </w:tc>
        <w:tc>
          <w:tcPr>
            <w:tcW w:type="dxa" w:w="4242"/>
          </w:tcPr>
          <w:p>
            <w:pPr>
              <w:spacing w:before="0" w:after="0"/>
            </w:pPr>
            <w:r>
              <w:rPr>
                <w:sz w:val="20"/>
              </w:rPr>
              <w:t>Scan line and Figure 7; the "In plain words" and "How to decide" boxes</w:t>
            </w:r>
          </w:p>
        </w:tc>
        <w:tc>
          <w:tcPr>
            <w:tcW w:type="dxa" w:w="1589"/>
          </w:tcPr>
          <w:p>
            <w:pPr>
              <w:spacing w:before="0" w:after="0"/>
            </w:pPr>
            <w:r>
              <w:rPr>
                <w:sz w:val="20"/>
              </w:rPr>
              <w:t>The whole card</w:t>
            </w:r>
          </w:p>
        </w:tc>
      </w:tr>
    </w:tbl>
    <w:p>
      <w:pPr>
        <w:spacing w:before="0" w:after="80"/>
      </w:pPr>
    </w:p>
    <w:p>
      <w:pPr>
        <w:pStyle w:val="Heading1"/>
        <w:pBdr>
          <w:bottom w:val="single" w:sz="8" w:space="2" w:color="17212E"/>
        </w:pBdr>
      </w:pPr>
      <w:r>
        <w:rPr/>
        <w:t>References</w:t>
      </w:r>
    </w:p>
    <w:p>
      <w:pPr>
        <w:spacing w:before="0" w:after="100"/>
      </w:pPr>
      <w:r>
        <w:rPr/>
        <w:t>Check each source and its current edition before you teach from it. Standards and laws marked as in flux can change.</w:t>
      </w:r>
    </w:p>
    <w:p>
      <w:pPr>
        <w:spacing w:before="0" w:after="80"/>
        <w:ind w:left="283" w:hanging="283"/>
      </w:pPr>
      <w:r>
        <w:rPr>
          <w:sz w:val="19"/>
        </w:rPr>
        <w:t xml:space="preserve">Norman, D., &amp; Nielsen, J. </w:t>
      </w:r>
      <w:r>
        <w:rPr>
          <w:i/>
          <w:sz w:val="19"/>
        </w:rPr>
        <w:t>The Definition of User Experience (UX).</w:t>
      </w:r>
      <w:r>
        <w:rPr>
          <w:sz w:val="19"/>
        </w:rPr>
        <w:t xml:space="preserve"> Nielsen Norman Group. https://www.nngroup.com/articles/definition-user-experience/ — user experience covers all aspects of the end user's interaction with the company, its services and its products.</w:t>
      </w:r>
    </w:p>
    <w:p>
      <w:pPr>
        <w:spacing w:before="0" w:after="80"/>
        <w:ind w:left="283" w:hanging="283"/>
      </w:pPr>
      <w:r>
        <w:rPr>
          <w:sz w:val="19"/>
        </w:rPr>
        <w:t xml:space="preserve">ISO 9241-11:2018. </w:t>
      </w:r>
      <w:r>
        <w:rPr>
          <w:i/>
          <w:sz w:val="19"/>
        </w:rPr>
        <w:t>Ergonomics of human-system interaction, Part 11: Usability: Definitions and concepts.</w:t>
      </w:r>
      <w:r>
        <w:rPr>
          <w:sz w:val="19"/>
        </w:rPr>
        <w:t xml:space="preserve"> — usability is how far a system can be used to reach goals with effectiveness, efficiency and satisfaction in a specified context of use.</w:t>
      </w:r>
    </w:p>
    <w:p>
      <w:pPr>
        <w:spacing w:before="0" w:after="80"/>
        <w:ind w:left="283" w:hanging="283"/>
      </w:pPr>
      <w:r>
        <w:rPr>
          <w:sz w:val="19"/>
        </w:rPr>
        <w:t xml:space="preserve">ISO 9241-210:2019. </w:t>
      </w:r>
      <w:r>
        <w:rPr>
          <w:i/>
          <w:sz w:val="19"/>
        </w:rPr>
        <w:t>Ergonomics of human-system interaction, Part 210: Human-centred design for interactive systems.</w:t>
      </w:r>
      <w:r>
        <w:rPr>
          <w:sz w:val="19"/>
        </w:rPr>
        <w:t xml:space="preserve"> — design starts from users, their tasks and their environment, and is repeated with users.</w:t>
      </w:r>
    </w:p>
    <w:p>
      <w:pPr>
        <w:spacing w:before="0" w:after="80"/>
        <w:ind w:left="283" w:hanging="283"/>
      </w:pPr>
      <w:r>
        <w:rPr>
          <w:sz w:val="19"/>
        </w:rPr>
        <w:t xml:space="preserve">Nielsen, J. (1994, reviewed 2024). </w:t>
      </w:r>
      <w:r>
        <w:rPr>
          <w:i/>
          <w:sz w:val="19"/>
        </w:rPr>
        <w:t>10 Usability Heuristics for User Interface Design.</w:t>
      </w:r>
      <w:r>
        <w:rPr>
          <w:sz w:val="19"/>
        </w:rPr>
        <w:t xml:space="preserve"> Nielsen Norman Group. https://www.nngroup.com/articles/ten-usability-heuristics/ — for example visibility of system status, match between the system and the real world, consistency and standards, recognition rather than recall.</w:t>
      </w:r>
    </w:p>
    <w:p>
      <w:pPr>
        <w:spacing w:before="0" w:after="80"/>
        <w:ind w:left="283" w:hanging="283"/>
      </w:pPr>
      <w:r>
        <w:rPr>
          <w:sz w:val="19"/>
        </w:rPr>
        <w:t xml:space="preserve">Nielsen, J. (1997). </w:t>
      </w:r>
      <w:r>
        <w:rPr>
          <w:i/>
          <w:sz w:val="19"/>
        </w:rPr>
        <w:t>How Users Read on the Web.</w:t>
      </w:r>
      <w:r>
        <w:rPr>
          <w:sz w:val="19"/>
        </w:rPr>
        <w:t xml:space="preserve"> Nielsen Norman Group (Alertbox, 1 October 1997). https://www.nngroup.com/articles/how-users-read-on-the-web/ — in a study with J. Morkes, 79 percent of test users always scanned a new page and only 16 percent read word for word.</w:t>
      </w:r>
    </w:p>
    <w:p>
      <w:pPr>
        <w:spacing w:before="0" w:after="80"/>
        <w:ind w:left="283" w:hanging="283"/>
      </w:pPr>
      <w:r>
        <w:rPr>
          <w:sz w:val="19"/>
        </w:rPr>
        <w:t xml:space="preserve">Sweller, J. (1988). Cognitive load during problem solving: Effects on learning. </w:t>
      </w:r>
      <w:r>
        <w:rPr>
          <w:i/>
          <w:sz w:val="19"/>
        </w:rPr>
        <w:t>Cognitive Science, 12</w:t>
      </w:r>
      <w:r>
        <w:rPr>
          <w:sz w:val="19"/>
        </w:rPr>
        <w:t>(2), 257–285. https://doi.org/10.1207/s15516709cog1202_4 — working memory is limited; effort spent on a badly designed task is missing for learning.</w:t>
      </w:r>
    </w:p>
    <w:p>
      <w:pPr>
        <w:spacing w:before="0" w:after="80"/>
        <w:ind w:left="283" w:hanging="283"/>
      </w:pPr>
      <w:r>
        <w:rPr>
          <w:sz w:val="19"/>
        </w:rPr>
        <w:t xml:space="preserve">Knowles, M. S. (1975). </w:t>
      </w:r>
      <w:r>
        <w:rPr>
          <w:i/>
          <w:sz w:val="19"/>
        </w:rPr>
        <w:t>Self-Directed Learning: A Guide for Learners and Teachers.</w:t>
      </w:r>
      <w:r>
        <w:rPr>
          <w:sz w:val="19"/>
        </w:rPr>
        <w:t xml:space="preserve"> Association Press. — a self-directed learner sets goals, finds resources and judges progress; a guided learner gets these from a trainer.</w:t>
      </w:r>
    </w:p>
    <w:p>
      <w:pPr>
        <w:spacing w:before="0" w:after="80"/>
        <w:ind w:left="283" w:hanging="283"/>
      </w:pPr>
      <w:r>
        <w:rPr>
          <w:sz w:val="19"/>
        </w:rPr>
        <w:t xml:space="preserve">Bjork, E. L., &amp; Bjork, R. A. (2011). Making things hard on yourself, but in a good way: Creating desirable difficulties to enhance learning. In M. A. Gernsbacher et al. (Eds.), </w:t>
      </w:r>
      <w:r>
        <w:rPr>
          <w:i/>
          <w:sz w:val="19"/>
        </w:rPr>
        <w:t>Psychology and the Real World</w:t>
      </w:r>
      <w:r>
        <w:rPr>
          <w:sz w:val="19"/>
        </w:rPr>
        <w:t xml:space="preserve"> (pp. 56–64). Worth. — some difficulty during learning helps long-term retention; not every difficulty does.</w:t>
      </w:r>
    </w:p>
    <w:p>
      <w:pPr>
        <w:spacing w:before="0" w:after="80"/>
        <w:ind w:left="283" w:hanging="283"/>
      </w:pPr>
      <w:r>
        <w:rPr>
          <w:sz w:val="19"/>
        </w:rPr>
        <w:t xml:space="preserve">Gibbons, S. (2018). </w:t>
      </w:r>
      <w:r>
        <w:rPr>
          <w:i/>
          <w:sz w:val="19"/>
        </w:rPr>
        <w:t>Using Prioritization Matrices to Inform UX Decisions.</w:t>
      </w:r>
      <w:r>
        <w:rPr>
          <w:sz w:val="19"/>
        </w:rPr>
        <w:t xml:space="preserve"> Nielsen Norman Group. https://www.nngroup.com/articles/prioritization-matrices/ — a prioritisation matrix plots items on two criteria, for example value to the user against effort.</w:t>
      </w:r>
    </w:p>
    <w:p>
      <w:pPr>
        <w:spacing w:before="0" w:after="80"/>
        <w:ind w:left="283" w:hanging="283"/>
      </w:pPr>
      <w:r>
        <w:rPr>
          <w:sz w:val="19"/>
        </w:rPr>
        <w:t xml:space="preserve">Klein, G. (2007). Performing a project premortem. </w:t>
      </w:r>
      <w:r>
        <w:rPr>
          <w:i/>
          <w:sz w:val="19"/>
        </w:rPr>
        <w:t>Harvard Business Review, 85</w:t>
      </w:r>
      <w:r>
        <w:rPr>
          <w:sz w:val="19"/>
        </w:rPr>
        <w:t>(9), 18–19. — imagine the plan has failed and ask why; it brings risks to the surface before the money is spent.</w:t>
      </w:r>
    </w:p>
    <w:p>
      <w:pPr>
        <w:spacing w:before="0" w:after="80"/>
        <w:ind w:left="283" w:hanging="283"/>
      </w:pPr>
      <w:r>
        <w:rPr>
          <w:sz w:val="19"/>
        </w:rPr>
        <w:t xml:space="preserve">Jordan, K. (2015). Massive open online course completion rates revisited: Assessment, length and attrition. </w:t>
      </w:r>
      <w:r>
        <w:rPr>
          <w:i/>
          <w:sz w:val="19"/>
        </w:rPr>
        <w:t>The International Review of Research in Open and Distributed Learning, 16</w:t>
      </w:r>
      <w:r>
        <w:rPr>
          <w:sz w:val="19"/>
        </w:rPr>
        <w:t>(3), 341–358. https://doi.org/10.19173/irrodl.v16i3.2112 — across 221 courses with data from before 2015, the median completion rate was 12.6 percent (range 0.7 to 52.1 percent); longer courses had lower completion.</w:t>
      </w:r>
    </w:p>
    <w:p>
      <w:pPr>
        <w:spacing w:before="0" w:after="80"/>
        <w:ind w:left="283" w:hanging="283"/>
      </w:pPr>
      <w:r>
        <w:rPr>
          <w:sz w:val="19"/>
        </w:rPr>
        <w:t xml:space="preserve">Kirkpatrick, D. L., &amp; Kirkpatrick, J. D. (2006). </w:t>
      </w:r>
      <w:r>
        <w:rPr>
          <w:i/>
          <w:sz w:val="19"/>
        </w:rPr>
        <w:t>Evaluating Training Programs: The Four Levels</w:t>
      </w:r>
      <w:r>
        <w:rPr>
          <w:sz w:val="19"/>
        </w:rPr>
        <w:t xml:space="preserve"> (3rd ed.). Berrett-Koehler. — reaction, learning, behaviour, results: the levels on which an employer judges training.</w:t>
      </w:r>
    </w:p>
    <w:p>
      <w:pPr>
        <w:spacing w:before="0" w:after="80"/>
        <w:ind w:left="283" w:hanging="283"/>
      </w:pPr>
      <w:r>
        <w:rPr>
          <w:sz w:val="19"/>
        </w:rPr>
        <w:t xml:space="preserve">Bezos, J. (2016). </w:t>
      </w:r>
      <w:r>
        <w:rPr>
          <w:i/>
          <w:sz w:val="19"/>
        </w:rPr>
        <w:t>2015 Letter to Shareholders.</w:t>
      </w:r>
      <w:r>
        <w:rPr>
          <w:sz w:val="19"/>
        </w:rPr>
        <w:t xml:space="preserve"> Amazon. — decisions that are hard to reverse ("one-way doors") deserve more care than those that can be reversed cheaply ("two-way doors").</w:t>
      </w:r>
    </w:p>
    <w:p>
      <w:r>
        <w:br w:type="page"/>
      </w:r>
    </w:p>
    <w:p>
      <w:pPr>
        <w:pStyle w:val="Heading1"/>
        <w:pBdr>
          <w:bottom w:val="single" w:sz="8" w:space="2" w:color="17212E"/>
        </w:pBdr>
      </w:pPr>
      <w:r>
        <w:rPr/>
        <w:t>Glossary</w:t>
      </w:r>
    </w:p>
    <w:p>
      <w:pPr>
        <w:spacing w:before="0" w:after="100"/>
      </w:pPr>
      <w:r>
        <w:rPr/>
        <w:t>Every term below is used in this document. Terms stay plain text in the body; this list says what they mean in everyday words.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976"/>
        <w:gridCol w:w="4428"/>
        <w:gridCol w:w="2079"/>
        <w:gridCol w:w="1155"/>
      </w:tblGrid>
      <w:tr>
        <w:trPr>
          <w:cantSplit/>
          <w:tblHeader/>
        </w:trPr>
        <w:tc>
          <w:tcPr>
            <w:tcW w:type="dxa" w:w="1976"/>
            <w:shd w:val="clear" w:color="auto" w:fill="E6ECF4"/>
          </w:tcPr>
          <w:p>
            <w:pPr>
              <w:spacing w:before="0" w:after="0"/>
            </w:pPr>
            <w:r>
              <w:rPr>
                <w:b/>
                <w:sz w:val="19"/>
              </w:rPr>
              <w:t>Term</w:t>
            </w:r>
          </w:p>
        </w:tc>
        <w:tc>
          <w:tcPr>
            <w:tcW w:type="dxa" w:w="4428"/>
            <w:shd w:val="clear" w:color="auto" w:fill="E6ECF4"/>
          </w:tcPr>
          <w:p>
            <w:pPr>
              <w:spacing w:before="0" w:after="0"/>
            </w:pPr>
            <w:r>
              <w:rPr>
                <w:b/>
                <w:sz w:val="19"/>
              </w:rPr>
              <w:t>In plain words</w:t>
            </w:r>
          </w:p>
        </w:tc>
        <w:tc>
          <w:tcPr>
            <w:tcW w:type="dxa" w:w="2079"/>
            <w:shd w:val="clear" w:color="auto" w:fill="E6ECF4"/>
          </w:tcPr>
          <w:p>
            <w:pPr>
              <w:spacing w:before="0" w:after="0"/>
            </w:pPr>
            <w:r>
              <w:rPr>
                <w:b/>
                <w:sz w:val="19"/>
              </w:rPr>
              <w:t>Example</w:t>
            </w:r>
          </w:p>
        </w:tc>
        <w:tc>
          <w:tcPr>
            <w:tcW w:type="dxa" w:w="1155"/>
            <w:shd w:val="clear" w:color="auto" w:fill="E6ECF4"/>
          </w:tcPr>
          <w:p>
            <w:pPr>
              <w:spacing w:before="0" w:after="0"/>
            </w:pPr>
            <w:r>
              <w:rPr>
                <w:b/>
                <w:sz w:val="19"/>
              </w:rPr>
              <w:t>Comes from</w:t>
            </w:r>
          </w:p>
        </w:tc>
      </w:tr>
      <w:tr>
        <w:trPr>
          <w:cantSplit/>
        </w:trPr>
        <w:tc>
          <w:tcPr>
            <w:tcW w:type="dxa" w:w="1976"/>
          </w:tcPr>
          <w:p>
            <w:pPr>
              <w:spacing w:before="0" w:after="0"/>
            </w:pPr>
            <w:r>
              <w:rPr>
                <w:b/>
                <w:sz w:val="19"/>
              </w:rPr>
              <w:t>AI (artificial intelligence)</w:t>
            </w:r>
          </w:p>
        </w:tc>
        <w:tc>
          <w:tcPr>
            <w:tcW w:type="dxa" w:w="4428"/>
          </w:tcPr>
          <w:p>
            <w:pPr>
              <w:spacing w:before="0" w:after="0"/>
            </w:pPr>
            <w:r>
              <w:rPr>
                <w:sz w:val="19"/>
              </w:rPr>
              <w:t>Software that learns patterns from data and uses them to predict or choose, for example which lesson to suggest next. It needs enough good data; with little data it guesses.</w:t>
            </w:r>
          </w:p>
        </w:tc>
        <w:tc>
          <w:tcPr>
            <w:tcW w:type="dxa" w:w="2079"/>
          </w:tcPr>
          <w:p>
            <w:pPr>
              <w:spacing w:before="0" w:after="0"/>
            </w:pPr>
            <w:r>
              <w:rPr>
                <w:sz w:val="19"/>
              </w:rPr>
              <w:t>—</w:t>
            </w:r>
          </w:p>
        </w:tc>
        <w:tc>
          <w:tcPr>
            <w:tcW w:type="dxa" w:w="1155"/>
          </w:tcPr>
          <w:p>
            <w:pPr>
              <w:spacing w:before="0" w:after="0"/>
            </w:pPr>
            <w:r>
              <w:rPr>
                <w:sz w:val="19"/>
              </w:rPr>
              <w:t>—</w:t>
            </w:r>
          </w:p>
        </w:tc>
      </w:tr>
      <w:tr>
        <w:trPr>
          <w:cantSplit/>
        </w:trPr>
        <w:tc>
          <w:tcPr>
            <w:tcW w:type="dxa" w:w="1976"/>
          </w:tcPr>
          <w:p>
            <w:pPr>
              <w:spacing w:before="0" w:after="0"/>
            </w:pPr>
            <w:r>
              <w:rPr>
                <w:b/>
                <w:sz w:val="19"/>
              </w:rPr>
              <w:t>Cognitive load</w:t>
            </w:r>
          </w:p>
        </w:tc>
        <w:tc>
          <w:tcPr>
            <w:tcW w:type="dxa" w:w="4428"/>
          </w:tcPr>
          <w:p>
            <w:pPr>
              <w:spacing w:before="0" w:after="0"/>
            </w:pPr>
            <w:r>
              <w:rPr>
                <w:sz w:val="19"/>
              </w:rPr>
              <w:t>How much a person has to hold in mind and work out at once. Attention is limited. Effort spent on decoding a cluttered screen is effort that is missing for learning the content.</w:t>
            </w:r>
          </w:p>
        </w:tc>
        <w:tc>
          <w:tcPr>
            <w:tcW w:type="dxa" w:w="2079"/>
          </w:tcPr>
          <w:p>
            <w:pPr>
              <w:spacing w:before="0" w:after="0"/>
            </w:pPr>
            <w:r>
              <w:rPr>
                <w:sz w:val="19"/>
              </w:rPr>
              <w:t>A 500-word block of text with no headings costs more attention than the same text in five short parts.</w:t>
            </w:r>
          </w:p>
        </w:tc>
        <w:tc>
          <w:tcPr>
            <w:tcW w:type="dxa" w:w="1155"/>
          </w:tcPr>
          <w:p>
            <w:pPr>
              <w:spacing w:before="0" w:after="0"/>
            </w:pPr>
            <w:r>
              <w:rPr>
                <w:sz w:val="19"/>
              </w:rPr>
              <w:t>Sweller 1988</w:t>
            </w:r>
          </w:p>
        </w:tc>
      </w:tr>
      <w:tr>
        <w:trPr>
          <w:cantSplit/>
        </w:trPr>
        <w:tc>
          <w:tcPr>
            <w:tcW w:type="dxa" w:w="1976"/>
          </w:tcPr>
          <w:p>
            <w:pPr>
              <w:spacing w:before="0" w:after="0"/>
            </w:pPr>
            <w:r>
              <w:rPr>
                <w:b/>
                <w:sz w:val="19"/>
              </w:rPr>
              <w:t>Competitive factor</w:t>
            </w:r>
          </w:p>
        </w:tc>
        <w:tc>
          <w:tcPr>
            <w:tcW w:type="dxa" w:w="4428"/>
          </w:tcPr>
          <w:p>
            <w:pPr>
              <w:spacing w:before="0" w:after="0"/>
            </w:pPr>
            <w:r>
              <w:rPr>
                <w:sz w:val="19"/>
              </w:rPr>
              <w:t>Something that makes customers choose one provider over another. For a learning platform, ease of use can be one.</w:t>
            </w:r>
          </w:p>
        </w:tc>
        <w:tc>
          <w:tcPr>
            <w:tcW w:type="dxa" w:w="2079"/>
          </w:tcPr>
          <w:p>
            <w:pPr>
              <w:spacing w:before="0" w:after="0"/>
            </w:pPr>
            <w:r>
              <w:rPr>
                <w:sz w:val="19"/>
              </w:rPr>
              <w:t>Two platforms offer the same course; learners and HR pick the one that is easier to use.</w:t>
            </w:r>
          </w:p>
        </w:tc>
        <w:tc>
          <w:tcPr>
            <w:tcW w:type="dxa" w:w="1155"/>
          </w:tcPr>
          <w:p>
            <w:pPr>
              <w:spacing w:before="0" w:after="0"/>
            </w:pPr>
            <w:r>
              <w:rPr>
                <w:sz w:val="19"/>
              </w:rPr>
              <w:t>—</w:t>
            </w:r>
          </w:p>
        </w:tc>
      </w:tr>
      <w:tr>
        <w:trPr>
          <w:cantSplit/>
        </w:trPr>
        <w:tc>
          <w:tcPr>
            <w:tcW w:type="dxa" w:w="1976"/>
          </w:tcPr>
          <w:p>
            <w:pPr>
              <w:spacing w:before="0" w:after="0"/>
            </w:pPr>
            <w:r>
              <w:rPr>
                <w:b/>
                <w:sz w:val="19"/>
              </w:rPr>
              <w:t>Completion rate</w:t>
            </w:r>
          </w:p>
        </w:tc>
        <w:tc>
          <w:tcPr>
            <w:tcW w:type="dxa" w:w="4428"/>
          </w:tcPr>
          <w:p>
            <w:pPr>
              <w:spacing w:before="0" w:after="0"/>
            </w:pPr>
            <w:r>
              <w:rPr>
                <w:sz w:val="19"/>
              </w:rPr>
              <w:t>The share of people who start a course and finish it. It is the opposite side of the drop-out rate: 60% completion means 40% drop-out.</w:t>
            </w:r>
          </w:p>
        </w:tc>
        <w:tc>
          <w:tcPr>
            <w:tcW w:type="dxa" w:w="2079"/>
          </w:tcPr>
          <w:p>
            <w:pPr>
              <w:spacing w:before="0" w:after="0"/>
            </w:pPr>
            <w:r>
              <w:rPr>
                <w:sz w:val="19"/>
              </w:rPr>
              <w:t>—</w:t>
            </w:r>
          </w:p>
        </w:tc>
        <w:tc>
          <w:tcPr>
            <w:tcW w:type="dxa" w:w="1155"/>
          </w:tcPr>
          <w:p>
            <w:pPr>
              <w:spacing w:before="0" w:after="0"/>
            </w:pPr>
            <w:r>
              <w:rPr>
                <w:sz w:val="19"/>
              </w:rPr>
              <w:t>—</w:t>
            </w:r>
          </w:p>
        </w:tc>
      </w:tr>
      <w:tr>
        <w:trPr>
          <w:cantSplit/>
        </w:trPr>
        <w:tc>
          <w:tcPr>
            <w:tcW w:type="dxa" w:w="1976"/>
          </w:tcPr>
          <w:p>
            <w:pPr>
              <w:spacing w:before="0" w:after="0"/>
            </w:pPr>
            <w:r>
              <w:rPr>
                <w:b/>
                <w:sz w:val="19"/>
              </w:rPr>
              <w:t>Conflicting goals (trade-off)</w:t>
            </w:r>
          </w:p>
        </w:tc>
        <w:tc>
          <w:tcPr>
            <w:tcW w:type="dxa" w:w="4428"/>
          </w:tcPr>
          <w:p>
            <w:pPr>
              <w:spacing w:before="0" w:after="0"/>
            </w:pPr>
            <w:r>
              <w:rPr>
                <w:sz w:val="19"/>
              </w:rPr>
              <w:t>Two goals that both matter, but cannot both be fully met: for example a simple screen against depth of content. A trade-off means you decide how much of each to keep, and say what you give up.</w:t>
            </w:r>
          </w:p>
        </w:tc>
        <w:tc>
          <w:tcPr>
            <w:tcW w:type="dxa" w:w="2079"/>
          </w:tcPr>
          <w:p>
            <w:pPr>
              <w:spacing w:before="0" w:after="0"/>
            </w:pPr>
            <w:r>
              <w:rPr>
                <w:sz w:val="19"/>
              </w:rPr>
              <w:t>—</w:t>
            </w:r>
          </w:p>
        </w:tc>
        <w:tc>
          <w:tcPr>
            <w:tcW w:type="dxa" w:w="1155"/>
          </w:tcPr>
          <w:p>
            <w:pPr>
              <w:spacing w:before="0" w:after="0"/>
            </w:pPr>
            <w:r>
              <w:rPr>
                <w:sz w:val="19"/>
              </w:rPr>
              <w:t>—</w:t>
            </w:r>
          </w:p>
        </w:tc>
      </w:tr>
      <w:tr>
        <w:trPr>
          <w:cantSplit/>
        </w:trPr>
        <w:tc>
          <w:tcPr>
            <w:tcW w:type="dxa" w:w="1976"/>
          </w:tcPr>
          <w:p>
            <w:pPr>
              <w:spacing w:before="0" w:after="0"/>
            </w:pPr>
            <w:r>
              <w:rPr>
                <w:b/>
                <w:sz w:val="19"/>
              </w:rPr>
              <w:t>Decision architecture</w:t>
            </w:r>
          </w:p>
        </w:tc>
        <w:tc>
          <w:tcPr>
            <w:tcW w:type="dxa" w:w="4428"/>
          </w:tcPr>
          <w:p>
            <w:pPr>
              <w:spacing w:before="0" w:after="0"/>
            </w:pPr>
            <w:r>
              <w:rPr>
                <w:sz w:val="19"/>
              </w:rPr>
              <w:t>The rule for how future decisions are made: who decides and what evidence they need. It stops a decision from resting on one person's taste.</w:t>
            </w:r>
          </w:p>
        </w:tc>
        <w:tc>
          <w:tcPr>
            <w:tcW w:type="dxa" w:w="2079"/>
          </w:tcPr>
          <w:p>
            <w:pPr>
              <w:spacing w:before="0" w:after="0"/>
            </w:pPr>
            <w:r>
              <w:rPr>
                <w:sz w:val="19"/>
              </w:rPr>
              <w:t>—</w:t>
            </w:r>
          </w:p>
        </w:tc>
        <w:tc>
          <w:tcPr>
            <w:tcW w:type="dxa" w:w="1155"/>
          </w:tcPr>
          <w:p>
            <w:pPr>
              <w:spacing w:before="0" w:after="0"/>
            </w:pPr>
            <w:r>
              <w:rPr>
                <w:sz w:val="19"/>
              </w:rPr>
              <w:t>—</w:t>
            </w:r>
          </w:p>
        </w:tc>
      </w:tr>
      <w:tr>
        <w:trPr>
          <w:cantSplit/>
        </w:trPr>
        <w:tc>
          <w:tcPr>
            <w:tcW w:type="dxa" w:w="1976"/>
          </w:tcPr>
          <w:p>
            <w:pPr>
              <w:spacing w:before="0" w:after="0"/>
            </w:pPr>
            <w:r>
              <w:rPr>
                <w:b/>
                <w:sz w:val="19"/>
              </w:rPr>
              <w:t>Drop-out rate</w:t>
            </w:r>
          </w:p>
        </w:tc>
        <w:tc>
          <w:tcPr>
            <w:tcW w:type="dxa" w:w="4428"/>
          </w:tcPr>
          <w:p>
            <w:pPr>
              <w:spacing w:before="0" w:after="0"/>
            </w:pPr>
            <w:r>
              <w:rPr>
                <w:sz w:val="19"/>
              </w:rPr>
              <w:t>The share of people who start something and stop before the end. A 40% drop-out rate means 40 of every 100 learners who start a course do not finish it. It counts who left, not why.</w:t>
            </w:r>
          </w:p>
        </w:tc>
        <w:tc>
          <w:tcPr>
            <w:tcW w:type="dxa" w:w="2079"/>
          </w:tcPr>
          <w:p>
            <w:pPr>
              <w:spacing w:before="0" w:after="0"/>
            </w:pPr>
            <w:r>
              <w:rPr>
                <w:sz w:val="19"/>
              </w:rPr>
              <w:t>100 learners start; 60 finish; the drop-out rate is 40%.</w:t>
            </w:r>
          </w:p>
        </w:tc>
        <w:tc>
          <w:tcPr>
            <w:tcW w:type="dxa" w:w="1155"/>
          </w:tcPr>
          <w:p>
            <w:pPr>
              <w:spacing w:before="0" w:after="0"/>
            </w:pPr>
            <w:r>
              <w:rPr>
                <w:sz w:val="19"/>
              </w:rPr>
              <w:t>—</w:t>
            </w:r>
          </w:p>
        </w:tc>
      </w:tr>
      <w:tr>
        <w:trPr>
          <w:cantSplit/>
        </w:trPr>
        <w:tc>
          <w:tcPr>
            <w:tcW w:type="dxa" w:w="1976"/>
          </w:tcPr>
          <w:p>
            <w:pPr>
              <w:spacing w:before="0" w:after="0"/>
            </w:pPr>
            <w:r>
              <w:rPr>
                <w:b/>
                <w:sz w:val="19"/>
              </w:rPr>
              <w:t>E-learning platform</w:t>
            </w:r>
          </w:p>
        </w:tc>
        <w:tc>
          <w:tcPr>
            <w:tcW w:type="dxa" w:w="4428"/>
          </w:tcPr>
          <w:p>
            <w:pPr>
              <w:spacing w:before="0" w:after="0"/>
            </w:pPr>
            <w:r>
              <w:rPr>
                <w:sz w:val="19"/>
              </w:rPr>
              <w:t>Software on which people take courses online: it holds the lessons, tracks progress and often runs quizzes and certificates.</w:t>
            </w:r>
          </w:p>
        </w:tc>
        <w:tc>
          <w:tcPr>
            <w:tcW w:type="dxa" w:w="2079"/>
          </w:tcPr>
          <w:p>
            <w:pPr>
              <w:spacing w:before="0" w:after="0"/>
            </w:pPr>
            <w:r>
              <w:rPr>
                <w:sz w:val="19"/>
              </w:rPr>
              <w:t>A company LMS where staff take compliance training.</w:t>
            </w:r>
          </w:p>
        </w:tc>
        <w:tc>
          <w:tcPr>
            <w:tcW w:type="dxa" w:w="1155"/>
          </w:tcPr>
          <w:p>
            <w:pPr>
              <w:spacing w:before="0" w:after="0"/>
            </w:pPr>
            <w:r>
              <w:rPr>
                <w:sz w:val="19"/>
              </w:rPr>
              <w:t>—</w:t>
            </w:r>
          </w:p>
        </w:tc>
      </w:tr>
      <w:tr>
        <w:trPr>
          <w:cantSplit/>
        </w:trPr>
        <w:tc>
          <w:tcPr>
            <w:tcW w:type="dxa" w:w="1976"/>
          </w:tcPr>
          <w:p>
            <w:pPr>
              <w:spacing w:before="0" w:after="0"/>
            </w:pPr>
            <w:r>
              <w:rPr>
                <w:b/>
                <w:sz w:val="19"/>
              </w:rPr>
              <w:t>EdTech</w:t>
            </w:r>
          </w:p>
        </w:tc>
        <w:tc>
          <w:tcPr>
            <w:tcW w:type="dxa" w:w="4428"/>
          </w:tcPr>
          <w:p>
            <w:pPr>
              <w:spacing w:before="0" w:after="0"/>
            </w:pPr>
            <w:r>
              <w:rPr>
                <w:sz w:val="19"/>
              </w:rPr>
              <w:t>Short for “education technology”: companies that make software and platforms for teaching and learning.</w:t>
            </w:r>
          </w:p>
        </w:tc>
        <w:tc>
          <w:tcPr>
            <w:tcW w:type="dxa" w:w="2079"/>
          </w:tcPr>
          <w:p>
            <w:pPr>
              <w:spacing w:before="0" w:after="0"/>
            </w:pPr>
            <w:r>
              <w:rPr>
                <w:sz w:val="19"/>
              </w:rPr>
              <w:t>—</w:t>
            </w:r>
          </w:p>
        </w:tc>
        <w:tc>
          <w:tcPr>
            <w:tcW w:type="dxa" w:w="1155"/>
          </w:tcPr>
          <w:p>
            <w:pPr>
              <w:spacing w:before="0" w:after="0"/>
            </w:pPr>
            <w:r>
              <w:rPr>
                <w:sz w:val="19"/>
              </w:rPr>
              <w:t>—</w:t>
            </w:r>
          </w:p>
        </w:tc>
      </w:tr>
      <w:tr>
        <w:trPr>
          <w:cantSplit/>
        </w:trPr>
        <w:tc>
          <w:tcPr>
            <w:tcW w:type="dxa" w:w="1976"/>
          </w:tcPr>
          <w:p>
            <w:pPr>
              <w:spacing w:before="0" w:after="0"/>
            </w:pPr>
            <w:r>
              <w:rPr>
                <w:b/>
                <w:sz w:val="19"/>
              </w:rPr>
              <w:t>Engagement</w:t>
            </w:r>
          </w:p>
        </w:tc>
        <w:tc>
          <w:tcPr>
            <w:tcW w:type="dxa" w:w="4428"/>
          </w:tcPr>
          <w:p>
            <w:pPr>
              <w:spacing w:before="0" w:after="0"/>
            </w:pPr>
            <w:r>
              <w:rPr>
                <w:sz w:val="19"/>
              </w:rPr>
              <w:t>How much a learner actually does on the platform: lessons opened, tasks tried, time spent. High engagement is a sign that the platform holds attention; it does not prove they learned.</w:t>
            </w:r>
          </w:p>
        </w:tc>
        <w:tc>
          <w:tcPr>
            <w:tcW w:type="dxa" w:w="2079"/>
          </w:tcPr>
          <w:p>
            <w:pPr>
              <w:spacing w:before="0" w:after="0"/>
            </w:pPr>
            <w:r>
              <w:rPr>
                <w:sz w:val="19"/>
              </w:rPr>
              <w:t>—</w:t>
            </w:r>
          </w:p>
        </w:tc>
        <w:tc>
          <w:tcPr>
            <w:tcW w:type="dxa" w:w="1155"/>
          </w:tcPr>
          <w:p>
            <w:pPr>
              <w:spacing w:before="0" w:after="0"/>
            </w:pPr>
            <w:r>
              <w:rPr>
                <w:sz w:val="19"/>
              </w:rPr>
              <w:t>—</w:t>
            </w:r>
          </w:p>
        </w:tc>
      </w:tr>
      <w:tr>
        <w:trPr>
          <w:cantSplit/>
        </w:trPr>
        <w:tc>
          <w:tcPr>
            <w:tcW w:type="dxa" w:w="1976"/>
          </w:tcPr>
          <w:p>
            <w:pPr>
              <w:spacing w:before="0" w:after="0"/>
            </w:pPr>
            <w:r>
              <w:rPr>
                <w:b/>
                <w:sz w:val="19"/>
              </w:rPr>
              <w:t>Feedback (in an interface)</w:t>
            </w:r>
          </w:p>
        </w:tc>
        <w:tc>
          <w:tcPr>
            <w:tcW w:type="dxa" w:w="4428"/>
          </w:tcPr>
          <w:p>
            <w:pPr>
              <w:spacing w:before="0" w:after="0"/>
            </w:pPr>
            <w:r>
              <w:rPr>
                <w:sz w:val="19"/>
              </w:rPr>
              <w:t>A sign from the system that tells the user what just happened or how they did: “saved”, “4 of 5 correct”, a bar that moves. Without it, users do not know whether their action worked.</w:t>
            </w:r>
          </w:p>
        </w:tc>
        <w:tc>
          <w:tcPr>
            <w:tcW w:type="dxa" w:w="2079"/>
          </w:tcPr>
          <w:p>
            <w:pPr>
              <w:spacing w:before="0" w:after="0"/>
            </w:pPr>
            <w:r>
              <w:rPr>
                <w:sz w:val="19"/>
              </w:rPr>
              <w:t>—</w:t>
            </w:r>
          </w:p>
        </w:tc>
        <w:tc>
          <w:tcPr>
            <w:tcW w:type="dxa" w:w="1155"/>
          </w:tcPr>
          <w:p>
            <w:pPr>
              <w:spacing w:before="0" w:after="0"/>
            </w:pPr>
            <w:r>
              <w:rPr>
                <w:sz w:val="19"/>
              </w:rPr>
              <w:t>Nielsen 1994</w:t>
            </w:r>
          </w:p>
        </w:tc>
      </w:tr>
      <w:tr>
        <w:trPr>
          <w:cantSplit/>
        </w:trPr>
        <w:tc>
          <w:tcPr>
            <w:tcW w:type="dxa" w:w="1976"/>
          </w:tcPr>
          <w:p>
            <w:pPr>
              <w:spacing w:before="0" w:after="0"/>
            </w:pPr>
            <w:r>
              <w:rPr>
                <w:b/>
                <w:sz w:val="19"/>
              </w:rPr>
              <w:t>Gamification</w:t>
            </w:r>
          </w:p>
        </w:tc>
        <w:tc>
          <w:tcPr>
            <w:tcW w:type="dxa" w:w="4428"/>
          </w:tcPr>
          <w:p>
            <w:pPr>
              <w:spacing w:before="0" w:after="0"/>
            </w:pPr>
            <w:r>
              <w:rPr>
                <w:sz w:val="19"/>
              </w:rPr>
              <w:t>Using elements from games, such as points, badges, levels or rankings, in something that is not a game. Whether it helps depends on whether the learner wanted the result anyway.</w:t>
            </w:r>
          </w:p>
        </w:tc>
        <w:tc>
          <w:tcPr>
            <w:tcW w:type="dxa" w:w="2079"/>
          </w:tcPr>
          <w:p>
            <w:pPr>
              <w:spacing w:before="0" w:after="0"/>
            </w:pPr>
            <w:r>
              <w:rPr>
                <w:sz w:val="19"/>
              </w:rPr>
              <w:t>A badge after every lesson, or a ranking of all learners.</w:t>
            </w:r>
          </w:p>
        </w:tc>
        <w:tc>
          <w:tcPr>
            <w:tcW w:type="dxa" w:w="1155"/>
          </w:tcPr>
          <w:p>
            <w:pPr>
              <w:spacing w:before="0" w:after="0"/>
            </w:pPr>
            <w:r>
              <w:rPr>
                <w:sz w:val="19"/>
              </w:rPr>
              <w:t>—</w:t>
            </w:r>
          </w:p>
        </w:tc>
      </w:tr>
      <w:tr>
        <w:trPr>
          <w:cantSplit/>
        </w:trPr>
        <w:tc>
          <w:tcPr>
            <w:tcW w:type="dxa" w:w="1976"/>
          </w:tcPr>
          <w:p>
            <w:pPr>
              <w:spacing w:before="0" w:after="0"/>
            </w:pPr>
            <w:r>
              <w:rPr>
                <w:b/>
                <w:sz w:val="19"/>
              </w:rPr>
              <w:t>Heuristic</w:t>
            </w:r>
          </w:p>
        </w:tc>
        <w:tc>
          <w:tcPr>
            <w:tcW w:type="dxa" w:w="4428"/>
          </w:tcPr>
          <w:p>
            <w:pPr>
              <w:spacing w:before="0" w:after="0"/>
            </w:pPr>
            <w:r>
              <w:rPr>
                <w:sz w:val="19"/>
              </w:rPr>
              <w:t>A rule of thumb. A usability heuristic is a general rule, such as "keep users informed about what is happening", that experts use to check a screen quickly.</w:t>
            </w:r>
          </w:p>
        </w:tc>
        <w:tc>
          <w:tcPr>
            <w:tcW w:type="dxa" w:w="2079"/>
          </w:tcPr>
          <w:p>
            <w:pPr>
              <w:spacing w:before="0" w:after="0"/>
            </w:pPr>
            <w:r>
              <w:rPr>
                <w:sz w:val="19"/>
              </w:rPr>
              <w:t>Nielsen's list of ten usability heuristics.</w:t>
            </w:r>
          </w:p>
        </w:tc>
        <w:tc>
          <w:tcPr>
            <w:tcW w:type="dxa" w:w="1155"/>
          </w:tcPr>
          <w:p>
            <w:pPr>
              <w:spacing w:before="0" w:after="0"/>
            </w:pPr>
            <w:r>
              <w:rPr>
                <w:sz w:val="19"/>
              </w:rPr>
              <w:t>Nielsen 1994</w:t>
            </w:r>
          </w:p>
        </w:tc>
      </w:tr>
      <w:tr>
        <w:trPr>
          <w:cantSplit/>
        </w:trPr>
        <w:tc>
          <w:tcPr>
            <w:tcW w:type="dxa" w:w="1976"/>
          </w:tcPr>
          <w:p>
            <w:pPr>
              <w:spacing w:before="0" w:after="0"/>
            </w:pPr>
            <w:r>
              <w:rPr>
                <w:b/>
                <w:sz w:val="19"/>
              </w:rPr>
              <w:t>Learning path</w:t>
            </w:r>
          </w:p>
        </w:tc>
        <w:tc>
          <w:tcPr>
            <w:tcW w:type="dxa" w:w="4428"/>
          </w:tcPr>
          <w:p>
            <w:pPr>
              <w:spacing w:before="0" w:after="0"/>
            </w:pPr>
            <w:r>
              <w:rPr>
                <w:sz w:val="19"/>
              </w:rPr>
              <w:t>A set order in which a learner goes through the material of a course: what to do first, next and last. It tells a beginner where to start and how far there is to go.</w:t>
            </w:r>
          </w:p>
        </w:tc>
        <w:tc>
          <w:tcPr>
            <w:tcW w:type="dxa" w:w="2079"/>
          </w:tcPr>
          <w:p>
            <w:pPr>
              <w:spacing w:before="0" w:after="0"/>
            </w:pPr>
            <w:r>
              <w:rPr>
                <w:sz w:val="19"/>
              </w:rPr>
              <w:t>“Lesson 1 → Lesson 2 → Quiz → Lesson 3” shown on screen as a path.</w:t>
            </w:r>
          </w:p>
        </w:tc>
        <w:tc>
          <w:tcPr>
            <w:tcW w:type="dxa" w:w="1155"/>
          </w:tcPr>
          <w:p>
            <w:pPr>
              <w:spacing w:before="0" w:after="0"/>
            </w:pPr>
            <w:r>
              <w:rPr>
                <w:sz w:val="19"/>
              </w:rPr>
              <w:t>—</w:t>
            </w:r>
          </w:p>
        </w:tc>
      </w:tr>
      <w:tr>
        <w:trPr>
          <w:cantSplit/>
        </w:trPr>
        <w:tc>
          <w:tcPr>
            <w:tcW w:type="dxa" w:w="1976"/>
          </w:tcPr>
          <w:p>
            <w:pPr>
              <w:spacing w:before="0" w:after="0"/>
            </w:pPr>
            <w:r>
              <w:rPr>
                <w:b/>
                <w:sz w:val="19"/>
              </w:rPr>
              <w:t>LMS (learning management system)</w:t>
            </w:r>
          </w:p>
        </w:tc>
        <w:tc>
          <w:tcPr>
            <w:tcW w:type="dxa" w:w="4428"/>
          </w:tcPr>
          <w:p>
            <w:pPr>
              <w:spacing w:before="0" w:after="0"/>
            </w:pPr>
            <w:r>
              <w:rPr>
                <w:sz w:val="19"/>
              </w:rPr>
              <w:t>Software that an organisation uses to run online learning: it assigns courses, tracks who finished and issues reports.</w:t>
            </w:r>
          </w:p>
        </w:tc>
        <w:tc>
          <w:tcPr>
            <w:tcW w:type="dxa" w:w="2079"/>
          </w:tcPr>
          <w:p>
            <w:pPr>
              <w:spacing w:before="0" w:after="0"/>
            </w:pPr>
            <w:r>
              <w:rPr>
                <w:sz w:val="19"/>
              </w:rPr>
              <w:t>Moodle, or a company's own training portal.</w:t>
            </w:r>
          </w:p>
        </w:tc>
        <w:tc>
          <w:tcPr>
            <w:tcW w:type="dxa" w:w="1155"/>
          </w:tcPr>
          <w:p>
            <w:pPr>
              <w:spacing w:before="0" w:after="0"/>
            </w:pPr>
            <w:r>
              <w:rPr>
                <w:sz w:val="19"/>
              </w:rPr>
              <w:t>—</w:t>
            </w:r>
          </w:p>
        </w:tc>
      </w:tr>
      <w:tr>
        <w:trPr>
          <w:cantSplit/>
        </w:trPr>
        <w:tc>
          <w:tcPr>
            <w:tcW w:type="dxa" w:w="1976"/>
          </w:tcPr>
          <w:p>
            <w:pPr>
              <w:spacing w:before="0" w:after="0"/>
            </w:pPr>
            <w:r>
              <w:rPr>
                <w:b/>
                <w:sz w:val="19"/>
              </w:rPr>
              <w:t>Orientation</w:t>
            </w:r>
          </w:p>
        </w:tc>
        <w:tc>
          <w:tcPr>
            <w:tcW w:type="dxa" w:w="4428"/>
          </w:tcPr>
          <w:p>
            <w:pPr>
              <w:spacing w:before="0" w:after="0"/>
            </w:pPr>
            <w:r>
              <w:rPr>
                <w:sz w:val="19"/>
              </w:rPr>
              <w:t>Knowing where you are in a system, how you got there and what you can do next. Good orientation means a learner never has to guess.</w:t>
            </w:r>
          </w:p>
        </w:tc>
        <w:tc>
          <w:tcPr>
            <w:tcW w:type="dxa" w:w="2079"/>
          </w:tcPr>
          <w:p>
            <w:pPr>
              <w:spacing w:before="0" w:after="0"/>
            </w:pPr>
            <w:r>
              <w:rPr>
                <w:sz w:val="19"/>
              </w:rPr>
              <w:t>—</w:t>
            </w:r>
          </w:p>
        </w:tc>
        <w:tc>
          <w:tcPr>
            <w:tcW w:type="dxa" w:w="1155"/>
          </w:tcPr>
          <w:p>
            <w:pPr>
              <w:spacing w:before="0" w:after="0"/>
            </w:pPr>
            <w:r>
              <w:rPr>
                <w:sz w:val="19"/>
              </w:rPr>
              <w:t>—</w:t>
            </w:r>
          </w:p>
        </w:tc>
      </w:tr>
      <w:tr>
        <w:trPr>
          <w:cantSplit/>
        </w:trPr>
        <w:tc>
          <w:tcPr>
            <w:tcW w:type="dxa" w:w="1976"/>
          </w:tcPr>
          <w:p>
            <w:pPr>
              <w:spacing w:before="0" w:after="0"/>
            </w:pPr>
            <w:r>
              <w:rPr>
                <w:b/>
                <w:sz w:val="19"/>
              </w:rPr>
              <w:t>Premortem</w:t>
            </w:r>
          </w:p>
        </w:tc>
        <w:tc>
          <w:tcPr>
            <w:tcW w:type="dxa" w:w="4428"/>
          </w:tcPr>
          <w:p>
            <w:pPr>
              <w:spacing w:before="0" w:after="0"/>
            </w:pPr>
            <w:r>
              <w:rPr>
                <w:sz w:val="19"/>
              </w:rPr>
              <w:t>A planning exercise: you imagine that the plan has failed a year from now and ask what went wrong. It brings risks to the surface before the money is spent.</w:t>
            </w:r>
          </w:p>
        </w:tc>
        <w:tc>
          <w:tcPr>
            <w:tcW w:type="dxa" w:w="2079"/>
          </w:tcPr>
          <w:p>
            <w:pPr>
              <w:spacing w:before="0" w:after="0"/>
            </w:pPr>
            <w:r>
              <w:rPr>
                <w:sz w:val="19"/>
              </w:rPr>
              <w:t>"It is next March and the new course paths are not used. Why?" Answer: nobody told the trainers.</w:t>
            </w:r>
          </w:p>
        </w:tc>
        <w:tc>
          <w:tcPr>
            <w:tcW w:type="dxa" w:w="1155"/>
          </w:tcPr>
          <w:p>
            <w:pPr>
              <w:spacing w:before="0" w:after="0"/>
            </w:pPr>
            <w:r>
              <w:rPr>
                <w:sz w:val="19"/>
              </w:rPr>
              <w:t>Klein 2007</w:t>
            </w:r>
          </w:p>
        </w:tc>
      </w:tr>
      <w:tr>
        <w:trPr>
          <w:cantSplit/>
        </w:trPr>
        <w:tc>
          <w:tcPr>
            <w:tcW w:type="dxa" w:w="1976"/>
          </w:tcPr>
          <w:p>
            <w:pPr>
              <w:spacing w:before="0" w:after="0"/>
            </w:pPr>
            <w:r>
              <w:rPr>
                <w:b/>
                <w:sz w:val="19"/>
              </w:rPr>
              <w:t>Prioritisation matrix</w:t>
            </w:r>
          </w:p>
        </w:tc>
        <w:tc>
          <w:tcPr>
            <w:tcW w:type="dxa" w:w="4428"/>
          </w:tcPr>
          <w:p>
            <w:pPr>
              <w:spacing w:before="0" w:after="0"/>
            </w:pPr>
            <w:r>
              <w:rPr>
                <w:sz w:val="19"/>
              </w:rPr>
              <w:t>A table or chart that sets options against two or three criteria so that they can be compared side by side before choosing.</w:t>
            </w:r>
          </w:p>
        </w:tc>
        <w:tc>
          <w:tcPr>
            <w:tcW w:type="dxa" w:w="2079"/>
          </w:tcPr>
          <w:p>
            <w:pPr>
              <w:spacing w:before="0" w:after="0"/>
            </w:pPr>
            <w:r>
              <w:rPr>
                <w:sz w:val="19"/>
              </w:rPr>
              <w:t>Options in rows; user impact, effort and risk in columns.</w:t>
            </w:r>
          </w:p>
        </w:tc>
        <w:tc>
          <w:tcPr>
            <w:tcW w:type="dxa" w:w="1155"/>
          </w:tcPr>
          <w:p>
            <w:pPr>
              <w:spacing w:before="0" w:after="0"/>
            </w:pPr>
            <w:r>
              <w:rPr>
                <w:sz w:val="19"/>
              </w:rPr>
              <w:t>Gibbons 2018</w:t>
            </w:r>
          </w:p>
        </w:tc>
      </w:tr>
      <w:tr>
        <w:trPr>
          <w:cantSplit/>
        </w:trPr>
        <w:tc>
          <w:tcPr>
            <w:tcW w:type="dxa" w:w="1976"/>
          </w:tcPr>
          <w:p>
            <w:pPr>
              <w:spacing w:before="0" w:after="0"/>
            </w:pPr>
            <w:r>
              <w:rPr>
                <w:b/>
                <w:sz w:val="19"/>
              </w:rPr>
              <w:t>Progress indicator</w:t>
            </w:r>
          </w:p>
        </w:tc>
        <w:tc>
          <w:tcPr>
            <w:tcW w:type="dxa" w:w="4428"/>
          </w:tcPr>
          <w:p>
            <w:pPr>
              <w:spacing w:before="0" w:after="0"/>
            </w:pPr>
            <w:r>
              <w:rPr>
                <w:sz w:val="19"/>
              </w:rPr>
              <w:t>Something on screen that shows how far along the learner is, for example a bar and “3 of 8 lessons done”. It answers “where am I, and how much is left?”.</w:t>
            </w:r>
          </w:p>
        </w:tc>
        <w:tc>
          <w:tcPr>
            <w:tcW w:type="dxa" w:w="2079"/>
          </w:tcPr>
          <w:p>
            <w:pPr>
              <w:spacing w:before="0" w:after="0"/>
            </w:pPr>
            <w:r>
              <w:rPr>
                <w:sz w:val="19"/>
              </w:rPr>
              <w:t>—</w:t>
            </w:r>
          </w:p>
        </w:tc>
        <w:tc>
          <w:tcPr>
            <w:tcW w:type="dxa" w:w="1155"/>
          </w:tcPr>
          <w:p>
            <w:pPr>
              <w:spacing w:before="0" w:after="0"/>
            </w:pPr>
            <w:r>
              <w:rPr>
                <w:sz w:val="19"/>
              </w:rPr>
              <w:t>—</w:t>
            </w:r>
          </w:p>
        </w:tc>
      </w:tr>
      <w:tr>
        <w:trPr>
          <w:cantSplit/>
        </w:trPr>
        <w:tc>
          <w:tcPr>
            <w:tcW w:type="dxa" w:w="1976"/>
          </w:tcPr>
          <w:p>
            <w:pPr>
              <w:spacing w:before="0" w:after="0"/>
            </w:pPr>
            <w:r>
              <w:rPr>
                <w:b/>
                <w:sz w:val="19"/>
              </w:rPr>
              <w:t>Retention</w:t>
            </w:r>
          </w:p>
        </w:tc>
        <w:tc>
          <w:tcPr>
            <w:tcW w:type="dxa" w:w="4428"/>
          </w:tcPr>
          <w:p>
            <w:pPr>
              <w:spacing w:before="0" w:after="0"/>
            </w:pPr>
            <w:r>
              <w:rPr>
                <w:sz w:val="19"/>
              </w:rPr>
              <w:t>How many learners come back after the first time, for the next lesson, the next course or the next year. A platform with good retention keeps its learners.</w:t>
            </w:r>
          </w:p>
        </w:tc>
        <w:tc>
          <w:tcPr>
            <w:tcW w:type="dxa" w:w="2079"/>
          </w:tcPr>
          <w:p>
            <w:pPr>
              <w:spacing w:before="0" w:after="0"/>
            </w:pPr>
            <w:r>
              <w:rPr>
                <w:sz w:val="19"/>
              </w:rPr>
              <w:t>—</w:t>
            </w:r>
          </w:p>
        </w:tc>
        <w:tc>
          <w:tcPr>
            <w:tcW w:type="dxa" w:w="1155"/>
          </w:tcPr>
          <w:p>
            <w:pPr>
              <w:spacing w:before="0" w:after="0"/>
            </w:pPr>
            <w:r>
              <w:rPr>
                <w:sz w:val="19"/>
              </w:rPr>
              <w:t>—</w:t>
            </w:r>
          </w:p>
        </w:tc>
      </w:tr>
      <w:tr>
        <w:trPr>
          <w:cantSplit/>
        </w:trPr>
        <w:tc>
          <w:tcPr>
            <w:tcW w:type="dxa" w:w="1976"/>
          </w:tcPr>
          <w:p>
            <w:pPr>
              <w:spacing w:before="0" w:after="0"/>
            </w:pPr>
            <w:r>
              <w:rPr>
                <w:b/>
                <w:sz w:val="19"/>
              </w:rPr>
              <w:t>Roadmap</w:t>
            </w:r>
          </w:p>
        </w:tc>
        <w:tc>
          <w:tcPr>
            <w:tcW w:type="dxa" w:w="4428"/>
          </w:tcPr>
          <w:p>
            <w:pPr>
              <w:spacing w:before="0" w:after="0"/>
            </w:pPr>
            <w:r>
              <w:rPr>
                <w:sz w:val="19"/>
              </w:rPr>
              <w:t>A plan that puts decisions in order over time: what is done first, next and later, and why in that order.</w:t>
            </w:r>
          </w:p>
        </w:tc>
        <w:tc>
          <w:tcPr>
            <w:tcW w:type="dxa" w:w="2079"/>
          </w:tcPr>
          <w:p>
            <w:pPr>
              <w:spacing w:before="0" w:after="0"/>
            </w:pPr>
            <w:r>
              <w:rPr>
                <w:sz w:val="19"/>
              </w:rPr>
              <w:t>—</w:t>
            </w:r>
          </w:p>
        </w:tc>
        <w:tc>
          <w:tcPr>
            <w:tcW w:type="dxa" w:w="1155"/>
          </w:tcPr>
          <w:p>
            <w:pPr>
              <w:spacing w:before="0" w:after="0"/>
            </w:pPr>
            <w:r>
              <w:rPr>
                <w:sz w:val="19"/>
              </w:rPr>
              <w:t>—</w:t>
            </w:r>
          </w:p>
        </w:tc>
      </w:tr>
      <w:tr>
        <w:trPr>
          <w:cantSplit/>
        </w:trPr>
        <w:tc>
          <w:tcPr>
            <w:tcW w:type="dxa" w:w="1976"/>
          </w:tcPr>
          <w:p>
            <w:pPr>
              <w:spacing w:before="0" w:after="0"/>
            </w:pPr>
            <w:r>
              <w:rPr>
                <w:b/>
                <w:sz w:val="19"/>
              </w:rPr>
              <w:t>Self-directed and guided learning</w:t>
            </w:r>
          </w:p>
        </w:tc>
        <w:tc>
          <w:tcPr>
            <w:tcW w:type="dxa" w:w="4428"/>
          </w:tcPr>
          <w:p>
            <w:pPr>
              <w:spacing w:before="0" w:after="0"/>
            </w:pPr>
            <w:r>
              <w:rPr>
                <w:sz w:val="19"/>
              </w:rPr>
              <w:t>Self-directed learners study alone, at their own pace, and decide for themselves what to do next. Guided learners follow a trainer and a schedule. A platform must supply the structure and feedback a trainer would, for those who learn alone.</w:t>
            </w:r>
          </w:p>
        </w:tc>
        <w:tc>
          <w:tcPr>
            <w:tcW w:type="dxa" w:w="2079"/>
          </w:tcPr>
          <w:p>
            <w:pPr>
              <w:spacing w:before="0" w:after="0"/>
            </w:pPr>
            <w:r>
              <w:rPr>
                <w:sz w:val="19"/>
              </w:rPr>
              <w:t>—</w:t>
            </w:r>
          </w:p>
        </w:tc>
        <w:tc>
          <w:tcPr>
            <w:tcW w:type="dxa" w:w="1155"/>
          </w:tcPr>
          <w:p>
            <w:pPr>
              <w:spacing w:before="0" w:after="0"/>
            </w:pPr>
            <w:r>
              <w:rPr>
                <w:sz w:val="19"/>
              </w:rPr>
              <w:t>Knowles 1975</w:t>
            </w:r>
          </w:p>
        </w:tc>
      </w:tr>
      <w:tr>
        <w:trPr>
          <w:cantSplit/>
        </w:trPr>
        <w:tc>
          <w:tcPr>
            <w:tcW w:type="dxa" w:w="1976"/>
          </w:tcPr>
          <w:p>
            <w:pPr>
              <w:spacing w:before="0" w:after="0"/>
            </w:pPr>
            <w:r>
              <w:rPr>
                <w:b/>
                <w:sz w:val="19"/>
              </w:rPr>
              <w:t>Stakeholder</w:t>
            </w:r>
          </w:p>
        </w:tc>
        <w:tc>
          <w:tcPr>
            <w:tcW w:type="dxa" w:w="4428"/>
          </w:tcPr>
          <w:p>
            <w:pPr>
              <w:spacing w:before="0" w:after="0"/>
            </w:pPr>
            <w:r>
              <w:rPr>
                <w:sz w:val="19"/>
              </w:rPr>
              <w:t>A person or group that is affected by a decision or can influence it, such as management, trainers, learners or the customer's HR department.</w:t>
            </w:r>
          </w:p>
        </w:tc>
        <w:tc>
          <w:tcPr>
            <w:tcW w:type="dxa" w:w="2079"/>
          </w:tcPr>
          <w:p>
            <w:pPr>
              <w:spacing w:before="0" w:after="0"/>
            </w:pPr>
            <w:r>
              <w:rPr>
                <w:sz w:val="19"/>
              </w:rPr>
              <w:t>The head of HR who buys the courses for 200 employees.</w:t>
            </w:r>
          </w:p>
        </w:tc>
        <w:tc>
          <w:tcPr>
            <w:tcW w:type="dxa" w:w="1155"/>
          </w:tcPr>
          <w:p>
            <w:pPr>
              <w:spacing w:before="0" w:after="0"/>
            </w:pPr>
            <w:r>
              <w:rPr>
                <w:sz w:val="19"/>
              </w:rPr>
              <w:t>—</w:t>
            </w:r>
          </w:p>
        </w:tc>
      </w:tr>
      <w:tr>
        <w:trPr>
          <w:cantSplit/>
        </w:trPr>
        <w:tc>
          <w:tcPr>
            <w:tcW w:type="dxa" w:w="1976"/>
          </w:tcPr>
          <w:p>
            <w:pPr>
              <w:spacing w:before="0" w:after="0"/>
            </w:pPr>
            <w:r>
              <w:rPr>
                <w:b/>
                <w:sz w:val="19"/>
              </w:rPr>
              <w:t>Symptom and cause</w:t>
            </w:r>
          </w:p>
        </w:tc>
        <w:tc>
          <w:tcPr>
            <w:tcW w:type="dxa" w:w="4428"/>
          </w:tcPr>
          <w:p>
            <w:pPr>
              <w:spacing w:before="0" w:after="0"/>
            </w:pPr>
            <w:r>
              <w:rPr>
                <w:sz w:val="19"/>
              </w:rPr>
              <w:t>A symptom is what you can see or count (people leave). A cause is the reason behind it (they cannot find the next lesson). A number such as a drop-out rate shows the symptom, not the cause.</w:t>
            </w:r>
          </w:p>
        </w:tc>
        <w:tc>
          <w:tcPr>
            <w:tcW w:type="dxa" w:w="2079"/>
          </w:tcPr>
          <w:p>
            <w:pPr>
              <w:spacing w:before="0" w:after="0"/>
            </w:pPr>
            <w:r>
              <w:rPr>
                <w:sz w:val="19"/>
              </w:rPr>
              <w:t>40 of 100 learners leave is a symptom; "the course has no path" is a cause.</w:t>
            </w:r>
          </w:p>
        </w:tc>
        <w:tc>
          <w:tcPr>
            <w:tcW w:type="dxa" w:w="1155"/>
          </w:tcPr>
          <w:p>
            <w:pPr>
              <w:spacing w:before="0" w:after="0"/>
            </w:pPr>
            <w:r>
              <w:rPr>
                <w:sz w:val="19"/>
              </w:rPr>
              <w:t>—</w:t>
            </w:r>
          </w:p>
        </w:tc>
      </w:tr>
      <w:tr>
        <w:trPr>
          <w:cantSplit/>
        </w:trPr>
        <w:tc>
          <w:tcPr>
            <w:tcW w:type="dxa" w:w="1976"/>
          </w:tcPr>
          <w:p>
            <w:pPr>
              <w:spacing w:before="0" w:after="0"/>
            </w:pPr>
            <w:r>
              <w:rPr>
                <w:b/>
                <w:sz w:val="19"/>
              </w:rPr>
              <w:t>System logic</w:t>
            </w:r>
          </w:p>
        </w:tc>
        <w:tc>
          <w:tcPr>
            <w:tcW w:type="dxa" w:w="4428"/>
          </w:tcPr>
          <w:p>
            <w:pPr>
              <w:spacing w:before="0" w:after="0"/>
            </w:pPr>
            <w:r>
              <w:rPr>
                <w:sz w:val="19"/>
              </w:rPr>
              <w:t>Organising a screen the way the software is built, for example a menu that lists every feature, instead of the way the user thinks about their task.</w:t>
            </w:r>
          </w:p>
        </w:tc>
        <w:tc>
          <w:tcPr>
            <w:tcW w:type="dxa" w:w="2079"/>
          </w:tcPr>
          <w:p>
            <w:pPr>
              <w:spacing w:before="0" w:after="0"/>
            </w:pPr>
            <w:r>
              <w:rPr>
                <w:sz w:val="19"/>
              </w:rPr>
              <w:t>A menu with “Library, Catalogue, Admin, Reports” is system logic; “Continue where I stopped” is learner logic.</w:t>
            </w:r>
          </w:p>
        </w:tc>
        <w:tc>
          <w:tcPr>
            <w:tcW w:type="dxa" w:w="1155"/>
          </w:tcPr>
          <w:p>
            <w:pPr>
              <w:spacing w:before="0" w:after="0"/>
            </w:pPr>
            <w:r>
              <w:rPr>
                <w:sz w:val="19"/>
              </w:rPr>
              <w:t>—</w:t>
            </w:r>
          </w:p>
        </w:tc>
      </w:tr>
      <w:tr>
        <w:trPr>
          <w:cantSplit/>
        </w:trPr>
        <w:tc>
          <w:tcPr>
            <w:tcW w:type="dxa" w:w="1976"/>
          </w:tcPr>
          <w:p>
            <w:pPr>
              <w:spacing w:before="0" w:after="0"/>
            </w:pPr>
            <w:r>
              <w:rPr>
                <w:b/>
                <w:sz w:val="19"/>
              </w:rPr>
              <w:t>UI (user interface)</w:t>
            </w:r>
          </w:p>
        </w:tc>
        <w:tc>
          <w:tcPr>
            <w:tcW w:type="dxa" w:w="4428"/>
          </w:tcPr>
          <w:p>
            <w:pPr>
              <w:spacing w:before="0" w:after="0"/>
            </w:pPr>
            <w:r>
              <w:rPr>
                <w:sz w:val="19"/>
              </w:rPr>
              <w:t>What you see and touch on a screen: buttons, colours, text, icons, layout. It is one part of the experience, the surface.</w:t>
            </w:r>
          </w:p>
        </w:tc>
        <w:tc>
          <w:tcPr>
            <w:tcW w:type="dxa" w:w="2079"/>
          </w:tcPr>
          <w:p>
            <w:pPr>
              <w:spacing w:before="0" w:after="0"/>
            </w:pPr>
            <w:r>
              <w:rPr>
                <w:sz w:val="19"/>
              </w:rPr>
              <w:t>Changing a button from grey to blue is a UI change.</w:t>
            </w:r>
          </w:p>
        </w:tc>
        <w:tc>
          <w:tcPr>
            <w:tcW w:type="dxa" w:w="1155"/>
          </w:tcPr>
          <w:p>
            <w:pPr>
              <w:spacing w:before="0" w:after="0"/>
            </w:pPr>
            <w:r>
              <w:rPr>
                <w:sz w:val="19"/>
              </w:rPr>
              <w:t>Norman &amp; Nielsen</w:t>
            </w:r>
          </w:p>
        </w:tc>
      </w:tr>
      <w:tr>
        <w:trPr>
          <w:cantSplit/>
        </w:trPr>
        <w:tc>
          <w:tcPr>
            <w:tcW w:type="dxa" w:w="1976"/>
          </w:tcPr>
          <w:p>
            <w:pPr>
              <w:spacing w:before="0" w:after="0"/>
            </w:pPr>
            <w:r>
              <w:rPr>
                <w:b/>
                <w:sz w:val="19"/>
              </w:rPr>
              <w:t>Usability</w:t>
            </w:r>
          </w:p>
        </w:tc>
        <w:tc>
          <w:tcPr>
            <w:tcW w:type="dxa" w:w="4428"/>
          </w:tcPr>
          <w:p>
            <w:pPr>
              <w:spacing w:before="0" w:after="0"/>
            </w:pPr>
            <w:r>
              <w:rPr>
                <w:sz w:val="19"/>
              </w:rPr>
              <w:t>How well a system lets users reach their goals with little effort and few errors, and how satisfied they are. It is one part of the whole experience.</w:t>
            </w:r>
          </w:p>
        </w:tc>
        <w:tc>
          <w:tcPr>
            <w:tcW w:type="dxa" w:w="2079"/>
          </w:tcPr>
          <w:p>
            <w:pPr>
              <w:spacing w:before="0" w:after="0"/>
            </w:pPr>
            <w:r>
              <w:rPr>
                <w:sz w:val="19"/>
              </w:rPr>
              <w:t>—</w:t>
            </w:r>
          </w:p>
        </w:tc>
        <w:tc>
          <w:tcPr>
            <w:tcW w:type="dxa" w:w="1155"/>
          </w:tcPr>
          <w:p>
            <w:pPr>
              <w:spacing w:before="0" w:after="0"/>
            </w:pPr>
            <w:r>
              <w:rPr>
                <w:sz w:val="19"/>
              </w:rPr>
              <w:t>ISO 9241-11</w:t>
            </w:r>
          </w:p>
        </w:tc>
      </w:tr>
      <w:tr>
        <w:trPr>
          <w:cantSplit/>
        </w:trPr>
        <w:tc>
          <w:tcPr>
            <w:tcW w:type="dxa" w:w="1976"/>
          </w:tcPr>
          <w:p>
            <w:pPr>
              <w:spacing w:before="0" w:after="0"/>
            </w:pPr>
            <w:r>
              <w:rPr>
                <w:b/>
                <w:sz w:val="19"/>
              </w:rPr>
              <w:t>Usability test</w:t>
            </w:r>
          </w:p>
        </w:tc>
        <w:tc>
          <w:tcPr>
            <w:tcW w:type="dxa" w:w="4428"/>
          </w:tcPr>
          <w:p>
            <w:pPr>
              <w:spacing w:before="0" w:after="0"/>
            </w:pPr>
            <w:r>
              <w:rPr>
                <w:sz w:val="19"/>
              </w:rPr>
              <w:t>You watch real users try a task on the product while they think aloud, and note where they hesitate or fail. Five to ten people already show the main problems.</w:t>
            </w:r>
          </w:p>
        </w:tc>
        <w:tc>
          <w:tcPr>
            <w:tcW w:type="dxa" w:w="2079"/>
          </w:tcPr>
          <w:p>
            <w:pPr>
              <w:spacing w:before="0" w:after="0"/>
            </w:pPr>
            <w:r>
              <w:rPr>
                <w:sz w:val="19"/>
              </w:rPr>
              <w:t>—</w:t>
            </w:r>
          </w:p>
        </w:tc>
        <w:tc>
          <w:tcPr>
            <w:tcW w:type="dxa" w:w="1155"/>
          </w:tcPr>
          <w:p>
            <w:pPr>
              <w:spacing w:before="0" w:after="0"/>
            </w:pPr>
            <w:r>
              <w:rPr>
                <w:sz w:val="19"/>
              </w:rPr>
              <w:t>—</w:t>
            </w:r>
          </w:p>
        </w:tc>
      </w:tr>
      <w:tr>
        <w:trPr>
          <w:cantSplit/>
        </w:trPr>
        <w:tc>
          <w:tcPr>
            <w:tcW w:type="dxa" w:w="1976"/>
          </w:tcPr>
          <w:p>
            <w:pPr>
              <w:spacing w:before="0" w:after="0"/>
            </w:pPr>
            <w:r>
              <w:rPr>
                <w:b/>
                <w:sz w:val="19"/>
              </w:rPr>
              <w:t>User impact</w:t>
            </w:r>
          </w:p>
        </w:tc>
        <w:tc>
          <w:tcPr>
            <w:tcW w:type="dxa" w:w="4428"/>
          </w:tcPr>
          <w:p>
            <w:pPr>
              <w:spacing w:before="0" w:after="0"/>
            </w:pPr>
            <w:r>
              <w:rPr>
                <w:sz w:val="19"/>
              </w:rPr>
              <w:t>How much a measure helps the users with the problems they actually have: getting unstuck, understanding, carrying on. A measure that answers none of the findings has little user impact, however good it sounds.</w:t>
            </w:r>
          </w:p>
        </w:tc>
        <w:tc>
          <w:tcPr>
            <w:tcW w:type="dxa" w:w="2079"/>
          </w:tcPr>
          <w:p>
            <w:pPr>
              <w:spacing w:before="0" w:after="0"/>
            </w:pPr>
            <w:r>
              <w:rPr>
                <w:sz w:val="19"/>
              </w:rPr>
              <w:t>—</w:t>
            </w:r>
          </w:p>
        </w:tc>
        <w:tc>
          <w:tcPr>
            <w:tcW w:type="dxa" w:w="1155"/>
          </w:tcPr>
          <w:p>
            <w:pPr>
              <w:spacing w:before="0" w:after="0"/>
            </w:pPr>
            <w:r>
              <w:rPr>
                <w:sz w:val="19"/>
              </w:rPr>
              <w:t>—</w:t>
            </w:r>
          </w:p>
        </w:tc>
      </w:tr>
      <w:tr>
        <w:trPr>
          <w:cantSplit/>
        </w:trPr>
        <w:tc>
          <w:tcPr>
            <w:tcW w:type="dxa" w:w="1976"/>
          </w:tcPr>
          <w:p>
            <w:pPr>
              <w:spacing w:before="0" w:after="0"/>
            </w:pPr>
            <w:r>
              <w:rPr>
                <w:b/>
                <w:sz w:val="19"/>
              </w:rPr>
              <w:t>User-centred design</w:t>
            </w:r>
          </w:p>
        </w:tc>
        <w:tc>
          <w:tcPr>
            <w:tcW w:type="dxa" w:w="4428"/>
          </w:tcPr>
          <w:p>
            <w:pPr>
              <w:spacing w:before="0" w:after="0"/>
            </w:pPr>
            <w:r>
              <w:rPr>
                <w:sz w:val="19"/>
              </w:rPr>
              <w:t>Designing from what the users want to do and need, not from what the software can do. You start with the people, their tasks and their situation, and check your design with them.</w:t>
            </w:r>
          </w:p>
        </w:tc>
        <w:tc>
          <w:tcPr>
            <w:tcW w:type="dxa" w:w="2079"/>
          </w:tcPr>
          <w:p>
            <w:pPr>
              <w:spacing w:before="0" w:after="0"/>
            </w:pPr>
            <w:r>
              <w:rPr>
                <w:sz w:val="19"/>
              </w:rPr>
              <w:t>Instead of asking “which features do we have?”, you ask “what does a learner want to do when they open the app?”.</w:t>
            </w:r>
          </w:p>
        </w:tc>
        <w:tc>
          <w:tcPr>
            <w:tcW w:type="dxa" w:w="1155"/>
          </w:tcPr>
          <w:p>
            <w:pPr>
              <w:spacing w:before="0" w:after="0"/>
            </w:pPr>
            <w:r>
              <w:rPr>
                <w:sz w:val="19"/>
              </w:rPr>
              <w:t>ISO 9241-210</w:t>
            </w:r>
          </w:p>
        </w:tc>
      </w:tr>
      <w:tr>
        <w:trPr>
          <w:cantSplit/>
        </w:trPr>
        <w:tc>
          <w:tcPr>
            <w:tcW w:type="dxa" w:w="1976"/>
          </w:tcPr>
          <w:p>
            <w:pPr>
              <w:spacing w:before="0" w:after="0"/>
            </w:pPr>
            <w:r>
              <w:rPr>
                <w:b/>
                <w:sz w:val="19"/>
              </w:rPr>
              <w:t>UX (user experience)</w:t>
            </w:r>
          </w:p>
        </w:tc>
        <w:tc>
          <w:tcPr>
            <w:tcW w:type="dxa" w:w="4428"/>
          </w:tcPr>
          <w:p>
            <w:pPr>
              <w:spacing w:before="0" w:after="0"/>
            </w:pPr>
            <w:r>
              <w:rPr>
                <w:sz w:val="19"/>
              </w:rPr>
              <w:t>How using something feels from the first click to the last: finding it, understanding it, getting done what you came for. It is the whole experience, not only the screens.</w:t>
            </w:r>
          </w:p>
        </w:tc>
        <w:tc>
          <w:tcPr>
            <w:tcW w:type="dxa" w:w="2079"/>
          </w:tcPr>
          <w:p>
            <w:pPr>
              <w:spacing w:before="0" w:after="0"/>
            </w:pPr>
            <w:r>
              <w:rPr>
                <w:sz w:val="19"/>
              </w:rPr>
              <w:t>A learner who finds the next lesson at once, understands it and sees that they are nearly done has a good UX.</w:t>
            </w:r>
          </w:p>
        </w:tc>
        <w:tc>
          <w:tcPr>
            <w:tcW w:type="dxa" w:w="1155"/>
          </w:tcPr>
          <w:p>
            <w:pPr>
              <w:spacing w:before="0" w:after="0"/>
            </w:pPr>
            <w:r>
              <w:rPr>
                <w:sz w:val="19"/>
              </w:rPr>
              <w:t>Norman &amp; Nielsen</w:t>
            </w:r>
          </w:p>
        </w:tc>
      </w:tr>
      <w:tr>
        <w:trPr>
          <w:cantSplit/>
        </w:trPr>
        <w:tc>
          <w:tcPr>
            <w:tcW w:type="dxa" w:w="1976"/>
          </w:tcPr>
          <w:p>
            <w:pPr>
              <w:spacing w:before="0" w:after="0"/>
            </w:pPr>
            <w:r>
              <w:rPr>
                <w:b/>
                <w:sz w:val="19"/>
              </w:rPr>
              <w:t>Wireframe</w:t>
            </w:r>
          </w:p>
        </w:tc>
        <w:tc>
          <w:tcPr>
            <w:tcW w:type="dxa" w:w="4428"/>
          </w:tcPr>
          <w:p>
            <w:pPr>
              <w:spacing w:before="0" w:after="0"/>
            </w:pPr>
            <w:r>
              <w:rPr>
                <w:sz w:val="19"/>
              </w:rPr>
              <w:t>A plain drawing of a screen's layout without colours or pictures. It shows what is on the screen and where, so that structure can be discussed before design.</w:t>
            </w:r>
          </w:p>
        </w:tc>
        <w:tc>
          <w:tcPr>
            <w:tcW w:type="dxa" w:w="2079"/>
          </w:tcPr>
          <w:p>
            <w:pPr>
              <w:spacing w:before="0" w:after="0"/>
            </w:pPr>
            <w:r>
              <w:rPr>
                <w:sz w:val="19"/>
              </w:rPr>
              <w:t>A grey box for the menu, a grey box for the lesson text, a grey box for the Next button.</w:t>
            </w:r>
          </w:p>
        </w:tc>
        <w:tc>
          <w:tcPr>
            <w:tcW w:type="dxa" w:w="1155"/>
          </w:tcPr>
          <w:p>
            <w:pPr>
              <w:spacing w:before="0" w:after="0"/>
            </w:pPr>
            <w:r>
              <w:rPr>
                <w:sz w:val="19"/>
              </w:rPr>
              <w:t>—</w:t>
            </w:r>
          </w:p>
        </w:tc>
      </w:tr>
    </w:tbl>
    <w:p>
      <w:pPr>
        <w:spacing w:before="0" w:after="80"/>
      </w:pPr>
    </w:p>
    <w:p>
      <w:r>
        <w:br w:type="page"/>
      </w:r>
    </w:p>
    <w:p>
      <w:pPr>
        <w:pStyle w:val="Heading1"/>
        <w:pBdr>
          <w:bottom w:val="single" w:sz="8" w:space="2" w:color="17212E"/>
        </w:pBdr>
      </w:pPr>
      <w:r>
        <w:rPr/>
        <w:t>The playground: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30"/>
        <w:gridCol w:w="6608"/>
      </w:tblGrid>
      <w:tr>
        <w:trPr>
          <w:cantSplit/>
          <w:tblHeader/>
        </w:trPr>
        <w:tc>
          <w:tcPr>
            <w:tcW w:type="dxa" w:w="3030"/>
            <w:shd w:val="clear" w:color="auto" w:fill="E6ECF4"/>
          </w:tcPr>
          <w:p>
            <w:pPr>
              <w:spacing w:before="0" w:after="0"/>
            </w:pPr>
            <w:r>
              <w:rPr>
                <w:b/>
                <w:sz w:val="20"/>
              </w:rPr>
              <w:t>What</w:t>
            </w:r>
          </w:p>
        </w:tc>
        <w:tc>
          <w:tcPr>
            <w:tcW w:type="dxa" w:w="6608"/>
            <w:shd w:val="clear" w:color="auto" w:fill="E6ECF4"/>
          </w:tcPr>
          <w:p>
            <w:pPr>
              <w:spacing w:before="0" w:after="0"/>
            </w:pPr>
            <w:r>
              <w:rPr>
                <w:b/>
                <w:sz w:val="20"/>
              </w:rPr>
              <w:t>Address</w:t>
            </w:r>
          </w:p>
        </w:tc>
      </w:tr>
      <w:tr>
        <w:trPr>
          <w:cantSplit/>
        </w:trPr>
        <w:tc>
          <w:tcPr>
            <w:tcW w:type="dxa" w:w="3030"/>
          </w:tcPr>
          <w:p>
            <w:pPr>
              <w:spacing w:before="0" w:after="0"/>
            </w:pPr>
            <w:r>
              <w:rPr>
                <w:sz w:val="20"/>
              </w:rPr>
              <w:t>Course website (playground)</w:t>
            </w:r>
          </w:p>
        </w:tc>
        <w:tc>
          <w:tcPr>
            <w:tcW w:type="dxa" w:w="6608"/>
          </w:tcPr>
          <w:p>
            <w:pPr>
              <w:spacing w:before="0" w:after="0"/>
            </w:pPr>
            <w:r>
              <w:rPr>
                <w:sz w:val="20"/>
              </w:rPr>
              <w:t>https://aion-dl.vercel.app/</w:t>
            </w:r>
          </w:p>
        </w:tc>
      </w:tr>
      <w:tr>
        <w:trPr>
          <w:cantSplit/>
        </w:trPr>
        <w:tc>
          <w:tcPr>
            <w:tcW w:type="dxa" w:w="3030"/>
          </w:tcPr>
          <w:p>
            <w:pPr>
              <w:spacing w:before="0" w:after="0"/>
            </w:pPr>
            <w:r>
              <w:rPr>
                <w:sz w:val="20"/>
              </w:rPr>
              <w:t>Day 1</w:t>
            </w:r>
          </w:p>
        </w:tc>
        <w:tc>
          <w:tcPr>
            <w:tcW w:type="dxa" w:w="6608"/>
          </w:tcPr>
          <w:p>
            <w:pPr>
              <w:spacing w:before="0" w:after="0"/>
            </w:pPr>
            <w:r>
              <w:rPr>
                <w:sz w:val="20"/>
              </w:rPr>
              <w:t>https://aion-dl.vercel.app/day/1/</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https://aion-dl.vercel.app/day/6/.</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Habmann AufstiegsAkademie · Day 1 · Materi · v1.1 · 14.10.2026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UX and UI for learning platforms</dc:title>
  <dc:subject>DAY 1 · MATERI A AND MATERI B · ROUTES 1 AND 2 · LEVELS 1 TO 3</dc:subject>
  <dc:creator>AION Digital Learning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