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 · TRAINER DOCUMENT · COACHING, FEEDBACK AND MODEL SOLUTIONS · NOT FOR PARTICIPANTS</w:t>
      </w:r>
    </w:p>
    <w:p>
      <w:pPr>
        <w:spacing w:before="0" w:after="80" w:line="240" w:lineRule="auto"/>
      </w:pPr>
      <w:r>
        <w:rPr>
          <w:b/>
          <w:sz w:val="52"/>
        </w:rPr>
        <w:t>SkillUp and LearnFast: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 · Module 1 (day 1 of 2): Fundamentals of UX/UI design for digital learning platforms and user-centred design of learning interfaces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SkillUp GmbH, an EdTech company with the learning platform LearnFast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From Interface to Systems Thinking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Management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1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7"/>
        <w:gridCol w:w="597"/>
        <w:gridCol w:w="1800"/>
        <w:gridCol w:w="3292"/>
        <w:gridCol w:w="1503"/>
        <w:gridCol w:w="1849"/>
      </w:tblGrid>
      <w:tr>
        <w:trPr>
          <w:cantSplit/>
          <w:tblHeader/>
        </w:trPr>
        <w:tc>
          <w:tcPr>
            <w:tcW w:type="dxa" w:w="597"/>
            <w:shd w:val="clear" w:color="auto" w:fill="E6ECF4"/>
          </w:tcPr>
          <w:p>
            <w:pPr>
              <w:spacing w:before="0" w:after="0"/>
            </w:pPr>
            <w:r>
              <w:rPr>
                <w:b/>
                <w:sz w:val="19"/>
              </w:rPr>
              <w:t>UE</w:t>
            </w:r>
          </w:p>
        </w:tc>
        <w:tc>
          <w:tcPr>
            <w:tcW w:type="dxa" w:w="597"/>
            <w:shd w:val="clear" w:color="auto" w:fill="E6ECF4"/>
          </w:tcPr>
          <w:p>
            <w:pPr>
              <w:spacing w:before="0" w:after="0"/>
            </w:pPr>
            <w:r>
              <w:rPr>
                <w:b/>
                <w:sz w:val="19"/>
              </w:rPr>
              <w:t>Min</w:t>
            </w:r>
          </w:p>
        </w:tc>
        <w:tc>
          <w:tcPr>
            <w:tcW w:type="dxa" w:w="1800"/>
            <w:shd w:val="clear" w:color="auto" w:fill="E6ECF4"/>
          </w:tcPr>
          <w:p>
            <w:pPr>
              <w:spacing w:before="0" w:after="0"/>
            </w:pPr>
            <w:r>
              <w:rPr>
                <w:b/>
                <w:sz w:val="19"/>
              </w:rPr>
              <w:t>Plan item</w:t>
            </w:r>
          </w:p>
        </w:tc>
        <w:tc>
          <w:tcPr>
            <w:tcW w:type="dxa" w:w="3292"/>
            <w:shd w:val="clear" w:color="auto" w:fill="E6ECF4"/>
          </w:tcPr>
          <w:p>
            <w:pPr>
              <w:spacing w:before="0" w:after="0"/>
            </w:pPr>
            <w:r>
              <w:rPr>
                <w:b/>
                <w:sz w:val="19"/>
              </w:rPr>
              <w:t>What happens</w:t>
            </w:r>
          </w:p>
        </w:tc>
        <w:tc>
          <w:tcPr>
            <w:tcW w:type="dxa" w:w="1503"/>
            <w:shd w:val="clear" w:color="auto" w:fill="E6ECF4"/>
          </w:tcPr>
          <w:p>
            <w:pPr>
              <w:spacing w:before="0" w:after="0"/>
            </w:pPr>
            <w:r>
              <w:rPr>
                <w:b/>
                <w:sz w:val="19"/>
              </w:rPr>
              <w:t>Material</w:t>
            </w:r>
          </w:p>
        </w:tc>
        <w:tc>
          <w:tcPr>
            <w:tcW w:type="dxa" w:w="1849"/>
            <w:shd w:val="clear" w:color="auto" w:fill="E6ECF4"/>
          </w:tcPr>
          <w:p>
            <w:pPr>
              <w:spacing w:before="0" w:after="0"/>
            </w:pPr>
            <w:r>
              <w:rPr>
                <w:b/>
                <w:sz w:val="19"/>
              </w:rPr>
              <w:t>Format</w:t>
            </w:r>
          </w:p>
        </w:tc>
      </w:tr>
      <w:tr>
        <w:trPr>
          <w:cantSplit/>
        </w:trPr>
        <w:tc>
          <w:tcPr>
            <w:tcW w:type="dxa" w:w="597"/>
          </w:tcPr>
          <w:p>
            <w:pPr>
              <w:spacing w:before="0" w:after="0"/>
            </w:pPr>
            <w:r>
              <w:rPr>
                <w:b/>
                <w:sz w:val="19"/>
              </w:rPr>
              <w:t>1</w:t>
            </w:r>
          </w:p>
        </w:tc>
        <w:tc>
          <w:tcPr>
            <w:tcW w:type="dxa" w:w="597"/>
          </w:tcPr>
          <w:p>
            <w:pPr>
              <w:spacing w:before="0" w:after="0"/>
            </w:pPr>
            <w:r>
              <w:rPr>
                <w:sz w:val="19"/>
              </w:rPr>
              <w:t>45</w:t>
            </w:r>
          </w:p>
        </w:tc>
        <w:tc>
          <w:tcPr>
            <w:tcW w:type="dxa" w:w="1800"/>
          </w:tcPr>
          <w:p>
            <w:pPr>
              <w:spacing w:before="0" w:after="0"/>
            </w:pPr>
            <w:r>
              <w:rPr>
                <w:sz w:val="19"/>
              </w:rPr>
              <w:t>Knowledge transfer · Level 1</w:t>
            </w:r>
          </w:p>
        </w:tc>
        <w:tc>
          <w:tcPr>
            <w:tcW w:type="dxa" w:w="3292"/>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3"/>
          </w:tcPr>
          <w:p>
            <w:pPr>
              <w:spacing w:before="0" w:after="0"/>
            </w:pPr>
            <w:r>
              <w:rPr>
                <w:sz w:val="19"/>
              </w:rPr>
              <w:t>Materi A (Route 1)</w:t>
            </w:r>
          </w:p>
        </w:tc>
        <w:tc>
          <w:tcPr>
            <w:tcW w:type="dxa" w:w="1849"/>
          </w:tcPr>
          <w:p>
            <w:pPr>
              <w:spacing w:before="0" w:after="0"/>
            </w:pPr>
            <w:r>
              <w:rPr>
                <w:sz w:val="19"/>
              </w:rPr>
              <w:t>Presentation + Handout</w:t>
            </w:r>
          </w:p>
        </w:tc>
      </w:tr>
      <w:tr>
        <w:trPr>
          <w:cantSplit/>
        </w:trPr>
        <w:tc>
          <w:tcPr>
            <w:tcW w:type="dxa" w:w="597"/>
          </w:tcPr>
          <w:p>
            <w:pPr>
              <w:spacing w:before="0" w:after="0"/>
            </w:pPr>
            <w:r>
              <w:rPr>
                <w:b/>
                <w:sz w:val="19"/>
              </w:rPr>
              <w:t>2</w:t>
            </w:r>
          </w:p>
        </w:tc>
        <w:tc>
          <w:tcPr>
            <w:tcW w:type="dxa" w:w="597"/>
          </w:tcPr>
          <w:p>
            <w:pPr>
              <w:spacing w:before="0" w:after="0"/>
            </w:pPr>
            <w:r>
              <w:rPr>
                <w:sz w:val="19"/>
              </w:rPr>
              <w:t>45</w:t>
            </w:r>
          </w:p>
        </w:tc>
        <w:tc>
          <w:tcPr>
            <w:tcW w:type="dxa" w:w="1800"/>
          </w:tcPr>
          <w:p>
            <w:pPr>
              <w:spacing w:before="0" w:after="0"/>
            </w:pPr>
            <w:r>
              <w:rPr>
                <w:sz w:val="19"/>
              </w:rPr>
              <w:t>Level 1 · Task 1</w:t>
            </w:r>
          </w:p>
        </w:tc>
        <w:tc>
          <w:tcPr>
            <w:tcW w:type="dxa" w:w="3292"/>
          </w:tcPr>
          <w:p>
            <w:pPr>
              <w:spacing w:before="0" w:after="0"/>
            </w:pPr>
            <w:r>
              <w:rPr>
                <w:sz w:val="19"/>
              </w:rPr>
              <w:t>Individual work on Block 1.1 (Core, about 13 min). Pairs then compare their results and the trainer collects open questions.</w:t>
            </w:r>
          </w:p>
        </w:tc>
        <w:tc>
          <w:tcPr>
            <w:tcW w:type="dxa" w:w="1503"/>
          </w:tcPr>
          <w:p>
            <w:pPr>
              <w:spacing w:before="0" w:after="0"/>
            </w:pPr>
            <w:r>
              <w:rPr>
                <w:sz w:val="19"/>
              </w:rPr>
              <w:t>Task 1 · Part 1 · Block 1.1</w:t>
            </w:r>
          </w:p>
        </w:tc>
        <w:tc>
          <w:tcPr>
            <w:tcW w:type="dxa" w:w="1849"/>
          </w:tcPr>
          <w:p>
            <w:pPr>
              <w:spacing w:before="0" w:after="0"/>
            </w:pPr>
            <w:r>
              <w:rPr>
                <w:sz w:val="19"/>
              </w:rPr>
              <w:t>Handout (or on the playground)</w:t>
            </w:r>
          </w:p>
        </w:tc>
      </w:tr>
      <w:tr>
        <w:trPr>
          <w:cantSplit/>
        </w:trPr>
        <w:tc>
          <w:tcPr>
            <w:tcW w:type="dxa" w:w="597"/>
          </w:tcPr>
          <w:p>
            <w:pPr>
              <w:spacing w:before="0" w:after="0"/>
            </w:pPr>
            <w:r>
              <w:rPr>
                <w:b/>
                <w:sz w:val="19"/>
              </w:rPr>
              <w:t>3</w:t>
            </w:r>
          </w:p>
        </w:tc>
        <w:tc>
          <w:tcPr>
            <w:tcW w:type="dxa" w:w="597"/>
          </w:tcPr>
          <w:p>
            <w:pPr>
              <w:spacing w:before="0" w:after="0"/>
            </w:pPr>
            <w:r>
              <w:rPr>
                <w:sz w:val="19"/>
              </w:rPr>
              <w:t>45</w:t>
            </w:r>
          </w:p>
        </w:tc>
        <w:tc>
          <w:tcPr>
            <w:tcW w:type="dxa" w:w="1800"/>
          </w:tcPr>
          <w:p>
            <w:pPr>
              <w:spacing w:before="0" w:after="0"/>
            </w:pPr>
            <w:r>
              <w:rPr>
                <w:sz w:val="19"/>
              </w:rPr>
              <w:t>Level 1 · Task 2</w:t>
            </w:r>
          </w:p>
        </w:tc>
        <w:tc>
          <w:tcPr>
            <w:tcW w:type="dxa" w:w="3292"/>
          </w:tcPr>
          <w:p>
            <w:pPr>
              <w:spacing w:before="0" w:after="0"/>
            </w:pPr>
            <w:r>
              <w:rPr>
                <w:sz w:val="19"/>
              </w:rPr>
              <w:t>Participants rate the three measures on user impact, effort and risk and say what information is missing: the first part of Block 2.2 (Core, about 17 min). The block is finished in UE5–6.</w:t>
            </w:r>
          </w:p>
        </w:tc>
        <w:tc>
          <w:tcPr>
            <w:tcW w:type="dxa" w:w="1503"/>
          </w:tcPr>
          <w:p>
            <w:pPr>
              <w:spacing w:before="0" w:after="0"/>
            </w:pPr>
            <w:r>
              <w:rPr>
                <w:sz w:val="19"/>
              </w:rPr>
              <w:t>Task 1 · Part 2 · Block 2.2</w:t>
            </w:r>
          </w:p>
        </w:tc>
        <w:tc>
          <w:tcPr>
            <w:tcW w:type="dxa" w:w="1849"/>
          </w:tcPr>
          <w:p>
            <w:pPr>
              <w:spacing w:before="0" w:after="0"/>
            </w:pPr>
            <w:r>
              <w:rPr>
                <w:sz w:val="19"/>
              </w:rPr>
              <w:t>Handout (or on the playground)</w:t>
            </w:r>
          </w:p>
        </w:tc>
      </w:tr>
      <w:tr>
        <w:trPr>
          <w:cantSplit/>
        </w:trPr>
        <w:tc>
          <w:tcPr>
            <w:tcW w:type="dxa" w:w="597"/>
          </w:tcPr>
          <w:p>
            <w:pPr>
              <w:spacing w:before="0" w:after="0"/>
            </w:pPr>
            <w:r>
              <w:rPr>
                <w:b/>
                <w:sz w:val="19"/>
              </w:rPr>
              <w:t>4</w:t>
            </w:r>
          </w:p>
        </w:tc>
        <w:tc>
          <w:tcPr>
            <w:tcW w:type="dxa" w:w="597"/>
          </w:tcPr>
          <w:p>
            <w:pPr>
              <w:spacing w:before="0" w:after="0"/>
            </w:pPr>
            <w:r>
              <w:rPr>
                <w:sz w:val="19"/>
              </w:rPr>
              <w:t>45</w:t>
            </w:r>
          </w:p>
        </w:tc>
        <w:tc>
          <w:tcPr>
            <w:tcW w:type="dxa" w:w="1800"/>
          </w:tcPr>
          <w:p>
            <w:pPr>
              <w:spacing w:before="0" w:after="0"/>
            </w:pPr>
            <w:r>
              <w:rPr>
                <w:sz w:val="19"/>
              </w:rPr>
              <w:t>Coaching · transition from Level 1 to Level 2</w:t>
            </w:r>
          </w:p>
        </w:tc>
        <w:tc>
          <w:tcPr>
            <w:tcW w:type="dxa" w:w="3292"/>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3"/>
          </w:tcPr>
          <w:p>
            <w:pPr>
              <w:spacing w:before="0" w:after="0"/>
            </w:pPr>
            <w:r>
              <w:rPr>
                <w:sz w:val="19"/>
              </w:rPr>
              <w:t>Task 1 · Block 1.3</w:t>
            </w:r>
            <w:r>
              <w:br/>
            </w:r>
            <w:r>
              <w:rPr>
                <w:sz w:val="19"/>
              </w:rPr>
              <w:t>Trainer document, section Coaching</w:t>
            </w:r>
          </w:p>
        </w:tc>
        <w:tc>
          <w:tcPr>
            <w:tcW w:type="dxa" w:w="1849"/>
          </w:tcPr>
          <w:p>
            <w:pPr>
              <w:spacing w:before="0" w:after="0"/>
            </w:pPr>
            <w:r>
              <w:rPr>
                <w:sz w:val="19"/>
              </w:rPr>
              <w:t>Trainer only + Handout</w:t>
            </w:r>
          </w:p>
        </w:tc>
      </w:tr>
      <w:tr>
        <w:trPr>
          <w:cantSplit/>
        </w:trPr>
        <w:tc>
          <w:tcPr>
            <w:tcW w:type="dxa" w:w="597"/>
          </w:tcPr>
          <w:p>
            <w:pPr>
              <w:spacing w:before="0" w:after="0"/>
            </w:pPr>
            <w:r>
              <w:rPr>
                <w:b/>
                <w:sz w:val="19"/>
              </w:rPr>
              <w:t>5–6</w:t>
            </w:r>
          </w:p>
        </w:tc>
        <w:tc>
          <w:tcPr>
            <w:tcW w:type="dxa" w:w="597"/>
          </w:tcPr>
          <w:p>
            <w:pPr>
              <w:spacing w:before="0" w:after="0"/>
            </w:pPr>
            <w:r>
              <w:rPr>
                <w:sz w:val="19"/>
              </w:rPr>
              <w:t>90</w:t>
            </w:r>
          </w:p>
        </w:tc>
        <w:tc>
          <w:tcPr>
            <w:tcW w:type="dxa" w:w="1800"/>
          </w:tcPr>
          <w:p>
            <w:pPr>
              <w:spacing w:before="0" w:after="0"/>
            </w:pPr>
            <w:r>
              <w:rPr>
                <w:sz w:val="19"/>
              </w:rPr>
              <w:t>Level 2 · Case study SkillUp (</w:t>
            </w:r>
            <w:r>
              <w:rPr>
                <w:b/>
                <w:sz w:val="19"/>
              </w:rPr>
              <w:t>2 UE</w:t>
            </w:r>
            <w:r>
              <w:rPr>
                <w:sz w:val="19"/>
              </w:rPr>
              <w:t>) incl. model solution</w:t>
            </w:r>
          </w:p>
        </w:tc>
        <w:tc>
          <w:tcPr>
            <w:tcW w:type="dxa" w:w="3292"/>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3"/>
          </w:tcPr>
          <w:p>
            <w:pPr>
              <w:spacing w:before="0" w:after="0"/>
            </w:pPr>
            <w:r>
              <w:rPr>
                <w:sz w:val="19"/>
              </w:rPr>
              <w:t>Task 1 · Part 2 · Blocks 2.1, 2.2</w:t>
            </w:r>
            <w:r>
              <w:br/>
            </w:r>
            <w:r>
              <w:rPr>
                <w:sz w:val="19"/>
              </w:rPr>
              <w:t>Trainer document, section Case study</w:t>
            </w:r>
          </w:p>
        </w:tc>
        <w:tc>
          <w:tcPr>
            <w:tcW w:type="dxa" w:w="1849"/>
          </w:tcPr>
          <w:p>
            <w:pPr>
              <w:spacing w:before="0" w:after="0"/>
            </w:pPr>
            <w:r>
              <w:rPr>
                <w:sz w:val="19"/>
              </w:rPr>
              <w:t>Handout; model solution shown after the work</w:t>
            </w:r>
          </w:p>
        </w:tc>
      </w:tr>
      <w:tr>
        <w:trPr>
          <w:cantSplit/>
        </w:trPr>
        <w:tc>
          <w:tcPr>
            <w:tcW w:type="dxa" w:w="597"/>
          </w:tcPr>
          <w:p>
            <w:pPr>
              <w:spacing w:before="0" w:after="0"/>
            </w:pPr>
            <w:r>
              <w:rPr>
                <w:b/>
                <w:sz w:val="19"/>
              </w:rPr>
              <w:t>7</w:t>
            </w:r>
          </w:p>
        </w:tc>
        <w:tc>
          <w:tcPr>
            <w:tcW w:type="dxa" w:w="597"/>
          </w:tcPr>
          <w:p>
            <w:pPr>
              <w:spacing w:before="0" w:after="0"/>
            </w:pPr>
            <w:r>
              <w:rPr>
                <w:sz w:val="19"/>
              </w:rPr>
              <w:t>45</w:t>
            </w:r>
          </w:p>
        </w:tc>
        <w:tc>
          <w:tcPr>
            <w:tcW w:type="dxa" w:w="1800"/>
          </w:tcPr>
          <w:p>
            <w:pPr>
              <w:spacing w:before="0" w:after="0"/>
            </w:pPr>
            <w:r>
              <w:rPr>
                <w:sz w:val="19"/>
              </w:rPr>
              <w:t>Level 2 + 3 · Feedback round with a management perspective</w:t>
            </w:r>
          </w:p>
        </w:tc>
        <w:tc>
          <w:tcPr>
            <w:tcW w:type="dxa" w:w="3292"/>
          </w:tcPr>
          <w:p>
            <w:pPr>
              <w:spacing w:before="0" w:after="0"/>
            </w:pPr>
            <w:r>
              <w:rPr>
                <w:sz w:val="19"/>
              </w:rPr>
              <w:t>Groups present their reasoning, not only their result. The trainer asks the day's Level 3 input questions and leads the discussion.</w:t>
            </w:r>
          </w:p>
        </w:tc>
        <w:tc>
          <w:tcPr>
            <w:tcW w:type="dxa" w:w="1503"/>
          </w:tcPr>
          <w:p>
            <w:pPr>
              <w:spacing w:before="0" w:after="0"/>
            </w:pPr>
            <w:r>
              <w:rPr>
                <w:sz w:val="19"/>
              </w:rPr>
              <w:t>Trainer document, section Feedback round</w:t>
            </w:r>
          </w:p>
        </w:tc>
        <w:tc>
          <w:tcPr>
            <w:tcW w:type="dxa" w:w="1849"/>
          </w:tcPr>
          <w:p>
            <w:pPr>
              <w:spacing w:before="0" w:after="0"/>
            </w:pPr>
            <w:r>
              <w:rPr>
                <w:sz w:val="19"/>
              </w:rPr>
              <w:t>Presentation by the groups; Trainer only</w:t>
            </w:r>
          </w:p>
        </w:tc>
      </w:tr>
      <w:tr>
        <w:trPr>
          <w:cantSplit/>
        </w:trPr>
        <w:tc>
          <w:tcPr>
            <w:tcW w:type="dxa" w:w="597"/>
          </w:tcPr>
          <w:p>
            <w:pPr>
              <w:spacing w:before="0" w:after="0"/>
            </w:pPr>
            <w:r>
              <w:rPr>
                <w:b/>
                <w:sz w:val="19"/>
              </w:rPr>
              <w:t>8</w:t>
            </w:r>
          </w:p>
        </w:tc>
        <w:tc>
          <w:tcPr>
            <w:tcW w:type="dxa" w:w="597"/>
          </w:tcPr>
          <w:p>
            <w:pPr>
              <w:spacing w:before="0" w:after="0"/>
            </w:pPr>
            <w:r>
              <w:rPr>
                <w:sz w:val="19"/>
              </w:rPr>
              <w:t>45</w:t>
            </w:r>
          </w:p>
        </w:tc>
        <w:tc>
          <w:tcPr>
            <w:tcW w:type="dxa" w:w="1800"/>
          </w:tcPr>
          <w:p>
            <w:pPr>
              <w:spacing w:before="0" w:after="0"/>
            </w:pPr>
            <w:r>
              <w:rPr>
                <w:sz w:val="19"/>
              </w:rPr>
              <w:t>Level 3 · Transfer project, Chief UX Officer (</w:t>
            </w:r>
            <w:r>
              <w:rPr>
                <w:b/>
                <w:sz w:val="19"/>
              </w:rPr>
              <w:t>3 UE</w:t>
            </w:r>
            <w:r>
              <w:rPr>
                <w:sz w:val="19"/>
              </w:rPr>
              <w:t>: UE8–10)</w:t>
            </w:r>
          </w:p>
        </w:tc>
        <w:tc>
          <w:tcPr>
            <w:tcW w:type="dxa" w:w="3292"/>
          </w:tcPr>
          <w:p>
            <w:pPr>
              <w:spacing w:before="0" w:after="0"/>
            </w:pPr>
            <w:r>
              <w:rPr>
                <w:sz w:val="19"/>
              </w:rPr>
              <w:t>The trainer presents Materi B (B1, B2, B3; use the "In plain words" and "How to decide" boxes, the rest is handout) and sets the role and the brief.</w:t>
            </w:r>
          </w:p>
        </w:tc>
        <w:tc>
          <w:tcPr>
            <w:tcW w:type="dxa" w:w="1503"/>
          </w:tcPr>
          <w:p>
            <w:pPr>
              <w:spacing w:before="0" w:after="0"/>
            </w:pPr>
            <w:r>
              <w:rPr>
                <w:sz w:val="19"/>
              </w:rPr>
              <w:t>Materi B (Route 2)</w:t>
            </w:r>
          </w:p>
        </w:tc>
        <w:tc>
          <w:tcPr>
            <w:tcW w:type="dxa" w:w="1849"/>
          </w:tcPr>
          <w:p>
            <w:pPr>
              <w:spacing w:before="0" w:after="0"/>
            </w:pPr>
            <w:r>
              <w:rPr>
                <w:sz w:val="19"/>
              </w:rPr>
              <w:t>Presentation + Handout</w:t>
            </w:r>
          </w:p>
        </w:tc>
      </w:tr>
      <w:tr>
        <w:trPr>
          <w:cantSplit/>
        </w:trPr>
        <w:tc>
          <w:tcPr>
            <w:tcW w:type="dxa" w:w="597"/>
          </w:tcPr>
          <w:p>
            <w:pPr>
              <w:spacing w:before="0" w:after="0"/>
            </w:pPr>
            <w:r>
              <w:rPr>
                <w:b/>
                <w:sz w:val="19"/>
              </w:rPr>
              <w:t>9</w:t>
            </w:r>
          </w:p>
        </w:tc>
        <w:tc>
          <w:tcPr>
            <w:tcW w:type="dxa" w:w="597"/>
          </w:tcPr>
          <w:p>
            <w:pPr>
              <w:spacing w:before="0" w:after="0"/>
            </w:pPr>
            <w:r>
              <w:rPr>
                <w:sz w:val="19"/>
              </w:rPr>
              <w:t>45</w:t>
            </w:r>
          </w:p>
        </w:tc>
        <w:tc>
          <w:tcPr>
            <w:tcW w:type="dxa" w:w="1800"/>
          </w:tcPr>
          <w:p>
            <w:pPr>
              <w:spacing w:before="0" w:after="0"/>
            </w:pPr>
            <w:r>
              <w:rPr>
                <w:sz w:val="19"/>
              </w:rPr>
              <w:t>Level 3 · Transfer project</w:t>
            </w:r>
          </w:p>
        </w:tc>
        <w:tc>
          <w:tcPr>
            <w:tcW w:type="dxa" w:w="3292"/>
          </w:tcPr>
          <w:p>
            <w:pPr>
              <w:spacing w:before="0" w:after="0"/>
            </w:pPr>
            <w:r>
              <w:rPr>
                <w:sz w:val="19"/>
              </w:rPr>
              <w:t>Individual work or in pairs on Block 3.1 (Core, about 9 min).</w:t>
            </w:r>
          </w:p>
        </w:tc>
        <w:tc>
          <w:tcPr>
            <w:tcW w:type="dxa" w:w="1503"/>
          </w:tcPr>
          <w:p>
            <w:pPr>
              <w:spacing w:before="0" w:after="0"/>
            </w:pPr>
            <w:r>
              <w:rPr>
                <w:sz w:val="19"/>
              </w:rPr>
              <w:t>Task 2 · Block 3.1</w:t>
            </w:r>
          </w:p>
        </w:tc>
        <w:tc>
          <w:tcPr>
            <w:tcW w:type="dxa" w:w="1849"/>
          </w:tcPr>
          <w:p>
            <w:pPr>
              <w:spacing w:before="0" w:after="0"/>
            </w:pPr>
            <w:r>
              <w:rPr>
                <w:sz w:val="19"/>
              </w:rPr>
              <w:t>Handout (or on the playground)</w:t>
            </w:r>
          </w:p>
        </w:tc>
      </w:tr>
      <w:tr>
        <w:trPr>
          <w:cantSplit/>
        </w:trPr>
        <w:tc>
          <w:tcPr>
            <w:tcW w:type="dxa" w:w="597"/>
          </w:tcPr>
          <w:p>
            <w:pPr>
              <w:spacing w:before="0" w:after="0"/>
            </w:pPr>
            <w:r>
              <w:rPr>
                <w:b/>
                <w:sz w:val="19"/>
              </w:rPr>
              <w:t>10</w:t>
            </w:r>
          </w:p>
        </w:tc>
        <w:tc>
          <w:tcPr>
            <w:tcW w:type="dxa" w:w="597"/>
          </w:tcPr>
          <w:p>
            <w:pPr>
              <w:spacing w:before="0" w:after="0"/>
            </w:pPr>
            <w:r>
              <w:rPr>
                <w:sz w:val="19"/>
              </w:rPr>
              <w:t>45</w:t>
            </w:r>
          </w:p>
        </w:tc>
        <w:tc>
          <w:tcPr>
            <w:tcW w:type="dxa" w:w="1800"/>
          </w:tcPr>
          <w:p>
            <w:pPr>
              <w:spacing w:before="0" w:after="0"/>
            </w:pPr>
            <w:r>
              <w:rPr>
                <w:sz w:val="19"/>
              </w:rPr>
              <w:t>Level 3 · Transfer project</w:t>
            </w:r>
          </w:p>
        </w:tc>
        <w:tc>
          <w:tcPr>
            <w:tcW w:type="dxa" w:w="3292"/>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3"/>
          </w:tcPr>
          <w:p>
            <w:pPr>
              <w:spacing w:before="0" w:after="0"/>
            </w:pPr>
            <w:r>
              <w:rPr>
                <w:sz w:val="19"/>
              </w:rPr>
              <w:t>Task 2 · Block 3.2</w:t>
            </w:r>
            <w:r>
              <w:br/>
            </w:r>
            <w:r>
              <w:rPr>
                <w:sz w:val="19"/>
              </w:rPr>
              <w:t>Trainer document, section Transfer project</w:t>
            </w:r>
          </w:p>
        </w:tc>
        <w:tc>
          <w:tcPr>
            <w:tcW w:type="dxa" w:w="1849"/>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42"/>
        <w:gridCol w:w="1029"/>
        <w:gridCol w:w="1477"/>
        <w:gridCol w:w="2539"/>
        <w:gridCol w:w="2351"/>
      </w:tblGrid>
      <w:tr>
        <w:trPr>
          <w:cantSplit/>
          <w:tblHeader/>
        </w:trPr>
        <w:tc>
          <w:tcPr>
            <w:tcW w:type="dxa" w:w="2242"/>
            <w:shd w:val="clear" w:color="auto" w:fill="E6ECF4"/>
          </w:tcPr>
          <w:p>
            <w:pPr>
              <w:spacing w:before="0" w:after="0"/>
            </w:pPr>
            <w:r>
              <w:rPr>
                <w:b/>
                <w:sz w:val="19"/>
              </w:rPr>
              <w:t>Component</w:t>
            </w:r>
          </w:p>
        </w:tc>
        <w:tc>
          <w:tcPr>
            <w:tcW w:type="dxa" w:w="1029"/>
            <w:shd w:val="clear" w:color="auto" w:fill="E6ECF4"/>
          </w:tcPr>
          <w:p>
            <w:pPr>
              <w:spacing w:before="0" w:after="0"/>
            </w:pPr>
            <w:r>
              <w:rPr>
                <w:b/>
                <w:sz w:val="19"/>
              </w:rPr>
              <w:t>UE</w:t>
            </w:r>
          </w:p>
        </w:tc>
        <w:tc>
          <w:tcPr>
            <w:tcW w:type="dxa" w:w="1477"/>
            <w:shd w:val="clear" w:color="auto" w:fill="E6ECF4"/>
          </w:tcPr>
          <w:p>
            <w:pPr>
              <w:spacing w:before="0" w:after="0"/>
            </w:pPr>
            <w:r>
              <w:rPr>
                <w:b/>
                <w:sz w:val="19"/>
              </w:rPr>
              <w:t>Duration</w:t>
            </w:r>
          </w:p>
        </w:tc>
        <w:tc>
          <w:tcPr>
            <w:tcW w:type="dxa" w:w="2539"/>
            <w:shd w:val="clear" w:color="auto" w:fill="E6ECF4"/>
          </w:tcPr>
          <w:p>
            <w:pPr>
              <w:spacing w:before="0" w:after="0"/>
            </w:pPr>
            <w:r>
              <w:rPr>
                <w:b/>
                <w:sz w:val="19"/>
              </w:rPr>
              <w:t>Participants work in</w:t>
            </w:r>
          </w:p>
        </w:tc>
        <w:tc>
          <w:tcPr>
            <w:tcW w:type="dxa" w:w="2351"/>
            <w:shd w:val="clear" w:color="auto" w:fill="E6ECF4"/>
          </w:tcPr>
          <w:p>
            <w:pPr>
              <w:spacing w:before="0" w:after="0"/>
            </w:pPr>
            <w:r>
              <w:rPr>
                <w:b/>
                <w:sz w:val="19"/>
              </w:rPr>
              <w:t>Model solution in</w:t>
            </w:r>
          </w:p>
        </w:tc>
      </w:tr>
      <w:tr>
        <w:trPr>
          <w:cantSplit/>
        </w:trPr>
        <w:tc>
          <w:tcPr>
            <w:tcW w:type="dxa" w:w="2242"/>
          </w:tcPr>
          <w:p>
            <w:pPr>
              <w:spacing w:before="0" w:after="0"/>
            </w:pPr>
            <w:r>
              <w:rPr>
                <w:b/>
                <w:sz w:val="19"/>
              </w:rPr>
              <w:t>Level 2 case study</w:t>
            </w:r>
            <w:r>
              <w:rPr>
                <w:sz w:val="19"/>
              </w:rPr>
              <w:t xml:space="preserve"> (SkillUp)</w:t>
            </w:r>
          </w:p>
        </w:tc>
        <w:tc>
          <w:tcPr>
            <w:tcW w:type="dxa" w:w="1029"/>
          </w:tcPr>
          <w:p>
            <w:pPr>
              <w:spacing w:before="0" w:after="0"/>
            </w:pPr>
            <w:r>
              <w:rPr>
                <w:sz w:val="19"/>
              </w:rPr>
              <w:t>UE5–6</w:t>
            </w:r>
          </w:p>
        </w:tc>
        <w:tc>
          <w:tcPr>
            <w:tcW w:type="dxa" w:w="1477"/>
          </w:tcPr>
          <w:p>
            <w:pPr>
              <w:spacing w:before="0" w:after="0"/>
            </w:pPr>
            <w:r>
              <w:rPr>
                <w:b/>
                <w:sz w:val="19"/>
              </w:rPr>
              <w:t>2 UE</w:t>
            </w:r>
            <w:r>
              <w:rPr>
                <w:sz w:val="19"/>
              </w:rPr>
              <w:t xml:space="preserve"> · 90 min</w:t>
            </w:r>
          </w:p>
        </w:tc>
        <w:tc>
          <w:tcPr>
            <w:tcW w:type="dxa" w:w="2539"/>
          </w:tcPr>
          <w:p>
            <w:pPr>
              <w:spacing w:before="0" w:after="0"/>
            </w:pPr>
            <w:r>
              <w:rPr>
                <w:sz w:val="19"/>
              </w:rPr>
              <w:t>Task 1 · Part 2 (Blocks 2.1, 2.2)</w:t>
            </w:r>
          </w:p>
        </w:tc>
        <w:tc>
          <w:tcPr>
            <w:tcW w:type="dxa" w:w="2351"/>
          </w:tcPr>
          <w:p>
            <w:pPr>
              <w:spacing w:before="0" w:after="0"/>
            </w:pPr>
            <w:r>
              <w:rPr>
                <w:sz w:val="19"/>
              </w:rPr>
              <w:t>Trainer document, section Case study</w:t>
            </w:r>
          </w:p>
        </w:tc>
      </w:tr>
      <w:tr>
        <w:trPr>
          <w:cantSplit/>
        </w:trPr>
        <w:tc>
          <w:tcPr>
            <w:tcW w:type="dxa" w:w="2242"/>
          </w:tcPr>
          <w:p>
            <w:pPr>
              <w:spacing w:before="0" w:after="0"/>
            </w:pPr>
            <w:r>
              <w:rPr>
                <w:b/>
                <w:sz w:val="19"/>
              </w:rPr>
              <w:t>Level 3 transfer project</w:t>
            </w:r>
            <w:r>
              <w:rPr>
                <w:sz w:val="19"/>
              </w:rPr>
              <w:t xml:space="preserve"> (Chief UX Officer)</w:t>
            </w:r>
          </w:p>
        </w:tc>
        <w:tc>
          <w:tcPr>
            <w:tcW w:type="dxa" w:w="1029"/>
          </w:tcPr>
          <w:p>
            <w:pPr>
              <w:spacing w:before="0" w:after="0"/>
            </w:pPr>
            <w:r>
              <w:rPr>
                <w:sz w:val="19"/>
              </w:rPr>
              <w:t>UE8–10</w:t>
            </w:r>
          </w:p>
        </w:tc>
        <w:tc>
          <w:tcPr>
            <w:tcW w:type="dxa" w:w="1477"/>
          </w:tcPr>
          <w:p>
            <w:pPr>
              <w:spacing w:before="0" w:after="0"/>
            </w:pPr>
            <w:r>
              <w:rPr>
                <w:b/>
                <w:sz w:val="19"/>
              </w:rPr>
              <w:t>3 UE</w:t>
            </w:r>
            <w:r>
              <w:rPr>
                <w:sz w:val="19"/>
              </w:rPr>
              <w:t xml:space="preserve"> · 135 min</w:t>
            </w:r>
          </w:p>
        </w:tc>
        <w:tc>
          <w:tcPr>
            <w:tcW w:type="dxa" w:w="2539"/>
          </w:tcPr>
          <w:p>
            <w:pPr>
              <w:spacing w:before="0" w:after="0"/>
            </w:pPr>
            <w:r>
              <w:rPr>
                <w:sz w:val="19"/>
              </w:rPr>
              <w:t>Materi B and Task 2 (Blocks 3.1, 3.2)</w:t>
            </w:r>
          </w:p>
        </w:tc>
        <w:tc>
          <w:tcPr>
            <w:tcW w:type="dxa" w:w="2351"/>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findings: Orientation, Understanding or Motivation? · Core · about 13 min.</w:t>
      </w:r>
    </w:p>
    <w:p>
      <w:pPr>
        <w:pStyle w:val="Heading3"/>
      </w:pPr>
      <w:r>
        <w:rPr/>
        <w:t>Reference: Eight findings into Orientation, Understanding, Motivation</w:t>
      </w:r>
    </w:p>
    <w:p>
      <w:pPr>
        <w:spacing w:before="0" w:after="100"/>
      </w:pPr>
      <w:r>
        <w:rPr>
          <w:b/>
        </w:rPr>
        <w:t>Reference answer.</w:t>
      </w:r>
      <w:r>
        <w:rPr/>
        <w:t xml:space="preserve"> Orientation: 14 equal tiles on the dashboard; Yesterday's course is four clicks away; No “Next lesson” button · Understanding: One 500-word block of text; Technical terms without explanation; Very long sentences · Motivation: No progress bar; No message after a quiz</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17"/>
        <w:gridCol w:w="6621"/>
      </w:tblGrid>
      <w:tr>
        <w:trPr>
          <w:cantSplit/>
          <w:tblHeader/>
        </w:trPr>
        <w:tc>
          <w:tcPr>
            <w:tcW w:type="dxa" w:w="3017"/>
            <w:shd w:val="clear" w:color="auto" w:fill="E6ECF4"/>
          </w:tcPr>
          <w:p>
            <w:pPr>
              <w:spacing w:before="0" w:after="0"/>
            </w:pPr>
            <w:r>
              <w:rPr>
                <w:b/>
                <w:sz w:val="20"/>
              </w:rPr>
              <w:t>Item</w:t>
            </w:r>
          </w:p>
        </w:tc>
        <w:tc>
          <w:tcPr>
            <w:tcW w:type="dxa" w:w="6621"/>
            <w:shd w:val="clear" w:color="auto" w:fill="E6ECF4"/>
          </w:tcPr>
          <w:p>
            <w:pPr>
              <w:spacing w:before="0" w:after="0"/>
            </w:pPr>
            <w:r>
              <w:rPr>
                <w:b/>
                <w:sz w:val="20"/>
              </w:rPr>
              <w:t>Reference reading</w:t>
            </w:r>
          </w:p>
        </w:tc>
      </w:tr>
      <w:tr>
        <w:trPr>
          <w:cantSplit/>
        </w:trPr>
        <w:tc>
          <w:tcPr>
            <w:tcW w:type="dxa" w:w="3017"/>
          </w:tcPr>
          <w:p>
            <w:pPr>
              <w:spacing w:before="0" w:after="0"/>
            </w:pPr>
            <w:r>
              <w:rPr>
                <w:sz w:val="20"/>
              </w:rPr>
              <w:t>14 equal tiles on the dashboard</w:t>
            </w:r>
          </w:p>
        </w:tc>
        <w:tc>
          <w:tcPr>
            <w:tcW w:type="dxa" w:w="6621"/>
          </w:tcPr>
          <w:p>
            <w:pPr>
              <w:spacing w:before="0" w:after="0"/>
            </w:pPr>
            <w:r>
              <w:rPr>
                <w:sz w:val="20"/>
              </w:rPr>
              <w:t>Orientation. The learner cannot tell where to start: orientation.</w:t>
            </w:r>
          </w:p>
        </w:tc>
      </w:tr>
      <w:tr>
        <w:trPr>
          <w:cantSplit/>
        </w:trPr>
        <w:tc>
          <w:tcPr>
            <w:tcW w:type="dxa" w:w="3017"/>
          </w:tcPr>
          <w:p>
            <w:pPr>
              <w:spacing w:before="0" w:after="0"/>
            </w:pPr>
            <w:r>
              <w:rPr>
                <w:sz w:val="20"/>
              </w:rPr>
              <w:t>Yesterday's course is four clicks away</w:t>
            </w:r>
          </w:p>
        </w:tc>
        <w:tc>
          <w:tcPr>
            <w:tcW w:type="dxa" w:w="6621"/>
          </w:tcPr>
          <w:p>
            <w:pPr>
              <w:spacing w:before="0" w:after="0"/>
            </w:pPr>
            <w:r>
              <w:rPr>
                <w:sz w:val="20"/>
              </w:rPr>
              <w:t>Orientation. The learner cannot find where they stopped: orientation.</w:t>
            </w:r>
          </w:p>
        </w:tc>
      </w:tr>
      <w:tr>
        <w:trPr>
          <w:cantSplit/>
        </w:trPr>
        <w:tc>
          <w:tcPr>
            <w:tcW w:type="dxa" w:w="3017"/>
          </w:tcPr>
          <w:p>
            <w:pPr>
              <w:spacing w:before="0" w:after="0"/>
            </w:pPr>
            <w:r>
              <w:rPr>
                <w:sz w:val="20"/>
              </w:rPr>
              <w:t>No “Next lesson” button</w:t>
            </w:r>
          </w:p>
        </w:tc>
        <w:tc>
          <w:tcPr>
            <w:tcW w:type="dxa" w:w="6621"/>
          </w:tcPr>
          <w:p>
            <w:pPr>
              <w:spacing w:before="0" w:after="0"/>
            </w:pPr>
            <w:r>
              <w:rPr>
                <w:sz w:val="20"/>
              </w:rPr>
              <w:t>Orientation. The learner is not told what comes next: orientation.</w:t>
            </w:r>
          </w:p>
        </w:tc>
      </w:tr>
      <w:tr>
        <w:trPr>
          <w:cantSplit/>
        </w:trPr>
        <w:tc>
          <w:tcPr>
            <w:tcW w:type="dxa" w:w="3017"/>
          </w:tcPr>
          <w:p>
            <w:pPr>
              <w:spacing w:before="0" w:after="0"/>
            </w:pPr>
            <w:r>
              <w:rPr>
                <w:sz w:val="20"/>
              </w:rPr>
              <w:t>One 500-word block of text</w:t>
            </w:r>
          </w:p>
        </w:tc>
        <w:tc>
          <w:tcPr>
            <w:tcW w:type="dxa" w:w="6621"/>
          </w:tcPr>
          <w:p>
            <w:pPr>
              <w:spacing w:before="0" w:after="0"/>
            </w:pPr>
            <w:r>
              <w:rPr>
                <w:sz w:val="20"/>
              </w:rPr>
              <w:t>Understanding. The learner has to dig the structure out of the text themselves: understanding.</w:t>
            </w:r>
          </w:p>
        </w:tc>
      </w:tr>
      <w:tr>
        <w:trPr>
          <w:cantSplit/>
        </w:trPr>
        <w:tc>
          <w:tcPr>
            <w:tcW w:type="dxa" w:w="3017"/>
          </w:tcPr>
          <w:p>
            <w:pPr>
              <w:spacing w:before="0" w:after="0"/>
            </w:pPr>
            <w:r>
              <w:rPr>
                <w:sz w:val="20"/>
              </w:rPr>
              <w:t>Technical terms without explanation</w:t>
            </w:r>
          </w:p>
        </w:tc>
        <w:tc>
          <w:tcPr>
            <w:tcW w:type="dxa" w:w="6621"/>
          </w:tcPr>
          <w:p>
            <w:pPr>
              <w:spacing w:before="0" w:after="0"/>
            </w:pPr>
            <w:r>
              <w:rPr>
                <w:sz w:val="20"/>
              </w:rPr>
              <w:t>Understanding. The learner stops at words they do not know: understanding.</w:t>
            </w:r>
          </w:p>
        </w:tc>
      </w:tr>
      <w:tr>
        <w:trPr>
          <w:cantSplit/>
        </w:trPr>
        <w:tc>
          <w:tcPr>
            <w:tcW w:type="dxa" w:w="3017"/>
          </w:tcPr>
          <w:p>
            <w:pPr>
              <w:spacing w:before="0" w:after="0"/>
            </w:pPr>
            <w:r>
              <w:rPr>
                <w:sz w:val="20"/>
              </w:rPr>
              <w:t>Very long sentences</w:t>
            </w:r>
          </w:p>
        </w:tc>
        <w:tc>
          <w:tcPr>
            <w:tcW w:type="dxa" w:w="6621"/>
          </w:tcPr>
          <w:p>
            <w:pPr>
              <w:spacing w:before="0" w:after="0"/>
            </w:pPr>
            <w:r>
              <w:rPr>
                <w:sz w:val="20"/>
              </w:rPr>
              <w:t>Understanding. Long sentences cost attention that is then missing for learning: understanding.</w:t>
            </w:r>
          </w:p>
        </w:tc>
      </w:tr>
      <w:tr>
        <w:trPr>
          <w:cantSplit/>
        </w:trPr>
        <w:tc>
          <w:tcPr>
            <w:tcW w:type="dxa" w:w="3017"/>
          </w:tcPr>
          <w:p>
            <w:pPr>
              <w:spacing w:before="0" w:after="0"/>
            </w:pPr>
            <w:r>
              <w:rPr>
                <w:sz w:val="20"/>
              </w:rPr>
              <w:t>No progress bar</w:t>
            </w:r>
          </w:p>
        </w:tc>
        <w:tc>
          <w:tcPr>
            <w:tcW w:type="dxa" w:w="6621"/>
          </w:tcPr>
          <w:p>
            <w:pPr>
              <w:spacing w:before="0" w:after="0"/>
            </w:pPr>
            <w:r>
              <w:rPr>
                <w:sz w:val="20"/>
              </w:rPr>
              <w:t>Motivation. The learner cannot see they are getting somewhere: motivation, through progress.</w:t>
            </w:r>
          </w:p>
        </w:tc>
      </w:tr>
      <w:tr>
        <w:trPr>
          <w:cantSplit/>
        </w:trPr>
        <w:tc>
          <w:tcPr>
            <w:tcW w:type="dxa" w:w="3017"/>
          </w:tcPr>
          <w:p>
            <w:pPr>
              <w:spacing w:before="0" w:after="0"/>
            </w:pPr>
            <w:r>
              <w:rPr>
                <w:sz w:val="20"/>
              </w:rPr>
              <w:t>No message after a quiz</w:t>
            </w:r>
          </w:p>
        </w:tc>
        <w:tc>
          <w:tcPr>
            <w:tcW w:type="dxa" w:w="6621"/>
          </w:tcPr>
          <w:p>
            <w:pPr>
              <w:spacing w:before="0" w:after="0"/>
            </w:pPr>
            <w:r>
              <w:rPr>
                <w:sz w:val="20"/>
              </w:rPr>
              <w:t>Motivation. The learner gets no sign of success or failure: motivation, through feedback.</w:t>
            </w:r>
          </w:p>
        </w:tc>
      </w:tr>
    </w:tbl>
    <w:p>
      <w:pPr>
        <w:spacing w:before="0" w:after="80"/>
      </w:pPr>
    </w:p>
    <w:p>
      <w:pPr>
        <w:spacing w:before="0" w:after="100"/>
      </w:pPr>
      <w:r>
        <w:rPr>
          <w:i/>
        </w:rPr>
        <w:t>Trainer note.</w:t>
      </w:r>
      <w:r>
        <w:rPr/>
        <w:t xml:space="preserve"> The sort is objective: each finding breaks one of the three questions taught in Materi A3. Some findings touch two areas (a wall of text also hides where the main point is); the test is which question the printed phrase breaks first. The 40% drop-out figure is deliberately not a finding to sort: it is where the three areas end up. The second part of the block (the one finding that would make a learner give up first) is judged: any of the eight defends if the reason is written from the learner's side. Plan: Arbeitsauftrag 1, categories Orientation, Understanding, Motivation.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The finding that would make a learner give up first</w:t>
            </w:r>
          </w:p>
          <w:p>
            <w:pPr>
              <w:spacing w:before="0" w:after="100"/>
            </w:pPr>
            <w:r>
              <w:rPr>
                <w:b/>
              </w:rPr>
              <w:t>Model answer (an example).</w:t>
            </w:r>
            <w:r>
              <w:rPr/>
              <w:t xml:space="preserve"> On my first visit I see 14 identical tiles and nothing that says what to do first. I would not know where to begin, and I would leave before I had even started a lesson.</w:t>
            </w:r>
          </w:p>
          <w:p>
            <w:pPr>
              <w:spacing w:before="0" w:after="100"/>
            </w:pPr>
            <w:r>
              <w:rPr>
                <w:b/>
              </w:rPr>
              <w:t>Why.</w:t>
            </w:r>
            <w:r>
              <w:rPr/>
              <w:t xml:space="preserve"> Any of the eight findings defends. What the plan asks for is the user's perspective (“Versetzen Sie sich in einen Lernenden”): the reason must say what the learner cannot do or feel, not that something looks wrong.</w:t>
            </w:r>
          </w:p>
          <w:p>
            <w:pPr>
              <w:spacing w:before="0" w:after="100"/>
            </w:pPr>
            <w:r>
              <w:rPr>
                <w:b/>
              </w:rPr>
              <w:t>Look for.</w:t>
            </w:r>
          </w:p>
          <w:p>
            <w:pPr>
              <w:pStyle w:val="ListBullet"/>
              <w:spacing w:before="0" w:after="40"/>
            </w:pPr>
            <w:r>
              <w:rPr/>
              <w:t>Written from the learner's side (“I would not know…”), not about the design.</w:t>
            </w:r>
          </w:p>
          <w:p>
            <w:pPr>
              <w:pStyle w:val="ListBullet"/>
              <w:spacing w:before="0" w:after="40"/>
            </w:pPr>
            <w:r>
              <w:rPr/>
              <w:t>Names a concrete consequence (leaving, getting lost, giving up).</w:t>
            </w:r>
          </w:p>
          <w:p>
            <w:pPr>
              <w:pStyle w:val="ListBullet"/>
              <w:spacing w:before="0" w:after="100"/>
            </w:pPr>
            <w:r>
              <w:rPr/>
              <w:t>Refers to the finding chosen, not to the platform in general.</w:t>
            </w:r>
          </w:p>
        </w:tc>
      </w:tr>
    </w:tbl>
    <w:p>
      <w:pPr>
        <w:spacing w:before="0" w:after="80"/>
      </w:pPr>
    </w:p>
    <w:p>
      <w:pPr>
        <w:pStyle w:val="Heading2"/>
      </w:pPr>
      <w:r>
        <w:rPr/>
        <w:t>Block 1.2 · model answers (UE3)</w:t>
      </w:r>
    </w:p>
    <w:p>
      <w:pPr>
        <w:spacing w:before="0" w:after="100"/>
      </w:pPr>
      <w:r>
        <w:rPr>
          <w:i/>
        </w:rPr>
        <w:t>Block 1.2: What the 40% shows and does not show · Optional · about 8 min.</w:t>
      </w:r>
    </w:p>
    <w:p>
      <w:pPr>
        <w:spacing w:before="0" w:after="100"/>
      </w:pPr>
      <w:r>
        <w:rPr/>
        <w:t>On Day 1, UE3 uses the rating part of Block 2.2; its reference answers are under Block 2.2 below. Block 1.2 is Optional.</w:t>
      </w:r>
    </w:p>
    <w:p>
      <w:pPr>
        <w:pStyle w:val="Heading3"/>
      </w:pPr>
      <w:r>
        <w:rPr/>
        <w:t>Reference: What the 40% shows and does not show</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34"/>
        <w:gridCol w:w="5304"/>
      </w:tblGrid>
      <w:tr>
        <w:trPr>
          <w:cantSplit/>
          <w:tblHeader/>
        </w:trPr>
        <w:tc>
          <w:tcPr>
            <w:tcW w:type="dxa" w:w="4334"/>
            <w:shd w:val="clear" w:color="auto" w:fill="E6ECF4"/>
          </w:tcPr>
          <w:p>
            <w:pPr>
              <w:spacing w:before="0" w:after="0"/>
            </w:pPr>
            <w:r>
              <w:rPr>
                <w:b/>
                <w:sz w:val="20"/>
              </w:rPr>
              <w:t>Item</w:t>
            </w:r>
          </w:p>
        </w:tc>
        <w:tc>
          <w:tcPr>
            <w:tcW w:type="dxa" w:w="5304"/>
            <w:shd w:val="clear" w:color="auto" w:fill="E6ECF4"/>
          </w:tcPr>
          <w:p>
            <w:pPr>
              <w:spacing w:before="0" w:after="0"/>
            </w:pPr>
            <w:r>
              <w:rPr>
                <w:b/>
                <w:sz w:val="20"/>
              </w:rPr>
              <w:t>Reference reading</w:t>
            </w:r>
          </w:p>
        </w:tc>
      </w:tr>
      <w:tr>
        <w:trPr>
          <w:cantSplit/>
        </w:trPr>
        <w:tc>
          <w:tcPr>
            <w:tcW w:type="dxa" w:w="4334"/>
          </w:tcPr>
          <w:p>
            <w:pPr>
              <w:spacing w:before="0" w:after="0"/>
            </w:pPr>
            <w:r>
              <w:rPr>
                <w:sz w:val="20"/>
              </w:rPr>
              <w:t>40 of every 100 learners who start a course do not finish it.</w:t>
            </w:r>
          </w:p>
        </w:tc>
        <w:tc>
          <w:tcPr>
            <w:tcW w:type="dxa" w:w="5304"/>
          </w:tcPr>
          <w:p>
            <w:pPr>
              <w:spacing w:before="0" w:after="0"/>
            </w:pPr>
            <w:r>
              <w:rPr>
                <w:sz w:val="20"/>
              </w:rPr>
              <w:t>The number shows this. It only restates the number.</w:t>
            </w:r>
          </w:p>
        </w:tc>
      </w:tr>
      <w:tr>
        <w:trPr>
          <w:cantSplit/>
        </w:trPr>
        <w:tc>
          <w:tcPr>
            <w:tcW w:type="dxa" w:w="4334"/>
          </w:tcPr>
          <w:p>
            <w:pPr>
              <w:spacing w:before="0" w:after="0"/>
            </w:pPr>
            <w:r>
              <w:rPr>
                <w:sz w:val="20"/>
              </w:rPr>
              <w:t>Learners leave because the lessons are too hard.</w:t>
            </w:r>
          </w:p>
        </w:tc>
        <w:tc>
          <w:tcPr>
            <w:tcW w:type="dxa" w:w="5304"/>
          </w:tcPr>
          <w:p>
            <w:pPr>
              <w:spacing w:before="0" w:after="0"/>
            </w:pPr>
            <w:r>
              <w:rPr>
                <w:sz w:val="20"/>
              </w:rPr>
              <w:t>The number does not show this. A drop-out rate counts who left, not why.</w:t>
            </w:r>
          </w:p>
        </w:tc>
      </w:tr>
      <w:tr>
        <w:trPr>
          <w:cantSplit/>
        </w:trPr>
        <w:tc>
          <w:tcPr>
            <w:tcW w:type="dxa" w:w="4334"/>
          </w:tcPr>
          <w:p>
            <w:pPr>
              <w:spacing w:before="0" w:after="0"/>
            </w:pPr>
            <w:r>
              <w:rPr>
                <w:sz w:val="20"/>
              </w:rPr>
              <w:t>A progress bar would bring the number down.</w:t>
            </w:r>
          </w:p>
        </w:tc>
        <w:tc>
          <w:tcPr>
            <w:tcW w:type="dxa" w:w="5304"/>
          </w:tcPr>
          <w:p>
            <w:pPr>
              <w:spacing w:before="0" w:after="0"/>
            </w:pPr>
            <w:r>
              <w:rPr>
                <w:sz w:val="20"/>
              </w:rPr>
              <w:t>The number does not show this. A number does not predict the effect of a measure.</w:t>
            </w:r>
          </w:p>
        </w:tc>
      </w:tr>
      <w:tr>
        <w:trPr>
          <w:cantSplit/>
        </w:trPr>
        <w:tc>
          <w:tcPr>
            <w:tcW w:type="dxa" w:w="4334"/>
          </w:tcPr>
          <w:p>
            <w:pPr>
              <w:spacing w:before="0" w:after="0"/>
            </w:pPr>
            <w:r>
              <w:rPr>
                <w:sz w:val="20"/>
              </w:rPr>
              <w:t>More than one in three learners who start do not finish.</w:t>
            </w:r>
          </w:p>
        </w:tc>
        <w:tc>
          <w:tcPr>
            <w:tcW w:type="dxa" w:w="5304"/>
          </w:tcPr>
          <w:p>
            <w:pPr>
              <w:spacing w:before="0" w:after="0"/>
            </w:pPr>
            <w:r>
              <w:rPr>
                <w:sz w:val="20"/>
              </w:rPr>
              <w:t>The number shows this. 40 of 100 is more than a third (about 33).</w:t>
            </w:r>
          </w:p>
        </w:tc>
      </w:tr>
      <w:tr>
        <w:trPr>
          <w:cantSplit/>
        </w:trPr>
        <w:tc>
          <w:tcPr>
            <w:tcW w:type="dxa" w:w="4334"/>
          </w:tcPr>
          <w:p>
            <w:pPr>
              <w:spacing w:before="0" w:after="0"/>
            </w:pPr>
            <w:r>
              <w:rPr>
                <w:sz w:val="20"/>
              </w:rPr>
              <w:t>The 40 who leave are the learners who find the content boring.</w:t>
            </w:r>
          </w:p>
        </w:tc>
        <w:tc>
          <w:tcPr>
            <w:tcW w:type="dxa" w:w="5304"/>
          </w:tcPr>
          <w:p>
            <w:pPr>
              <w:spacing w:before="0" w:after="0"/>
            </w:pPr>
            <w:r>
              <w:rPr>
                <w:sz w:val="20"/>
              </w:rPr>
              <w:t>The number does not show this. It says nothing about feelings or reasons.</w:t>
            </w:r>
          </w:p>
        </w:tc>
      </w:tr>
    </w:tbl>
    <w:p>
      <w:pPr>
        <w:spacing w:before="0" w:after="80"/>
      </w:pPr>
    </w:p>
    <w:p>
      <w:pPr>
        <w:spacing w:before="0" w:after="100"/>
      </w:pPr>
      <w:r>
        <w:rPr>
          <w:i/>
        </w:rPr>
        <w:t>Trainer note.</w:t>
      </w:r>
      <w:r>
        <w:rPr/>
        <w:t xml:space="preserve"> Anyone who ticks “shows” for a reason or a remedy has read a cause into a symptom. This is the coaching point of the plan (“Daten zeigen Symptome, nicht Ursachen” appears on Day 16; on Day 1 the equivalent is “dealing with incomplete user information”).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(Optional) · What you would need to find out why learners leave</w:t>
            </w:r>
          </w:p>
          <w:p>
            <w:pPr>
              <w:spacing w:before="0" w:after="100"/>
            </w:pPr>
            <w:r>
              <w:rPr>
                <w:b/>
              </w:rPr>
              <w:t>Model answer (an example).</w:t>
            </w:r>
            <w:r>
              <w:rPr/>
              <w:t xml:space="preserve"> I would interview some of the 40 who left and look at the lesson where most of them stop, because the number only says that they left, not why.</w:t>
            </w:r>
          </w:p>
          <w:p>
            <w:pPr>
              <w:spacing w:before="0" w:after="100"/>
            </w:pPr>
            <w:r>
              <w:rPr>
                <w:b/>
              </w:rPr>
              <w:t>Why.</w:t>
            </w:r>
            <w:r>
              <w:rPr/>
              <w:t xml:space="preserve"> A good answer names a source that could show why (interviews, a usability test, data per lesson), not a measure.</w:t>
            </w:r>
          </w:p>
          <w:p>
            <w:pPr>
              <w:spacing w:before="0" w:after="100"/>
            </w:pPr>
            <w:r>
              <w:rPr>
                <w:b/>
              </w:rPr>
              <w:t>Look for.</w:t>
            </w:r>
          </w:p>
          <w:p>
            <w:pPr>
              <w:pStyle w:val="ListBullet"/>
              <w:spacing w:before="0" w:after="40"/>
            </w:pPr>
            <w:r>
              <w:rPr/>
              <w:t>Names at least one source of evidence about the learners themselves.</w:t>
            </w:r>
          </w:p>
          <w:p>
            <w:pPr>
              <w:pStyle w:val="ListBullet"/>
              <w:spacing w:before="0" w:after="100"/>
            </w:pPr>
            <w:r>
              <w:rPr/>
              <w:t>Does not turn the number into a cause.</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From Interface to Systems Thinking (UE4)</w:t>
      </w:r>
    </w:p>
    <w:p>
      <w:pPr>
        <w:spacing w:before="0" w:after="100"/>
      </w:pPr>
      <w:r>
        <w:rPr>
          <w:b/>
        </w:rPr>
        <w:t>The plan's coaching points.</w:t>
      </w:r>
    </w:p>
    <w:p>
      <w:pPr>
        <w:pStyle w:val="ListBullet"/>
        <w:spacing w:before="0" w:after="40"/>
      </w:pPr>
      <w:r>
        <w:rPr/>
        <w:t>UX is not a design problem, but a decision problem</w:t>
      </w:r>
    </w:p>
    <w:p>
      <w:pPr>
        <w:pStyle w:val="ListBullet"/>
        <w:spacing w:before="0" w:after="40"/>
      </w:pPr>
      <w:r>
        <w:rPr/>
        <w:t>Difference: "designing beautifully" vs. "designing effectively"</w:t>
      </w:r>
    </w:p>
    <w:p>
      <w:pPr>
        <w:pStyle w:val="ListBullet"/>
        <w:spacing w:before="0" w:after="40"/>
      </w:pPr>
      <w:r>
        <w:rPr/>
        <w:t>How does UX influence learning success?</w:t>
      </w:r>
    </w:p>
    <w:p>
      <w:pPr>
        <w:pStyle w:val="ListBullet"/>
        <w:spacing w:before="0" w:after="40"/>
      </w:pPr>
      <w:r>
        <w:rPr/>
        <w:t>Prioritization under conflicting goals</w:t>
      </w:r>
    </w:p>
    <w:p>
      <w:pPr>
        <w:pStyle w:val="ListBullet"/>
        <w:spacing w:before="0" w:after="40"/>
      </w:pPr>
      <w:r>
        <w:rPr/>
        <w:t>Dealing with incomplete user information</w:t>
      </w:r>
    </w:p>
    <w:p>
      <w:pPr>
        <w:pStyle w:val="ListBullet"/>
        <w:spacing w:before="0" w:after="100"/>
      </w:pPr>
      <w:r>
        <w:rPr/>
        <w:t>Think in user flows instead of individual screens</w:t>
      </w:r>
    </w:p>
    <w:p>
      <w:pPr>
        <w:spacing w:before="0" w:after="100"/>
      </w:pPr>
      <w:r>
        <w:rPr>
          <w:b/>
        </w:rPr>
        <w:t>Reflection questions.</w:t>
      </w:r>
    </w:p>
    <w:p>
      <w:pPr>
        <w:pStyle w:val="ListBullet"/>
        <w:spacing w:before="0" w:after="40"/>
      </w:pPr>
      <w:r>
        <w:rPr/>
        <w:t>Which decision really improves learning?</w:t>
      </w:r>
    </w:p>
    <w:p>
      <w:pPr>
        <w:pStyle w:val="ListBullet"/>
        <w:spacing w:before="0" w:after="40"/>
      </w:pPr>
      <w:r>
        <w:rPr/>
        <w:t>What is "nice to have" vs. "critical"?</w:t>
      </w:r>
    </w:p>
    <w:p>
      <w:pPr>
        <w:pStyle w:val="ListBullet"/>
        <w:spacing w:before="0" w:after="100"/>
      </w:pPr>
      <w:r>
        <w:rPr/>
        <w:t>Which UX decision has a business impact?</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4"/>
        <w:gridCol w:w="1188"/>
        <w:gridCol w:w="7586"/>
      </w:tblGrid>
      <w:tr>
        <w:trPr>
          <w:cantSplit/>
          <w:tblHeader/>
        </w:trPr>
        <w:tc>
          <w:tcPr>
            <w:tcW w:type="dxa" w:w="864"/>
            <w:shd w:val="clear" w:color="auto" w:fill="E6ECF4"/>
          </w:tcPr>
          <w:p>
            <w:pPr>
              <w:spacing w:before="0" w:after="0"/>
            </w:pPr>
            <w:r>
              <w:rPr>
                <w:b/>
                <w:sz w:val="20"/>
              </w:rPr>
              <w:t>Step</w:t>
            </w:r>
          </w:p>
        </w:tc>
        <w:tc>
          <w:tcPr>
            <w:tcW w:type="dxa" w:w="1188"/>
            <w:shd w:val="clear" w:color="auto" w:fill="E6ECF4"/>
          </w:tcPr>
          <w:p>
            <w:pPr>
              <w:spacing w:before="0" w:after="0"/>
            </w:pPr>
            <w:r>
              <w:rPr>
                <w:b/>
                <w:sz w:val="20"/>
              </w:rPr>
              <w:t>Minutes</w:t>
            </w:r>
          </w:p>
        </w:tc>
        <w:tc>
          <w:tcPr>
            <w:tcW w:type="dxa" w:w="7586"/>
            <w:shd w:val="clear" w:color="auto" w:fill="E6ECF4"/>
          </w:tcPr>
          <w:p>
            <w:pPr>
              <w:spacing w:before="0" w:after="0"/>
            </w:pPr>
            <w:r>
              <w:rPr>
                <w:b/>
                <w:sz w:val="20"/>
              </w:rPr>
              <w:t>What you do</w:t>
            </w:r>
          </w:p>
        </w:tc>
      </w:tr>
      <w:tr>
        <w:trPr>
          <w:cantSplit/>
        </w:trPr>
        <w:tc>
          <w:tcPr>
            <w:tcW w:type="dxa" w:w="864"/>
          </w:tcPr>
          <w:p>
            <w:pPr>
              <w:spacing w:before="0" w:after="0"/>
            </w:pPr>
            <w:r>
              <w:rPr>
                <w:sz w:val="20"/>
              </w:rPr>
              <w:t>1</w:t>
            </w:r>
          </w:p>
        </w:tc>
        <w:tc>
          <w:tcPr>
            <w:tcW w:type="dxa" w:w="1188"/>
          </w:tcPr>
          <w:p>
            <w:pPr>
              <w:spacing w:before="0" w:after="0"/>
            </w:pPr>
            <w:r>
              <w:rPr>
                <w:sz w:val="20"/>
              </w:rPr>
              <w:t>5</w:t>
            </w:r>
          </w:p>
        </w:tc>
        <w:tc>
          <w:tcPr>
            <w:tcW w:type="dxa" w:w="7586"/>
          </w:tcPr>
          <w:p>
            <w:pPr>
              <w:spacing w:before="0" w:after="0"/>
            </w:pPr>
            <w:r>
              <w:rPr>
                <w:sz w:val="20"/>
              </w:rPr>
              <w:t>Say the coaching focus in one sentence: “From Interface to Systems Thinking.” Say that in the next unit they will not describe, they will decide.</w:t>
            </w:r>
          </w:p>
        </w:tc>
      </w:tr>
      <w:tr>
        <w:trPr>
          <w:cantSplit/>
        </w:trPr>
        <w:tc>
          <w:tcPr>
            <w:tcW w:type="dxa" w:w="864"/>
          </w:tcPr>
          <w:p>
            <w:pPr>
              <w:spacing w:before="0" w:after="0"/>
            </w:pPr>
            <w:r>
              <w:rPr>
                <w:sz w:val="20"/>
              </w:rPr>
              <w:t>2</w:t>
            </w:r>
          </w:p>
        </w:tc>
        <w:tc>
          <w:tcPr>
            <w:tcW w:type="dxa" w:w="1188"/>
          </w:tcPr>
          <w:p>
            <w:pPr>
              <w:spacing w:before="0" w:after="0"/>
            </w:pPr>
            <w:r>
              <w:rPr>
                <w:sz w:val="20"/>
              </w:rPr>
              <w:t>10</w:t>
            </w:r>
          </w:p>
        </w:tc>
        <w:tc>
          <w:tcPr>
            <w:tcW w:type="dxa" w:w="7586"/>
          </w:tcPr>
          <w:p>
            <w:pPr>
              <w:spacing w:before="0" w:after="0"/>
            </w:pPr>
            <w:r>
              <w:rPr>
                <w:sz w:val="20"/>
              </w:rPr>
              <w:t>Pairs talk through the reflection questions; the notes go into Block 1.3 (never scored).</w:t>
            </w:r>
          </w:p>
        </w:tc>
      </w:tr>
      <w:tr>
        <w:trPr>
          <w:cantSplit/>
        </w:trPr>
        <w:tc>
          <w:tcPr>
            <w:tcW w:type="dxa" w:w="864"/>
          </w:tcPr>
          <w:p>
            <w:pPr>
              <w:spacing w:before="0" w:after="0"/>
            </w:pPr>
            <w:r>
              <w:rPr>
                <w:sz w:val="20"/>
              </w:rPr>
              <w:t>3</w:t>
            </w:r>
          </w:p>
        </w:tc>
        <w:tc>
          <w:tcPr>
            <w:tcW w:type="dxa" w:w="1188"/>
          </w:tcPr>
          <w:p>
            <w:pPr>
              <w:spacing w:before="0" w:after="0"/>
            </w:pPr>
            <w:r>
              <w:rPr>
                <w:sz w:val="20"/>
              </w:rPr>
              <w:t>15</w:t>
            </w:r>
          </w:p>
        </w:tc>
        <w:tc>
          <w:tcPr>
            <w:tcW w:type="dxa" w:w="7586"/>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4"/>
          </w:tcPr>
          <w:p>
            <w:pPr>
              <w:spacing w:before="0" w:after="0"/>
            </w:pPr>
            <w:r>
              <w:rPr>
                <w:sz w:val="20"/>
              </w:rPr>
              <w:t>4</w:t>
            </w:r>
          </w:p>
        </w:tc>
        <w:tc>
          <w:tcPr>
            <w:tcW w:type="dxa" w:w="1188"/>
          </w:tcPr>
          <w:p>
            <w:pPr>
              <w:spacing w:before="0" w:after="0"/>
            </w:pPr>
            <w:r>
              <w:rPr>
                <w:sz w:val="20"/>
              </w:rPr>
              <w:t>10</w:t>
            </w:r>
          </w:p>
        </w:tc>
        <w:tc>
          <w:tcPr>
            <w:tcW w:type="dxa" w:w="7586"/>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4"/>
          </w:tcPr>
          <w:p>
            <w:pPr>
              <w:spacing w:before="0" w:after="0"/>
            </w:pPr>
            <w:r>
              <w:rPr>
                <w:sz w:val="20"/>
              </w:rPr>
              <w:t>5</w:t>
            </w:r>
          </w:p>
        </w:tc>
        <w:tc>
          <w:tcPr>
            <w:tcW w:type="dxa" w:w="1188"/>
          </w:tcPr>
          <w:p>
            <w:pPr>
              <w:spacing w:before="0" w:after="0"/>
            </w:pPr>
            <w:r>
              <w:rPr>
                <w:sz w:val="20"/>
              </w:rPr>
              <w:t>5</w:t>
            </w:r>
          </w:p>
        </w:tc>
        <w:tc>
          <w:tcPr>
            <w:tcW w:type="dxa" w:w="7586"/>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(Optional) · Coaching reflection</w:t>
            </w:r>
          </w:p>
          <w:p>
            <w:pPr>
              <w:spacing w:before="0" w:after="100"/>
            </w:pPr>
            <w:r>
              <w:rPr>
                <w:b/>
              </w:rPr>
              <w:t>Model answer (an example).</w:t>
            </w:r>
            <w:r>
              <w:rPr/>
              <w:t xml:space="preserve"> Showing learners where they are and what comes next improves learning more than any new feature, because without it they never reach the content. Critical: a clear path and visible progress. Nice to have: a new look or extra courses. Completion: a clear path lets learners finish, and finishing is what the platform earns from.</w:t>
            </w:r>
          </w:p>
          <w:p>
            <w:pPr>
              <w:spacing w:before="0" w:after="100"/>
            </w:pPr>
            <w:r>
              <w:rPr>
                <w:b/>
              </w:rPr>
              <w:t>Why.</w:t>
            </w:r>
            <w:r>
              <w:rPr/>
              <w:t xml:space="preserve"> Reflection is never scored. The plan's coaching points: UX is not a design problem but a decision problem; designing beautifully against designing effectively; thinking in user flows instead of single screens.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structure &amp; orientation</w:t>
      </w:r>
    </w:p>
    <w:p>
      <w:pPr>
        <w:pStyle w:val="ListBullet"/>
        <w:spacing w:before="0" w:after="40"/>
      </w:pPr>
      <w:r>
        <w:rPr>
          <w:b/>
        </w:rPr>
        <w:t>Measures (as the plan lists them):</w:t>
      </w:r>
    </w:p>
    <w:p>
      <w:pPr>
        <w:pStyle w:val="ListBullet"/>
        <w:spacing w:before="0" w:after="40"/>
      </w:pPr>
      <w:r>
        <w:rPr/>
        <w:t>Define learning paths (greatest impact)</w:t>
      </w:r>
    </w:p>
    <w:p>
      <w:pPr>
        <w:pStyle w:val="ListBullet"/>
        <w:spacing w:before="0" w:after="40"/>
      </w:pPr>
      <w:r>
        <w:rPr/>
        <w:t>Modularize content</w:t>
      </w:r>
    </w:p>
    <w:p>
      <w:pPr>
        <w:pStyle w:val="ListBullet"/>
        <w:spacing w:before="0" w:after="40"/>
      </w:pPr>
      <w:r>
        <w:rPr/>
        <w:t>Integrate a progress indicator</w:t>
      </w:r>
    </w:p>
    <w:p>
      <w:pPr>
        <w:pStyle w:val="ListBullet"/>
        <w:spacing w:before="0" w:after="100"/>
      </w:pPr>
      <w:r>
        <w:rPr/>
        <w:t>Reduce cognitive load</w:t>
      </w:r>
    </w:p>
    <w:p>
      <w:pPr>
        <w:spacing w:before="0" w:after="100"/>
      </w:pPr>
      <w:r>
        <w:rPr>
          <w:b/>
        </w:rPr>
        <w:t>Rationale (plan):</w:t>
      </w:r>
      <w:r>
        <w:rPr/>
        <w:t xml:space="preserve"> Impact &gt; Effort &gt; User impact</w:t>
      </w:r>
    </w:p>
    <w:p>
      <w:pPr>
        <w:pStyle w:val="Heading2"/>
      </w:pPr>
      <w:r>
        <w:rPr/>
        <w:t>Block 2.1 · model answers (UE5–6)</w:t>
      </w:r>
    </w:p>
    <w:p>
      <w:pPr>
        <w:spacing w:before="0" w:after="100"/>
      </w:pPr>
      <w:r>
        <w:rPr>
          <w:i/>
        </w:rPr>
        <w:t>Block 2.1: Three main causes of the drop-out · Optional · about 7 min.</w:t>
      </w:r>
    </w:p>
    <w:p>
      <w:pPr>
        <w:pStyle w:val="Heading3"/>
      </w:pPr>
      <w:r>
        <w:rPr/>
        <w:t>Reference: Three main causes</w:t>
      </w:r>
    </w:p>
    <w:p>
      <w:pPr>
        <w:spacing w:before="0" w:after="100"/>
      </w:pPr>
      <w:r>
        <w:rPr>
          <w:b/>
        </w:rPr>
        <w:t>Reference answer.</w:t>
      </w:r>
      <w:r>
        <w:rPr/>
        <w:t xml:space="preserve"> Learners have no clear path through a course: what to do first, next and last. · Lessons are hard to follow: long, unstructured text with unexplained terms. · Learners cannot see their progress or whether they are succeeding.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77"/>
        <w:gridCol w:w="1380"/>
        <w:gridCol w:w="4381"/>
      </w:tblGrid>
      <w:tr>
        <w:trPr>
          <w:cantSplit/>
          <w:tblHeader/>
        </w:trPr>
        <w:tc>
          <w:tcPr>
            <w:tcW w:type="dxa" w:w="3877"/>
            <w:shd w:val="clear" w:color="auto" w:fill="E6ECF4"/>
          </w:tcPr>
          <w:p>
            <w:pPr>
              <w:spacing w:before="0" w:after="0"/>
            </w:pPr>
            <w:r>
              <w:rPr>
                <w:b/>
                <w:sz w:val="20"/>
              </w:rPr>
              <w:t>Option</w:t>
            </w:r>
          </w:p>
        </w:tc>
        <w:tc>
          <w:tcPr>
            <w:tcW w:type="dxa" w:w="1380"/>
            <w:shd w:val="clear" w:color="auto" w:fill="E6ECF4"/>
          </w:tcPr>
          <w:p>
            <w:pPr>
              <w:spacing w:before="0" w:after="0"/>
            </w:pPr>
            <w:r>
              <w:rPr>
                <w:b/>
                <w:sz w:val="20"/>
              </w:rPr>
              <w:t>In the reference answer?</w:t>
            </w:r>
          </w:p>
        </w:tc>
        <w:tc>
          <w:tcPr>
            <w:tcW w:type="dxa" w:w="4381"/>
            <w:shd w:val="clear" w:color="auto" w:fill="E6ECF4"/>
          </w:tcPr>
          <w:p>
            <w:pPr>
              <w:spacing w:before="0" w:after="0"/>
            </w:pPr>
            <w:r>
              <w:rPr>
                <w:b/>
                <w:sz w:val="20"/>
              </w:rPr>
              <w:t>Why</w:t>
            </w:r>
          </w:p>
        </w:tc>
      </w:tr>
      <w:tr>
        <w:trPr>
          <w:cantSplit/>
        </w:trPr>
        <w:tc>
          <w:tcPr>
            <w:tcW w:type="dxa" w:w="3877"/>
          </w:tcPr>
          <w:p>
            <w:pPr>
              <w:spacing w:before="0" w:after="0"/>
            </w:pPr>
            <w:r>
              <w:rPr>
                <w:sz w:val="20"/>
              </w:rPr>
              <w:t>Learners have no clear path through a course: what to do first, next and last.</w:t>
            </w:r>
          </w:p>
        </w:tc>
        <w:tc>
          <w:tcPr>
            <w:tcW w:type="dxa" w:w="1380"/>
          </w:tcPr>
          <w:p>
            <w:pPr>
              <w:spacing w:before="0" w:after="0"/>
            </w:pPr>
            <w:r>
              <w:rPr>
                <w:sz w:val="20"/>
              </w:rPr>
              <w:t>Yes</w:t>
            </w:r>
          </w:p>
        </w:tc>
        <w:tc>
          <w:tcPr>
            <w:tcW w:type="dxa" w:w="4381"/>
          </w:tcPr>
          <w:p>
            <w:pPr>
              <w:spacing w:before="0" w:after="0"/>
            </w:pPr>
            <w:r>
              <w:rPr>
                <w:sz w:val="20"/>
              </w:rPr>
              <w:t>The case names it (“no clear learning path”), and findings 1 to 3 show it.</w:t>
            </w:r>
          </w:p>
        </w:tc>
      </w:tr>
      <w:tr>
        <w:trPr>
          <w:cantSplit/>
        </w:trPr>
        <w:tc>
          <w:tcPr>
            <w:tcW w:type="dxa" w:w="3877"/>
          </w:tcPr>
          <w:p>
            <w:pPr>
              <w:spacing w:before="0" w:after="0"/>
            </w:pPr>
            <w:r>
              <w:rPr>
                <w:sz w:val="20"/>
              </w:rPr>
              <w:t>Lessons are hard to follow: long, unstructured text with unexplained terms.</w:t>
            </w:r>
          </w:p>
        </w:tc>
        <w:tc>
          <w:tcPr>
            <w:tcW w:type="dxa" w:w="1380"/>
          </w:tcPr>
          <w:p>
            <w:pPr>
              <w:spacing w:before="0" w:after="0"/>
            </w:pPr>
            <w:r>
              <w:rPr>
                <w:sz w:val="20"/>
              </w:rPr>
              <w:t>Yes</w:t>
            </w:r>
          </w:p>
        </w:tc>
        <w:tc>
          <w:tcPr>
            <w:tcW w:type="dxa" w:w="4381"/>
          </w:tcPr>
          <w:p>
            <w:pPr>
              <w:spacing w:before="0" w:after="0"/>
            </w:pPr>
            <w:r>
              <w:rPr>
                <w:sz w:val="20"/>
              </w:rPr>
              <w:t>The case names it (“content hard to understand”), and findings 4 to 6 show it.</w:t>
            </w:r>
          </w:p>
        </w:tc>
      </w:tr>
      <w:tr>
        <w:trPr>
          <w:cantSplit/>
        </w:trPr>
        <w:tc>
          <w:tcPr>
            <w:tcW w:type="dxa" w:w="3877"/>
          </w:tcPr>
          <w:p>
            <w:pPr>
              <w:spacing w:before="0" w:after="0"/>
            </w:pPr>
            <w:r>
              <w:rPr>
                <w:sz w:val="20"/>
              </w:rPr>
              <w:t>Learners cannot see their progress or whether they are succeeding.</w:t>
            </w:r>
          </w:p>
        </w:tc>
        <w:tc>
          <w:tcPr>
            <w:tcW w:type="dxa" w:w="1380"/>
          </w:tcPr>
          <w:p>
            <w:pPr>
              <w:spacing w:before="0" w:after="0"/>
            </w:pPr>
            <w:r>
              <w:rPr>
                <w:sz w:val="20"/>
              </w:rPr>
              <w:t>Yes</w:t>
            </w:r>
          </w:p>
        </w:tc>
        <w:tc>
          <w:tcPr>
            <w:tcW w:type="dxa" w:w="4381"/>
          </w:tcPr>
          <w:p>
            <w:pPr>
              <w:spacing w:before="0" w:after="0"/>
            </w:pPr>
            <w:r>
              <w:rPr>
                <w:sz w:val="20"/>
              </w:rPr>
              <w:t>Findings 7 and 8 show it (no progress bar, no message after a quiz).</w:t>
            </w:r>
          </w:p>
        </w:tc>
      </w:tr>
      <w:tr>
        <w:trPr>
          <w:cantSplit/>
        </w:trPr>
        <w:tc>
          <w:tcPr>
            <w:tcW w:type="dxa" w:w="3877"/>
          </w:tcPr>
          <w:p>
            <w:pPr>
              <w:spacing w:before="0" w:after="0"/>
            </w:pPr>
            <w:r>
              <w:rPr>
                <w:sz w:val="20"/>
              </w:rPr>
              <w:t>The visual style of the platform looks dated.</w:t>
            </w:r>
          </w:p>
        </w:tc>
        <w:tc>
          <w:tcPr>
            <w:tcW w:type="dxa" w:w="1380"/>
          </w:tcPr>
          <w:p>
            <w:pPr>
              <w:spacing w:before="0" w:after="0"/>
            </w:pPr>
            <w:r>
              <w:rPr>
                <w:sz w:val="20"/>
              </w:rPr>
              <w:t>No</w:t>
            </w:r>
          </w:p>
        </w:tc>
        <w:tc>
          <w:tcPr>
            <w:tcW w:type="dxa" w:w="4381"/>
          </w:tcPr>
          <w:p>
            <w:pPr>
              <w:spacing w:before="0" w:after="0"/>
            </w:pPr>
            <w:r>
              <w:rPr>
                <w:sz w:val="20"/>
              </w:rPr>
              <w:t>No printed finding says so; it is about the surface, not the experience.</w:t>
            </w:r>
          </w:p>
        </w:tc>
      </w:tr>
      <w:tr>
        <w:trPr>
          <w:cantSplit/>
        </w:trPr>
        <w:tc>
          <w:tcPr>
            <w:tcW w:type="dxa" w:w="3877"/>
          </w:tcPr>
          <w:p>
            <w:pPr>
              <w:spacing w:before="0" w:after="0"/>
            </w:pPr>
            <w:r>
              <w:rPr>
                <w:sz w:val="20"/>
              </w:rPr>
              <w:t>The course catalogue is too small.</w:t>
            </w:r>
          </w:p>
        </w:tc>
        <w:tc>
          <w:tcPr>
            <w:tcW w:type="dxa" w:w="1380"/>
          </w:tcPr>
          <w:p>
            <w:pPr>
              <w:spacing w:before="0" w:after="0"/>
            </w:pPr>
            <w:r>
              <w:rPr>
                <w:sz w:val="20"/>
              </w:rPr>
              <w:t>No</w:t>
            </w:r>
          </w:p>
        </w:tc>
        <w:tc>
          <w:tcPr>
            <w:tcW w:type="dxa" w:w="4381"/>
          </w:tcPr>
          <w:p>
            <w:pPr>
              <w:spacing w:before="0" w:after="0"/>
            </w:pPr>
            <w:r>
              <w:rPr>
                <w:sz w:val="20"/>
              </w:rPr>
              <w:t>Nothing in the case says learners leave for lack of courses.</w:t>
            </w:r>
          </w:p>
        </w:tc>
      </w:tr>
      <w:tr>
        <w:trPr>
          <w:cantSplit/>
        </w:trPr>
        <w:tc>
          <w:tcPr>
            <w:tcW w:type="dxa" w:w="3877"/>
          </w:tcPr>
          <w:p>
            <w:pPr>
              <w:spacing w:before="0" w:after="0"/>
            </w:pPr>
            <w:r>
              <w:rPr>
                <w:sz w:val="20"/>
              </w:rPr>
              <w:t>The subscription price is too high.</w:t>
            </w:r>
          </w:p>
        </w:tc>
        <w:tc>
          <w:tcPr>
            <w:tcW w:type="dxa" w:w="1380"/>
          </w:tcPr>
          <w:p>
            <w:pPr>
              <w:spacing w:before="0" w:after="0"/>
            </w:pPr>
            <w:r>
              <w:rPr>
                <w:sz w:val="20"/>
              </w:rPr>
              <w:t>No</w:t>
            </w:r>
          </w:p>
        </w:tc>
        <w:tc>
          <w:tcPr>
            <w:tcW w:type="dxa" w:w="4381"/>
          </w:tcPr>
          <w:p>
            <w:pPr>
              <w:spacing w:before="0" w:after="0"/>
            </w:pPr>
            <w:r>
              <w:rPr>
                <w:sz w:val="20"/>
              </w:rPr>
              <w:t>The case mentions no price complaint.</w:t>
            </w:r>
          </w:p>
        </w:tc>
      </w:tr>
    </w:tbl>
    <w:p>
      <w:pPr>
        <w:spacing w:before="0" w:after="80"/>
      </w:pPr>
    </w:p>
    <w:p>
      <w:pPr>
        <w:spacing w:before="0" w:after="100"/>
      </w:pPr>
      <w:r>
        <w:rPr>
          <w:i/>
        </w:rPr>
        <w:t>Trainer note.</w:t>
      </w:r>
      <w:r>
        <w:rPr/>
        <w:t xml:space="preserve"> The plan's model solution names the main problem as a lack of structure and orientation. A learner who swaps one cause for another and points at a printed fact (a finding or a case line) defends the choice; a cause with no printed evidence does not.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(Optional) · Why these three causes</w:t>
            </w:r>
          </w:p>
          <w:p>
            <w:pPr>
              <w:spacing w:before="0" w:after="100"/>
            </w:pPr>
            <w:r>
              <w:rPr>
                <w:b/>
              </w:rPr>
              <w:t>Model answer (an example).</w:t>
            </w:r>
            <w:r>
              <w:rPr/>
              <w:t xml:space="preserve"> The case itself says there is no clear learning path, and findings 1 to 3 show that learners cannot tell where to start or what comes next.</w:t>
            </w:r>
          </w:p>
          <w:p>
            <w:pPr>
              <w:spacing w:before="0" w:after="100"/>
            </w:pPr>
            <w:r>
              <w:rPr>
                <w:b/>
              </w:rPr>
              <w:t>Why.</w:t>
            </w:r>
            <w:r>
              <w:rPr/>
              <w:t xml:space="preserve"> A cause is defended by a printed fact. The plan's model solution names the main problem as a lack of structure and orientation.</w:t>
            </w:r>
          </w:p>
          <w:p>
            <w:pPr>
              <w:spacing w:before="0" w:after="100"/>
            </w:pPr>
            <w:r>
              <w:rPr>
                <w:b/>
              </w:rPr>
              <w:t>Look for.</w:t>
            </w:r>
          </w:p>
          <w:p>
            <w:pPr>
              <w:pStyle w:val="ListBullet"/>
              <w:spacing w:before="0" w:after="40"/>
            </w:pPr>
            <w:r>
              <w:rPr/>
              <w:t>Points at a printed finding or a case line.</w:t>
            </w:r>
          </w:p>
          <w:p>
            <w:pPr>
              <w:pStyle w:val="ListBullet"/>
              <w:spacing w:before="0" w:after="100"/>
            </w:pPr>
            <w:r>
              <w:rPr/>
              <w:t>Does not offer a cause the case never mentions.</w:t>
            </w:r>
          </w:p>
        </w:tc>
      </w:tr>
    </w:tbl>
    <w:p>
      <w:pPr>
        <w:spacing w:before="0" w:after="80"/>
      </w:pPr>
    </w:p>
    <w:p>
      <w:pPr>
        <w:pStyle w:val="Heading2"/>
      </w:pPr>
      <w:r>
        <w:rPr/>
        <w:t>Block 2.2 · model answers (UE5–6)</w:t>
      </w:r>
    </w:p>
    <w:p>
      <w:pPr>
        <w:spacing w:before="0" w:after="100"/>
      </w:pPr>
      <w:r>
        <w:rPr>
          <w:i/>
        </w:rPr>
        <w:t>Block 2.2: Four measures, rated and ordered · Core · about 17 min.</w:t>
      </w:r>
    </w:p>
    <w:p>
      <w:pPr>
        <w:pStyle w:val="Heading3"/>
      </w:pPr>
      <w:r>
        <w:rPr/>
        <w:t>Reference: Choose four measures, rate them, order them</w:t>
      </w:r>
    </w:p>
    <w:p>
      <w:pPr>
        <w:spacing w:before="0" w:after="100"/>
      </w:pPr>
      <w:r>
        <w:rPr>
          <w:b/>
        </w:rPr>
        <w:t>Reference answer.</w:t>
      </w:r>
      <w:r>
        <w:rPr/>
        <w:t xml:space="preserve"> Define learning paths; Split lessons into short units; Add a progress indicator; Structure the text of each lesson. Total €47,000 of €50,000.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73"/>
        <w:gridCol w:w="1335"/>
        <w:gridCol w:w="6230"/>
      </w:tblGrid>
      <w:tr>
        <w:trPr>
          <w:cantSplit/>
          <w:tblHeader/>
        </w:trPr>
        <w:tc>
          <w:tcPr>
            <w:tcW w:type="dxa" w:w="2073"/>
            <w:shd w:val="clear" w:color="auto" w:fill="E6ECF4"/>
          </w:tcPr>
          <w:p>
            <w:pPr>
              <w:spacing w:before="0" w:after="0"/>
            </w:pPr>
            <w:r>
              <w:rPr>
                <w:b/>
                <w:sz w:val="20"/>
              </w:rPr>
              <w:t>Option</w:t>
            </w:r>
          </w:p>
        </w:tc>
        <w:tc>
          <w:tcPr>
            <w:tcW w:type="dxa" w:w="1335"/>
            <w:shd w:val="clear" w:color="auto" w:fill="E6ECF4"/>
          </w:tcPr>
          <w:p>
            <w:pPr>
              <w:spacing w:before="0" w:after="0"/>
            </w:pPr>
            <w:r>
              <w:rPr>
                <w:b/>
                <w:sz w:val="20"/>
              </w:rPr>
              <w:t>In the reference answer?</w:t>
            </w:r>
          </w:p>
        </w:tc>
        <w:tc>
          <w:tcPr>
            <w:tcW w:type="dxa" w:w="6230"/>
            <w:shd w:val="clear" w:color="auto" w:fill="E6ECF4"/>
          </w:tcPr>
          <w:p>
            <w:pPr>
              <w:spacing w:before="0" w:after="0"/>
            </w:pPr>
            <w:r>
              <w:rPr>
                <w:b/>
                <w:sz w:val="20"/>
              </w:rPr>
              <w:t>Why</w:t>
            </w:r>
          </w:p>
        </w:tc>
      </w:tr>
      <w:tr>
        <w:trPr>
          <w:cantSplit/>
        </w:trPr>
        <w:tc>
          <w:tcPr>
            <w:tcW w:type="dxa" w:w="2073"/>
          </w:tcPr>
          <w:p>
            <w:pPr>
              <w:spacing w:before="0" w:after="0"/>
            </w:pPr>
            <w:r>
              <w:rPr>
                <w:sz w:val="20"/>
              </w:rPr>
              <w:t>Define learning paths</w:t>
            </w:r>
          </w:p>
        </w:tc>
        <w:tc>
          <w:tcPr>
            <w:tcW w:type="dxa" w:w="1335"/>
          </w:tcPr>
          <w:p>
            <w:pPr>
              <w:spacing w:before="0" w:after="0"/>
            </w:pPr>
            <w:r>
              <w:rPr>
                <w:sz w:val="20"/>
              </w:rPr>
              <w:t>Yes</w:t>
            </w:r>
          </w:p>
        </w:tc>
        <w:tc>
          <w:tcPr>
            <w:tcW w:type="dxa" w:w="6230"/>
          </w:tcPr>
          <w:p>
            <w:pPr>
              <w:spacing w:before="0" w:after="0"/>
            </w:pPr>
            <w:r>
              <w:rPr>
                <w:sz w:val="20"/>
              </w:rPr>
              <w:t>Answers a printed finding (orientation). Effort High by the printed cost €18,000. Reference ratings: user impact High, risk Mid.</w:t>
            </w:r>
          </w:p>
        </w:tc>
      </w:tr>
      <w:tr>
        <w:trPr>
          <w:cantSplit/>
        </w:trPr>
        <w:tc>
          <w:tcPr>
            <w:tcW w:type="dxa" w:w="2073"/>
          </w:tcPr>
          <w:p>
            <w:pPr>
              <w:spacing w:before="0" w:after="0"/>
            </w:pPr>
            <w:r>
              <w:rPr>
                <w:sz w:val="20"/>
              </w:rPr>
              <w:t>Split lessons into short units</w:t>
            </w:r>
          </w:p>
        </w:tc>
        <w:tc>
          <w:tcPr>
            <w:tcW w:type="dxa" w:w="1335"/>
          </w:tcPr>
          <w:p>
            <w:pPr>
              <w:spacing w:before="0" w:after="0"/>
            </w:pPr>
            <w:r>
              <w:rPr>
                <w:sz w:val="20"/>
              </w:rPr>
              <w:t>Yes</w:t>
            </w:r>
          </w:p>
        </w:tc>
        <w:tc>
          <w:tcPr>
            <w:tcW w:type="dxa" w:w="6230"/>
          </w:tcPr>
          <w:p>
            <w:pPr>
              <w:spacing w:before="0" w:after="0"/>
            </w:pPr>
            <w:r>
              <w:rPr>
                <w:sz w:val="20"/>
              </w:rPr>
              <w:t>Answers a printed finding (understanding). Effort Mid by the printed cost €14,000. Reference ratings: user impact Mid, risk Mid.</w:t>
            </w:r>
          </w:p>
        </w:tc>
      </w:tr>
      <w:tr>
        <w:trPr>
          <w:cantSplit/>
        </w:trPr>
        <w:tc>
          <w:tcPr>
            <w:tcW w:type="dxa" w:w="2073"/>
          </w:tcPr>
          <w:p>
            <w:pPr>
              <w:spacing w:before="0" w:after="0"/>
            </w:pPr>
            <w:r>
              <w:rPr>
                <w:sz w:val="20"/>
              </w:rPr>
              <w:t>Add a progress indicator</w:t>
            </w:r>
          </w:p>
        </w:tc>
        <w:tc>
          <w:tcPr>
            <w:tcW w:type="dxa" w:w="1335"/>
          </w:tcPr>
          <w:p>
            <w:pPr>
              <w:spacing w:before="0" w:after="0"/>
            </w:pPr>
            <w:r>
              <w:rPr>
                <w:sz w:val="20"/>
              </w:rPr>
              <w:t>Yes</w:t>
            </w:r>
          </w:p>
        </w:tc>
        <w:tc>
          <w:tcPr>
            <w:tcW w:type="dxa" w:w="6230"/>
          </w:tcPr>
          <w:p>
            <w:pPr>
              <w:spacing w:before="0" w:after="0"/>
            </w:pPr>
            <w:r>
              <w:rPr>
                <w:sz w:val="20"/>
              </w:rPr>
              <w:t>Answers a printed finding (motivation). Effort Low by the printed cost €6,000. Reference ratings: user impact Mid, risk Low.</w:t>
            </w:r>
          </w:p>
        </w:tc>
      </w:tr>
      <w:tr>
        <w:trPr>
          <w:cantSplit/>
        </w:trPr>
        <w:tc>
          <w:tcPr>
            <w:tcW w:type="dxa" w:w="2073"/>
          </w:tcPr>
          <w:p>
            <w:pPr>
              <w:spacing w:before="0" w:after="0"/>
            </w:pPr>
            <w:r>
              <w:rPr>
                <w:sz w:val="20"/>
              </w:rPr>
              <w:t>Structure the text of each lesson</w:t>
            </w:r>
          </w:p>
        </w:tc>
        <w:tc>
          <w:tcPr>
            <w:tcW w:type="dxa" w:w="1335"/>
          </w:tcPr>
          <w:p>
            <w:pPr>
              <w:spacing w:before="0" w:after="0"/>
            </w:pPr>
            <w:r>
              <w:rPr>
                <w:sz w:val="20"/>
              </w:rPr>
              <w:t>Yes</w:t>
            </w:r>
          </w:p>
        </w:tc>
        <w:tc>
          <w:tcPr>
            <w:tcW w:type="dxa" w:w="6230"/>
          </w:tcPr>
          <w:p>
            <w:pPr>
              <w:spacing w:before="0" w:after="0"/>
            </w:pPr>
            <w:r>
              <w:rPr>
                <w:sz w:val="20"/>
              </w:rPr>
              <w:t>Answers a printed finding (understanding). Effort Low by the printed cost €9,000. Reference ratings: user impact Mid, risk Low.</w:t>
            </w:r>
          </w:p>
        </w:tc>
      </w:tr>
      <w:tr>
        <w:trPr>
          <w:cantSplit/>
        </w:trPr>
        <w:tc>
          <w:tcPr>
            <w:tcW w:type="dxa" w:w="2073"/>
          </w:tcPr>
          <w:p>
            <w:pPr>
              <w:spacing w:before="0" w:after="0"/>
            </w:pPr>
            <w:r>
              <w:rPr>
                <w:sz w:val="20"/>
              </w:rPr>
              <w:t>Points and badges</w:t>
            </w:r>
          </w:p>
        </w:tc>
        <w:tc>
          <w:tcPr>
            <w:tcW w:type="dxa" w:w="1335"/>
          </w:tcPr>
          <w:p>
            <w:pPr>
              <w:spacing w:before="0" w:after="0"/>
            </w:pPr>
            <w:r>
              <w:rPr>
                <w:sz w:val="20"/>
              </w:rPr>
              <w:t>No</w:t>
            </w:r>
          </w:p>
        </w:tc>
        <w:tc>
          <w:tcPr>
            <w:tcW w:type="dxa" w:w="6230"/>
          </w:tcPr>
          <w:p>
            <w:pPr>
              <w:spacing w:before="0" w:after="0"/>
            </w:pPr>
            <w:r>
              <w:rPr>
                <w:sz w:val="20"/>
              </w:rPr>
              <w:t>Rejected in the plan's own logic: points and badges are extrinsic and answer none of the three findings areas directly; the short-term effect fades and the cost is Mid. A learner who funds it must say what it does for the learner.</w:t>
            </w:r>
          </w:p>
        </w:tc>
      </w:tr>
      <w:tr>
        <w:trPr>
          <w:cantSplit/>
        </w:trPr>
        <w:tc>
          <w:tcPr>
            <w:tcW w:type="dxa" w:w="2073"/>
          </w:tcPr>
          <w:p>
            <w:pPr>
              <w:spacing w:before="0" w:after="0"/>
            </w:pPr>
            <w:r>
              <w:rPr>
                <w:sz w:val="20"/>
              </w:rPr>
              <w:t>Discussion forum</w:t>
            </w:r>
          </w:p>
        </w:tc>
        <w:tc>
          <w:tcPr>
            <w:tcW w:type="dxa" w:w="1335"/>
          </w:tcPr>
          <w:p>
            <w:pPr>
              <w:spacing w:before="0" w:after="0"/>
            </w:pPr>
            <w:r>
              <w:rPr>
                <w:sz w:val="20"/>
              </w:rPr>
              <w:t>No</w:t>
            </w:r>
          </w:p>
        </w:tc>
        <w:tc>
          <w:tcPr>
            <w:tcW w:type="dxa" w:w="6230"/>
          </w:tcPr>
          <w:p>
            <w:pPr>
              <w:spacing w:before="0" w:after="0"/>
            </w:pPr>
            <w:r>
              <w:rPr>
                <w:sz w:val="20"/>
              </w:rPr>
              <w:t>Rejected: a new feature, tied to no printed finding, and the most expensive option (€22,000, effort High).</w:t>
            </w:r>
          </w:p>
        </w:tc>
      </w:tr>
      <w:tr>
        <w:trPr>
          <w:cantSplit/>
        </w:trPr>
        <w:tc>
          <w:tcPr>
            <w:tcW w:type="dxa" w:w="2073"/>
          </w:tcPr>
          <w:p>
            <w:pPr>
              <w:spacing w:before="0" w:after="0"/>
            </w:pPr>
            <w:r>
              <w:rPr>
                <w:sz w:val="20"/>
              </w:rPr>
              <w:t>New visual style</w:t>
            </w:r>
          </w:p>
        </w:tc>
        <w:tc>
          <w:tcPr>
            <w:tcW w:type="dxa" w:w="1335"/>
          </w:tcPr>
          <w:p>
            <w:pPr>
              <w:spacing w:before="0" w:after="0"/>
            </w:pPr>
            <w:r>
              <w:rPr>
                <w:sz w:val="20"/>
              </w:rPr>
              <w:t>No</w:t>
            </w:r>
          </w:p>
        </w:tc>
        <w:tc>
          <w:tcPr>
            <w:tcW w:type="dxa" w:w="6230"/>
          </w:tcPr>
          <w:p>
            <w:pPr>
              <w:spacing w:before="0" w:after="0"/>
            </w:pPr>
            <w:r>
              <w:rPr>
                <w:sz w:val="20"/>
              </w:rPr>
              <w:t>Rejected: it changes the look (UI), not the experience; no printed finding is about the look.</w:t>
            </w:r>
          </w:p>
        </w:tc>
      </w:tr>
      <w:tr>
        <w:trPr>
          <w:cantSplit/>
        </w:trPr>
        <w:tc>
          <w:tcPr>
            <w:tcW w:type="dxa" w:w="2073"/>
          </w:tcPr>
          <w:p>
            <w:pPr>
              <w:spacing w:before="0" w:after="0"/>
            </w:pPr>
            <w:r>
              <w:rPr>
                <w:sz w:val="20"/>
              </w:rPr>
              <w:t>Ten new courses</w:t>
            </w:r>
          </w:p>
        </w:tc>
        <w:tc>
          <w:tcPr>
            <w:tcW w:type="dxa" w:w="1335"/>
          </w:tcPr>
          <w:p>
            <w:pPr>
              <w:spacing w:before="0" w:after="0"/>
            </w:pPr>
            <w:r>
              <w:rPr>
                <w:sz w:val="20"/>
              </w:rPr>
              <w:t>No</w:t>
            </w:r>
          </w:p>
        </w:tc>
        <w:tc>
          <w:tcPr>
            <w:tcW w:type="dxa" w:w="6230"/>
          </w:tcPr>
          <w:p>
            <w:pPr>
              <w:spacing w:before="0" w:after="0"/>
            </w:pPr>
            <w:r>
              <w:rPr>
                <w:sz w:val="20"/>
              </w:rPr>
              <w:t>Rejected: more content serves a business goal, not a learner's problem; €20,000 for effort High.</w:t>
            </w:r>
          </w:p>
        </w:tc>
      </w:tr>
      <w:tr>
        <w:trPr>
          <w:cantSplit/>
        </w:trPr>
        <w:tc>
          <w:tcPr>
            <w:tcW w:type="dxa" w:w="2073"/>
          </w:tcPr>
          <w:p>
            <w:pPr>
              <w:spacing w:before="0" w:after="0"/>
            </w:pPr>
            <w:r>
              <w:rPr>
                <w:sz w:val="20"/>
              </w:rPr>
              <w:t>Interview learners who left, and test one course</w:t>
            </w:r>
          </w:p>
        </w:tc>
        <w:tc>
          <w:tcPr>
            <w:tcW w:type="dxa" w:w="1335"/>
          </w:tcPr>
          <w:p>
            <w:pPr>
              <w:spacing w:before="0" w:after="0"/>
            </w:pPr>
            <w:r>
              <w:rPr>
                <w:sz w:val="20"/>
              </w:rPr>
              <w:t>No</w:t>
            </w:r>
          </w:p>
        </w:tc>
        <w:tc>
          <w:tcPr>
            <w:tcW w:type="dxa" w:w="6230"/>
          </w:tcPr>
          <w:p>
            <w:pPr>
              <w:spacing w:before="0" w:after="0"/>
            </w:pPr>
            <w:r>
              <w:rPr>
                <w:sz w:val="20"/>
              </w:rPr>
              <w:t>Defendable, not in the model: it gathers evidence (cost €7,000, effort Low) and answers the “what information are you missing” item. A learner who funds it instead of m4 should say which measure they drop and why.</w:t>
            </w:r>
          </w:p>
        </w:tc>
      </w:tr>
    </w:tbl>
    <w:p>
      <w:pPr>
        <w:spacing w:before="0" w:after="80"/>
      </w:pPr>
    </w:p>
    <w:p>
      <w:pPr>
        <w:spacing w:before="0" w:after="100"/>
      </w:pPr>
      <w:r>
        <w:rPr>
          <w:i/>
        </w:rPr>
        <w:t>Trainer note.</w:t>
      </w:r>
      <w:r>
        <w:rPr/>
        <w:t xml:space="preserve"> The plan's model solution orders them: learning paths (greatest impact), modular content, progress indicator, less cognitive load; its rationale line “Impact &gt; Effort &gt; User impact” is read here as: impact first, then what it costs.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Learning paths come first because every learner meets the orientation problem before anything else, and the other three measures work better once a path exists.</w:t>
            </w:r>
          </w:p>
          <w:p>
            <w:pPr>
              <w:spacing w:before="0" w:after="100"/>
            </w:pPr>
            <w:r>
              <w:rPr>
                <w:b/>
              </w:rPr>
              <w:t>Why.</w:t>
            </w:r>
            <w:r>
              <w:rPr/>
              <w:t xml:space="preserve"> The plan's model solution puts learning paths first (“greatest impact”). A different first priority defends if the reason is concrete.</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Refers to the learner's problem, the cost or what the others depend 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why the 40 learners leave: the findings show what is hard, not what makes a learner decide to stop. I would interview ten who left before spending all of the €50,000.</w:t>
            </w:r>
          </w:p>
          <w:p>
            <w:pPr>
              <w:spacing w:before="0" w:after="100"/>
            </w:pPr>
            <w:r>
              <w:rPr>
                <w:b/>
              </w:rPr>
              <w:t>Why.</w:t>
            </w:r>
            <w:r>
              <w:rPr/>
              <w:t xml:space="preserve"> The plan asks it outright (“Welche Information fehlt Ihnen?”). The good answer names an unknown that would change the decision, and a way to find it out.</w:t>
            </w:r>
          </w:p>
          <w:p>
            <w:pPr>
              <w:spacing w:before="0" w:after="100"/>
            </w:pPr>
            <w:r>
              <w:rPr>
                <w:b/>
              </w:rPr>
              <w:t>Look for.</w:t>
            </w:r>
          </w:p>
          <w:p>
            <w:pPr>
              <w:pStyle w:val="ListBullet"/>
              <w:spacing w:before="0" w:after="40"/>
            </w:pPr>
            <w:r>
              <w:rPr/>
              <w:t>Names a specific unknown, not “more data”.</w:t>
            </w:r>
          </w:p>
          <w:p>
            <w:pPr>
              <w:pStyle w:val="ListBullet"/>
              <w:spacing w:before="0" w:after="40"/>
            </w:pPr>
            <w:r>
              <w:rPr/>
              <w:t>Says how it could be found out.</w:t>
            </w:r>
          </w:p>
          <w:p>
            <w:pPr>
              <w:pStyle w:val="ListBullet"/>
              <w:spacing w:before="0" w:after="100"/>
            </w:pPr>
            <w:r>
              <w:rPr/>
              <w:t>Connects to the decision (what would change).</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93"/>
        <w:gridCol w:w="1217"/>
        <w:gridCol w:w="7528"/>
      </w:tblGrid>
      <w:tr>
        <w:trPr>
          <w:cantSplit/>
          <w:tblHeader/>
        </w:trPr>
        <w:tc>
          <w:tcPr>
            <w:tcW w:type="dxa" w:w="893"/>
            <w:shd w:val="clear" w:color="auto" w:fill="E6ECF4"/>
          </w:tcPr>
          <w:p>
            <w:pPr>
              <w:spacing w:before="0" w:after="0"/>
            </w:pPr>
            <w:r>
              <w:rPr>
                <w:b/>
                <w:sz w:val="20"/>
              </w:rPr>
              <w:t>Step</w:t>
            </w:r>
          </w:p>
        </w:tc>
        <w:tc>
          <w:tcPr>
            <w:tcW w:type="dxa" w:w="1217"/>
            <w:shd w:val="clear" w:color="auto" w:fill="E6ECF4"/>
          </w:tcPr>
          <w:p>
            <w:pPr>
              <w:spacing w:before="0" w:after="0"/>
            </w:pPr>
            <w:r>
              <w:rPr>
                <w:b/>
                <w:sz w:val="20"/>
              </w:rPr>
              <w:t>Minutes</w:t>
            </w:r>
          </w:p>
        </w:tc>
        <w:tc>
          <w:tcPr>
            <w:tcW w:type="dxa" w:w="7528"/>
            <w:shd w:val="clear" w:color="auto" w:fill="E6ECF4"/>
          </w:tcPr>
          <w:p>
            <w:pPr>
              <w:spacing w:before="0" w:after="0"/>
            </w:pPr>
            <w:r>
              <w:rPr>
                <w:b/>
                <w:sz w:val="20"/>
              </w:rPr>
              <w:t>What you do</w:t>
            </w:r>
          </w:p>
        </w:tc>
      </w:tr>
      <w:tr>
        <w:trPr>
          <w:cantSplit/>
        </w:trPr>
        <w:tc>
          <w:tcPr>
            <w:tcW w:type="dxa" w:w="893"/>
          </w:tcPr>
          <w:p>
            <w:pPr>
              <w:spacing w:before="0" w:after="0"/>
            </w:pPr>
            <w:r>
              <w:rPr>
                <w:sz w:val="20"/>
              </w:rPr>
              <w:t>1</w:t>
            </w:r>
          </w:p>
        </w:tc>
        <w:tc>
          <w:tcPr>
            <w:tcW w:type="dxa" w:w="1217"/>
          </w:tcPr>
          <w:p>
            <w:pPr>
              <w:spacing w:before="0" w:after="0"/>
            </w:pPr>
            <w:r>
              <w:rPr>
                <w:sz w:val="20"/>
              </w:rPr>
              <w:t>15</w:t>
            </w:r>
          </w:p>
        </w:tc>
        <w:tc>
          <w:tcPr>
            <w:tcW w:type="dxa" w:w="7528"/>
          </w:tcPr>
          <w:p>
            <w:pPr>
              <w:spacing w:before="0" w:after="0"/>
            </w:pPr>
            <w:r>
              <w:rPr>
                <w:sz w:val="20"/>
              </w:rPr>
              <w:t>Groups of three or four compare their four measures and their order. They name where they differ and why.</w:t>
            </w:r>
          </w:p>
        </w:tc>
      </w:tr>
      <w:tr>
        <w:trPr>
          <w:cantSplit/>
        </w:trPr>
        <w:tc>
          <w:tcPr>
            <w:tcW w:type="dxa" w:w="893"/>
          </w:tcPr>
          <w:p>
            <w:pPr>
              <w:spacing w:before="0" w:after="0"/>
            </w:pPr>
            <w:r>
              <w:rPr>
                <w:sz w:val="20"/>
              </w:rPr>
              <w:t>2</w:t>
            </w:r>
          </w:p>
        </w:tc>
        <w:tc>
          <w:tcPr>
            <w:tcW w:type="dxa" w:w="1217"/>
          </w:tcPr>
          <w:p>
            <w:pPr>
              <w:spacing w:before="0" w:after="0"/>
            </w:pPr>
            <w:r>
              <w:rPr>
                <w:sz w:val="20"/>
              </w:rPr>
              <w:t>15</w:t>
            </w:r>
          </w:p>
        </w:tc>
        <w:tc>
          <w:tcPr>
            <w:tcW w:type="dxa" w:w="7528"/>
          </w:tcPr>
          <w:p>
            <w:pPr>
              <w:spacing w:before="0" w:after="0"/>
            </w:pPr>
            <w:r>
              <w:rPr>
                <w:sz w:val="20"/>
              </w:rPr>
              <w:t>Each group gives the reason for its first priority in one sentence. Write the reasons on a board; do not write the measures.</w:t>
            </w:r>
          </w:p>
        </w:tc>
      </w:tr>
      <w:tr>
        <w:trPr>
          <w:cantSplit/>
        </w:trPr>
        <w:tc>
          <w:tcPr>
            <w:tcW w:type="dxa" w:w="893"/>
          </w:tcPr>
          <w:p>
            <w:pPr>
              <w:spacing w:before="0" w:after="0"/>
            </w:pPr>
            <w:r>
              <w:rPr>
                <w:sz w:val="20"/>
              </w:rPr>
              <w:t>3</w:t>
            </w:r>
          </w:p>
        </w:tc>
        <w:tc>
          <w:tcPr>
            <w:tcW w:type="dxa" w:w="1217"/>
          </w:tcPr>
          <w:p>
            <w:pPr>
              <w:spacing w:before="0" w:after="0"/>
            </w:pPr>
            <w:r>
              <w:rPr>
                <w:sz w:val="20"/>
              </w:rPr>
              <w:t>10</w:t>
            </w:r>
          </w:p>
        </w:tc>
        <w:tc>
          <w:tcPr>
            <w:tcW w:type="dxa" w:w="7528"/>
          </w:tcPr>
          <w:p>
            <w:pPr>
              <w:spacing w:before="0" w:after="0"/>
            </w:pPr>
            <w:r>
              <w:rPr>
                <w:sz w:val="20"/>
              </w:rPr>
              <w:t>Show the plan's core logic and the rationale line (“Impact &gt; Effort &gt; User impact”). Ask: where does a different order still defend?</w:t>
            </w:r>
          </w:p>
        </w:tc>
      </w:tr>
      <w:tr>
        <w:trPr>
          <w:cantSplit/>
        </w:trPr>
        <w:tc>
          <w:tcPr>
            <w:tcW w:type="dxa" w:w="893"/>
          </w:tcPr>
          <w:p>
            <w:pPr>
              <w:spacing w:before="0" w:after="0"/>
            </w:pPr>
            <w:r>
              <w:rPr>
                <w:sz w:val="20"/>
              </w:rPr>
              <w:t>4</w:t>
            </w:r>
          </w:p>
        </w:tc>
        <w:tc>
          <w:tcPr>
            <w:tcW w:type="dxa" w:w="1217"/>
          </w:tcPr>
          <w:p>
            <w:pPr>
              <w:spacing w:before="0" w:after="0"/>
            </w:pPr>
            <w:r>
              <w:rPr>
                <w:sz w:val="20"/>
              </w:rPr>
              <w:t>5</w:t>
            </w:r>
          </w:p>
        </w:tc>
        <w:tc>
          <w:tcPr>
            <w:tcW w:type="dxa" w:w="7528"/>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Management Perspective (UE7)</w:t>
      </w:r>
    </w:p>
    <w:p>
      <w:pPr>
        <w:spacing w:before="0" w:after="100"/>
      </w:pPr>
      <w:r>
        <w:rPr>
          <w:b/>
        </w:rPr>
        <w:t>Preparation (from the plan).</w:t>
      </w:r>
    </w:p>
    <w:p>
      <w:pPr>
        <w:pStyle w:val="ListBullet"/>
        <w:spacing w:before="0" w:after="40"/>
      </w:pPr>
      <w:r>
        <w:rPr/>
        <w:t>Groups present their solutions</w:t>
      </w:r>
    </w:p>
    <w:p>
      <w:pPr>
        <w:pStyle w:val="ListBullet"/>
        <w:spacing w:before="0" w:after="100"/>
      </w:pPr>
      <w:r>
        <w:rPr/>
        <w:t>Focus: rationale, not result</w:t>
      </w:r>
    </w:p>
    <w:p>
      <w:pPr>
        <w:spacing w:before="0" w:after="100"/>
      </w:pPr>
      <w:r>
        <w:rPr>
          <w:b/>
        </w:rPr>
        <w:t>Level 3 input: ask these questions.</w:t>
      </w:r>
    </w:p>
    <w:p>
      <w:pPr>
        <w:pStyle w:val="ListBullet"/>
        <w:spacing w:before="0" w:after="40"/>
      </w:pPr>
      <w:r>
        <w:rPr/>
        <w:t>Which decision has the greatest business impact?</w:t>
      </w:r>
    </w:p>
    <w:p>
      <w:pPr>
        <w:pStyle w:val="ListBullet"/>
        <w:spacing w:before="0" w:after="40"/>
      </w:pPr>
      <w:r>
        <w:rPr/>
        <w:t>Which UX decision reduces the drop-out rate sustainably?</w:t>
      </w:r>
    </w:p>
    <w:p>
      <w:pPr>
        <w:pStyle w:val="ListBullet"/>
        <w:spacing w:before="0" w:after="100"/>
      </w:pPr>
      <w:r>
        <w:rPr/>
        <w:t>Where is the greatest risk?</w:t>
      </w:r>
    </w:p>
    <w:p>
      <w:pPr>
        <w:spacing w:before="0" w:after="100"/>
      </w:pPr>
      <w:r>
        <w:rPr>
          <w:b/>
        </w:rPr>
        <w:t>Discussion.</w:t>
      </w:r>
    </w:p>
    <w:p>
      <w:pPr>
        <w:pStyle w:val="ListBullet"/>
        <w:spacing w:before="0" w:after="40"/>
      </w:pPr>
      <w:r>
        <w:rPr/>
        <w:t>UX as a competitive factor</w:t>
      </w:r>
    </w:p>
    <w:p>
      <w:pPr>
        <w:pStyle w:val="ListBullet"/>
        <w:spacing w:before="0" w:after="100"/>
      </w:pPr>
      <w:r>
        <w:rPr/>
        <w:t>Short-term vs. long-term impact</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user value, effort and business goals</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UX Officer of an EdTech company.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34"/>
        <w:gridCol w:w="4804"/>
      </w:tblGrid>
      <w:tr>
        <w:trPr>
          <w:cantSplit/>
          <w:tblHeader/>
        </w:trPr>
        <w:tc>
          <w:tcPr>
            <w:tcW w:type="dxa" w:w="4834"/>
            <w:shd w:val="clear" w:color="auto" w:fill="E6ECF4"/>
          </w:tcPr>
          <w:p>
            <w:pPr>
              <w:spacing w:before="0" w:after="0"/>
            </w:pPr>
            <w:r>
              <w:rPr>
                <w:b/>
                <w:sz w:val="20"/>
              </w:rPr>
              <w:t>Plan item</w:t>
            </w:r>
          </w:p>
        </w:tc>
        <w:tc>
          <w:tcPr>
            <w:tcW w:type="dxa" w:w="4804"/>
            <w:shd w:val="clear" w:color="auto" w:fill="E6ECF4"/>
          </w:tcPr>
          <w:p>
            <w:pPr>
              <w:spacing w:before="0" w:after="0"/>
            </w:pPr>
            <w:r>
              <w:rPr>
                <w:b/>
                <w:sz w:val="20"/>
              </w:rPr>
              <w:t>Where the worksheet answers it</w:t>
            </w:r>
          </w:p>
        </w:tc>
      </w:tr>
      <w:tr>
        <w:trPr>
          <w:cantSplit/>
        </w:trPr>
        <w:tc>
          <w:tcPr>
            <w:tcW w:type="dxa" w:w="4834"/>
          </w:tcPr>
          <w:p>
            <w:pPr>
              <w:spacing w:before="0" w:after="0"/>
            </w:pPr>
            <w:r>
              <w:rPr>
                <w:sz w:val="20"/>
              </w:rPr>
              <w:t>1. UX vision (How should learning be experienced?)</w:t>
            </w:r>
          </w:p>
        </w:tc>
        <w:tc>
          <w:tcPr>
            <w:tcW w:type="dxa" w:w="4804"/>
          </w:tcPr>
          <w:p>
            <w:pPr>
              <w:spacing w:before="0" w:after="0"/>
            </w:pPr>
            <w:r>
              <w:rPr>
                <w:sz w:val="20"/>
              </w:rPr>
              <w:t>Block 3.1 (the vision)</w:t>
            </w:r>
          </w:p>
        </w:tc>
      </w:tr>
      <w:tr>
        <w:trPr>
          <w:cantSplit/>
        </w:trPr>
        <w:tc>
          <w:tcPr>
            <w:tcW w:type="dxa" w:w="4834"/>
          </w:tcPr>
          <w:p>
            <w:pPr>
              <w:spacing w:before="0" w:after="0"/>
            </w:pPr>
            <w:r>
              <w:rPr>
                <w:sz w:val="20"/>
              </w:rPr>
              <w:t>2. 3 strategic UX decisions</w:t>
            </w:r>
          </w:p>
        </w:tc>
        <w:tc>
          <w:tcPr>
            <w:tcW w:type="dxa" w:w="4804"/>
          </w:tcPr>
          <w:p>
            <w:pPr>
              <w:spacing w:before="0" w:after="0"/>
            </w:pPr>
            <w:r>
              <w:rPr>
                <w:sz w:val="20"/>
              </w:rPr>
              <w:t>Block 3.1 (three decisions)</w:t>
            </w:r>
          </w:p>
        </w:tc>
      </w:tr>
      <w:tr>
        <w:trPr>
          <w:cantSplit/>
        </w:trPr>
        <w:tc>
          <w:tcPr>
            <w:tcW w:type="dxa" w:w="4834"/>
          </w:tcPr>
          <w:p>
            <w:pPr>
              <w:spacing w:before="0" w:after="0"/>
            </w:pPr>
            <w:r>
              <w:rPr>
                <w:sz w:val="20"/>
              </w:rPr>
              <w:t>3. Prioritized measures roadmap</w:t>
            </w:r>
          </w:p>
        </w:tc>
        <w:tc>
          <w:tcPr>
            <w:tcW w:type="dxa" w:w="4804"/>
          </w:tcPr>
          <w:p>
            <w:pPr>
              <w:spacing w:before="0" w:after="0"/>
            </w:pPr>
            <w:r>
              <w:rPr>
                <w:sz w:val="20"/>
              </w:rPr>
              <w:t>Block 3.1 (their order: the roadmap)</w:t>
            </w:r>
          </w:p>
        </w:tc>
      </w:tr>
      <w:tr>
        <w:trPr>
          <w:cantSplit/>
        </w:trPr>
        <w:tc>
          <w:tcPr>
            <w:tcW w:type="dxa" w:w="4834"/>
          </w:tcPr>
          <w:p>
            <w:pPr>
              <w:spacing w:before="0" w:after="0"/>
            </w:pPr>
            <w:r>
              <w:rPr>
                <w:sz w:val="20"/>
              </w:rPr>
              <w:t>4. Risk analysis (wrong decisions)</w:t>
            </w:r>
          </w:p>
        </w:tc>
        <w:tc>
          <w:tcPr>
            <w:tcW w:type="dxa" w:w="4804"/>
          </w:tcPr>
          <w:p>
            <w:pPr>
              <w:spacing w:before="0" w:after="0"/>
            </w:pPr>
            <w:r>
              <w:rPr>
                <w:sz w:val="20"/>
              </w:rPr>
              <w:t>Block 3.2 (the biggest risk and what you do about it)</w:t>
            </w:r>
          </w:p>
        </w:tc>
      </w:tr>
      <w:tr>
        <w:trPr>
          <w:cantSplit/>
        </w:trPr>
        <w:tc>
          <w:tcPr>
            <w:tcW w:type="dxa" w:w="4834"/>
          </w:tcPr>
          <w:p>
            <w:pPr>
              <w:spacing w:before="0" w:after="0"/>
            </w:pPr>
            <w:r>
              <w:rPr>
                <w:sz w:val="20"/>
              </w:rPr>
              <w:t>5. Decision architecture (How will we decide on UX in the future?)</w:t>
            </w:r>
          </w:p>
        </w:tc>
        <w:tc>
          <w:tcPr>
            <w:tcW w:type="dxa" w:w="4804"/>
          </w:tcPr>
          <w:p>
            <w:pPr>
              <w:spacing w:before="0" w:after="0"/>
            </w:pPr>
            <w:r>
              <w:rPr>
                <w:sz w:val="20"/>
              </w:rPr>
              <w:t>Block 3.2 (who decides, on what evidence)</w:t>
            </w:r>
          </w:p>
        </w:tc>
      </w:tr>
      <w:tr>
        <w:trPr>
          <w:cantSplit/>
        </w:trPr>
        <w:tc>
          <w:tcPr>
            <w:tcW w:type="dxa" w:w="4834"/>
          </w:tcPr>
          <w:p>
            <w:pPr>
              <w:spacing w:before="0" w:after="0"/>
            </w:pPr>
            <w:r>
              <w:rPr>
                <w:sz w:val="20"/>
              </w:rPr>
              <w:t>Additional: Make 1 decision despite an incomplete data situation.</w:t>
            </w:r>
          </w:p>
        </w:tc>
        <w:tc>
          <w:tcPr>
            <w:tcW w:type="dxa" w:w="4804"/>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Think like a decision-maker (not a designer)</w:t>
      </w:r>
    </w:p>
    <w:p>
      <w:pPr>
        <w:pStyle w:val="ListBullet"/>
        <w:spacing w:before="0" w:after="40"/>
      </w:pPr>
      <w:r>
        <w:rPr/>
        <w:t>Understand UX as a strategic system</w:t>
      </w:r>
    </w:p>
    <w:p>
      <w:pPr>
        <w:pStyle w:val="ListBullet"/>
        <w:spacing w:before="0" w:after="100"/>
      </w:pPr>
      <w:r>
        <w:rPr/>
        <w:t>Take responsibility</w:t>
      </w:r>
    </w:p>
    <w:p>
      <w:pPr>
        <w:pStyle w:val="Heading2"/>
      </w:pPr>
      <w:r>
        <w:rPr/>
        <w:t>Block 3.1 · model answers (UE9)</w:t>
      </w:r>
    </w:p>
    <w:p>
      <w:pPr>
        <w:spacing w:before="0" w:after="100"/>
      </w:pPr>
      <w:r>
        <w:rPr>
          <w:i/>
        </w:rPr>
        <w:t>Block 3.1: UX vision, three decisions, and their order · Core · about 9 min.</w:t>
      </w:r>
    </w:p>
    <w:p>
      <w:pPr>
        <w:pStyle w:val="Heading3"/>
      </w:pPr>
      <w:r>
        <w:rPr/>
        <w:t>Reference: Three strategic decisions</w:t>
      </w:r>
    </w:p>
    <w:p>
      <w:pPr>
        <w:spacing w:before="0" w:after="100"/>
      </w:pPr>
      <w:r>
        <w:rPr>
          <w:b/>
        </w:rPr>
        <w:t>Reference answer.</w:t>
      </w:r>
      <w:r>
        <w:rPr/>
        <w:t xml:space="preserve"> Guided learning paths for the three most-taken courses; Progress and feedback on every course page and quiz; A standing user-research programme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74"/>
        <w:gridCol w:w="1309"/>
        <w:gridCol w:w="5455"/>
      </w:tblGrid>
      <w:tr>
        <w:trPr>
          <w:cantSplit/>
          <w:tblHeader/>
        </w:trPr>
        <w:tc>
          <w:tcPr>
            <w:tcW w:type="dxa" w:w="2874"/>
            <w:shd w:val="clear" w:color="auto" w:fill="E6ECF4"/>
          </w:tcPr>
          <w:p>
            <w:pPr>
              <w:spacing w:before="0" w:after="0"/>
            </w:pPr>
            <w:r>
              <w:rPr>
                <w:b/>
                <w:sz w:val="20"/>
              </w:rPr>
              <w:t>Option</w:t>
            </w:r>
          </w:p>
        </w:tc>
        <w:tc>
          <w:tcPr>
            <w:tcW w:type="dxa" w:w="1309"/>
            <w:shd w:val="clear" w:color="auto" w:fill="E6ECF4"/>
          </w:tcPr>
          <w:p>
            <w:pPr>
              <w:spacing w:before="0" w:after="0"/>
            </w:pPr>
            <w:r>
              <w:rPr>
                <w:b/>
                <w:sz w:val="20"/>
              </w:rPr>
              <w:t>In the reference answer?</w:t>
            </w:r>
          </w:p>
        </w:tc>
        <w:tc>
          <w:tcPr>
            <w:tcW w:type="dxa" w:w="5455"/>
            <w:shd w:val="clear" w:color="auto" w:fill="E6ECF4"/>
          </w:tcPr>
          <w:p>
            <w:pPr>
              <w:spacing w:before="0" w:after="0"/>
            </w:pPr>
            <w:r>
              <w:rPr>
                <w:b/>
                <w:sz w:val="20"/>
              </w:rPr>
              <w:t>Why</w:t>
            </w:r>
          </w:p>
        </w:tc>
      </w:tr>
      <w:tr>
        <w:trPr>
          <w:cantSplit/>
        </w:trPr>
        <w:tc>
          <w:tcPr>
            <w:tcW w:type="dxa" w:w="2874"/>
          </w:tcPr>
          <w:p>
            <w:pPr>
              <w:spacing w:before="0" w:after="0"/>
            </w:pPr>
            <w:r>
              <w:rPr>
                <w:sz w:val="20"/>
              </w:rPr>
              <w:t>Guided learning paths for the three most-taken courses</w:t>
            </w:r>
          </w:p>
        </w:tc>
        <w:tc>
          <w:tcPr>
            <w:tcW w:type="dxa" w:w="1309"/>
          </w:tcPr>
          <w:p>
            <w:pPr>
              <w:spacing w:before="0" w:after="0"/>
            </w:pPr>
            <w:r>
              <w:rPr>
                <w:sz w:val="20"/>
              </w:rPr>
              <w:t>Yes</w:t>
            </w:r>
          </w:p>
        </w:tc>
        <w:tc>
          <w:tcPr>
            <w:tcW w:type="dxa" w:w="5455"/>
          </w:tcPr>
          <w:p>
            <w:pPr>
              <w:spacing w:before="0" w:after="0"/>
            </w:pPr>
            <w:r>
              <w:rPr>
                <w:sz w:val="20"/>
              </w:rPr>
              <w:t>Reference pick: €45,000, 16 weeks. It meets a printed finding that every learner meets.</w:t>
            </w:r>
          </w:p>
        </w:tc>
      </w:tr>
      <w:tr>
        <w:trPr>
          <w:cantSplit/>
        </w:trPr>
        <w:tc>
          <w:tcPr>
            <w:tcW w:type="dxa" w:w="2874"/>
          </w:tcPr>
          <w:p>
            <w:pPr>
              <w:spacing w:before="0" w:after="0"/>
            </w:pPr>
            <w:r>
              <w:rPr>
                <w:sz w:val="20"/>
              </w:rPr>
              <w:t>Progress and feedback on every course page and quiz</w:t>
            </w:r>
          </w:p>
        </w:tc>
        <w:tc>
          <w:tcPr>
            <w:tcW w:type="dxa" w:w="1309"/>
          </w:tcPr>
          <w:p>
            <w:pPr>
              <w:spacing w:before="0" w:after="0"/>
            </w:pPr>
            <w:r>
              <w:rPr>
                <w:sz w:val="20"/>
              </w:rPr>
              <w:t>Yes</w:t>
            </w:r>
          </w:p>
        </w:tc>
        <w:tc>
          <w:tcPr>
            <w:tcW w:type="dxa" w:w="5455"/>
          </w:tcPr>
          <w:p>
            <w:pPr>
              <w:spacing w:before="0" w:after="0"/>
            </w:pPr>
            <w:r>
              <w:rPr>
                <w:sz w:val="20"/>
              </w:rPr>
              <w:t>Reference pick: €25,000, 12 weeks. It meets a printed finding that every learner meets.</w:t>
            </w:r>
          </w:p>
        </w:tc>
      </w:tr>
      <w:tr>
        <w:trPr>
          <w:cantSplit/>
        </w:trPr>
        <w:tc>
          <w:tcPr>
            <w:tcW w:type="dxa" w:w="2874"/>
          </w:tcPr>
          <w:p>
            <w:pPr>
              <w:spacing w:before="0" w:after="0"/>
            </w:pPr>
            <w:r>
              <w:rPr>
                <w:sz w:val="20"/>
              </w:rPr>
              <w:t>Rewrite the ten longest lessons as short, structured units</w:t>
            </w:r>
          </w:p>
        </w:tc>
        <w:tc>
          <w:tcPr>
            <w:tcW w:type="dxa" w:w="1309"/>
          </w:tcPr>
          <w:p>
            <w:pPr>
              <w:spacing w:before="0" w:after="0"/>
            </w:pPr>
            <w:r>
              <w:rPr>
                <w:sz w:val="20"/>
              </w:rPr>
              <w:t>No</w:t>
            </w:r>
          </w:p>
        </w:tc>
        <w:tc>
          <w:tcPr>
            <w:tcW w:type="dxa" w:w="5455"/>
          </w:tcPr>
          <w:p>
            <w:pPr>
              <w:spacing w:before="0" w:after="0"/>
            </w:pPr>
            <w:r>
              <w:rPr>
                <w:sz w:val="20"/>
              </w:rPr>
              <w:t>Defendable: it meets the Understanding finding, but at €40,000 and 20 weeks it is the costliest fix; it would go next year.</w:t>
            </w:r>
          </w:p>
        </w:tc>
      </w:tr>
      <w:tr>
        <w:trPr>
          <w:cantSplit/>
        </w:trPr>
        <w:tc>
          <w:tcPr>
            <w:tcW w:type="dxa" w:w="2874"/>
          </w:tcPr>
          <w:p>
            <w:pPr>
              <w:spacing w:before="0" w:after="0"/>
            </w:pPr>
            <w:r>
              <w:rPr>
                <w:sz w:val="20"/>
              </w:rPr>
              <w:t>A standing user-research programme</w:t>
            </w:r>
          </w:p>
        </w:tc>
        <w:tc>
          <w:tcPr>
            <w:tcW w:type="dxa" w:w="1309"/>
          </w:tcPr>
          <w:p>
            <w:pPr>
              <w:spacing w:before="0" w:after="0"/>
            </w:pPr>
            <w:r>
              <w:rPr>
                <w:sz w:val="20"/>
              </w:rPr>
              <w:t>Yes</w:t>
            </w:r>
          </w:p>
        </w:tc>
        <w:tc>
          <w:tcPr>
            <w:tcW w:type="dxa" w:w="5455"/>
          </w:tcPr>
          <w:p>
            <w:pPr>
              <w:spacing w:before="0" w:after="0"/>
            </w:pPr>
            <w:r>
              <w:rPr>
                <w:sz w:val="20"/>
              </w:rPr>
              <w:t>Reference pick: €30,000, 52 weeks. It is the decision that lets later decisions rest on evidence, which the decision-architecture item of the plan asks for.</w:t>
            </w:r>
          </w:p>
        </w:tc>
      </w:tr>
      <w:tr>
        <w:trPr>
          <w:cantSplit/>
        </w:trPr>
        <w:tc>
          <w:tcPr>
            <w:tcW w:type="dxa" w:w="2874"/>
          </w:tcPr>
          <w:p>
            <w:pPr>
              <w:spacing w:before="0" w:after="0"/>
            </w:pPr>
            <w:r>
              <w:rPr>
                <w:sz w:val="20"/>
              </w:rPr>
              <w:t>Points, badges and a leaderboard</w:t>
            </w:r>
          </w:p>
        </w:tc>
        <w:tc>
          <w:tcPr>
            <w:tcW w:type="dxa" w:w="1309"/>
          </w:tcPr>
          <w:p>
            <w:pPr>
              <w:spacing w:before="0" w:after="0"/>
            </w:pPr>
            <w:r>
              <w:rPr>
                <w:sz w:val="20"/>
              </w:rPr>
              <w:t>No</w:t>
            </w:r>
          </w:p>
        </w:tc>
        <w:tc>
          <w:tcPr>
            <w:tcW w:type="dxa" w:w="5455"/>
          </w:tcPr>
          <w:p>
            <w:pPr>
              <w:spacing w:before="0" w:after="0"/>
            </w:pPr>
            <w:r>
              <w:rPr>
                <w:sz w:val="20"/>
              </w:rPr>
              <w:t>Rejected in the plan's own logic: extrinsic reward, answers no printed finding, and the effect fades; competitors using it is not a reason.</w:t>
            </w:r>
          </w:p>
        </w:tc>
      </w:tr>
      <w:tr>
        <w:trPr>
          <w:cantSplit/>
        </w:trPr>
        <w:tc>
          <w:tcPr>
            <w:tcW w:type="dxa" w:w="2874"/>
          </w:tcPr>
          <w:p>
            <w:pPr>
              <w:spacing w:before="0" w:after="0"/>
            </w:pPr>
            <w:r>
              <w:rPr>
                <w:sz w:val="20"/>
              </w:rPr>
              <w:t>AI-driven personal recommendations</w:t>
            </w:r>
          </w:p>
        </w:tc>
        <w:tc>
          <w:tcPr>
            <w:tcW w:type="dxa" w:w="1309"/>
          </w:tcPr>
          <w:p>
            <w:pPr>
              <w:spacing w:before="0" w:after="0"/>
            </w:pPr>
            <w:r>
              <w:rPr>
                <w:sz w:val="20"/>
              </w:rPr>
              <w:t>No</w:t>
            </w:r>
          </w:p>
        </w:tc>
        <w:tc>
          <w:tcPr>
            <w:tcW w:type="dxa" w:w="5455"/>
          </w:tcPr>
          <w:p>
            <w:pPr>
              <w:spacing w:before="0" w:after="0"/>
            </w:pPr>
            <w:r>
              <w:rPr>
                <w:sz w:val="20"/>
              </w:rPr>
              <w:t>Rejected: €90,000 is most of the budget, it needs data SkillUp does not have, and learners cannot see why they are shown what they see.</w:t>
            </w:r>
          </w:p>
        </w:tc>
      </w:tr>
      <w:tr>
        <w:trPr>
          <w:cantSplit/>
        </w:trPr>
        <w:tc>
          <w:tcPr>
            <w:tcW w:type="dxa" w:w="2874"/>
          </w:tcPr>
          <w:p>
            <w:pPr>
              <w:spacing w:before="0" w:after="0"/>
            </w:pPr>
            <w:r>
              <w:rPr>
                <w:sz w:val="20"/>
              </w:rPr>
              <w:t>Double the marketing budget</w:t>
            </w:r>
          </w:p>
        </w:tc>
        <w:tc>
          <w:tcPr>
            <w:tcW w:type="dxa" w:w="1309"/>
          </w:tcPr>
          <w:p>
            <w:pPr>
              <w:spacing w:before="0" w:after="0"/>
            </w:pPr>
            <w:r>
              <w:rPr>
                <w:sz w:val="20"/>
              </w:rPr>
              <w:t>No</w:t>
            </w:r>
          </w:p>
        </w:tc>
        <w:tc>
          <w:tcPr>
            <w:tcW w:type="dxa" w:w="5455"/>
          </w:tcPr>
          <w:p>
            <w:pPr>
              <w:spacing w:before="0" w:after="0"/>
            </w:pPr>
            <w:r>
              <w:rPr>
                <w:sz w:val="20"/>
              </w:rPr>
              <w:t>Rejected: it fixes acquisition, not experience; more learners arriving at the same platform leave at the same rate.</w:t>
            </w:r>
          </w:p>
        </w:tc>
      </w:tr>
    </w:tbl>
    <w:p>
      <w:pPr>
        <w:spacing w:before="0" w:after="80"/>
      </w:pPr>
    </w:p>
    <w:p>
      <w:pPr>
        <w:spacing w:before="0" w:after="100"/>
      </w:pPr>
      <w:r>
        <w:rPr>
          <w:i/>
        </w:rPr>
        <w:t>Trainer note.</w:t>
      </w:r>
      <w:r>
        <w:rPr/>
        <w:t xml:space="preserve"> A different set of three defends if the reason is written and the three together answer the vision.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The UX vision</w:t>
            </w:r>
          </w:p>
          <w:p>
            <w:pPr>
              <w:spacing w:before="0" w:after="100"/>
            </w:pPr>
            <w:r>
              <w:rPr>
                <w:b/>
              </w:rPr>
              <w:t>Model answer (an example).</w:t>
            </w:r>
            <w:r>
              <w:rPr/>
              <w:t xml:space="preserve"> Learning at SkillUp should feel guided and visible: every learner always knows where they are, what comes next and how far they have come.</w:t>
            </w:r>
          </w:p>
          <w:p>
            <w:pPr>
              <w:spacing w:before="0" w:after="100"/>
            </w:pPr>
            <w:r>
              <w:rPr>
                <w:b/>
              </w:rPr>
              <w:t>Why.</w:t>
            </w:r>
            <w:r>
              <w:rPr/>
              <w:t xml:space="preserve"> The plan's question: “Wie soll Lernen erlebt werden?”. A good vision describes the learner's experience, not a feature list.</w:t>
            </w:r>
          </w:p>
          <w:p>
            <w:pPr>
              <w:spacing w:before="0" w:after="100"/>
            </w:pPr>
            <w:r>
              <w:rPr>
                <w:b/>
              </w:rPr>
              <w:t>Look for.</w:t>
            </w:r>
          </w:p>
          <w:p>
            <w:pPr>
              <w:pStyle w:val="ListBullet"/>
              <w:spacing w:before="0" w:after="40"/>
            </w:pPr>
            <w:r>
              <w:rPr/>
              <w:t>Describes how learning feels or what the learner can do.</w:t>
            </w:r>
          </w:p>
          <w:p>
            <w:pPr>
              <w:pStyle w:val="ListBullet"/>
              <w:spacing w:before="0" w:after="40"/>
            </w:pPr>
            <w:r>
              <w:rPr/>
              <w:t>One or two sentences.</w:t>
            </w:r>
          </w:p>
          <w:p>
            <w:pPr>
              <w:pStyle w:val="ListBullet"/>
              <w:spacing w:before="0" w:after="100"/>
            </w:pPr>
            <w:r>
              <w:rPr/>
              <w:t>Is not a list of features or a business target alone.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the first decision goes first</w:t>
            </w:r>
          </w:p>
          <w:p>
            <w:pPr>
              <w:spacing w:before="0" w:after="100"/>
            </w:pPr>
            <w:r>
              <w:rPr>
                <w:b/>
              </w:rPr>
              <w:t>Model answer (an example).</w:t>
            </w:r>
            <w:r>
              <w:rPr/>
              <w:t xml:space="preserve"> Paths come first because every learner meets orientation before anything else. Progress is cheap and builds on the path. Research runs alongside so later decisions rest on what learners actually do.</w:t>
            </w:r>
          </w:p>
          <w:p>
            <w:pPr>
              <w:spacing w:before="0" w:after="100"/>
            </w:pPr>
            <w:r>
              <w:rPr>
                <w:b/>
              </w:rPr>
              <w:t>Why.</w:t>
            </w:r>
            <w:r>
              <w:rPr/>
              <w:t xml:space="preserve"> The roadmap is an order with a reason. The model order is paths, progress, research; a different order defends if the reason is concrete.</w:t>
            </w:r>
          </w:p>
          <w:p>
            <w:pPr>
              <w:spacing w:before="0" w:after="100"/>
            </w:pPr>
            <w:r>
              <w:rPr>
                <w:b/>
              </w:rPr>
              <w:t>Look for.</w:t>
            </w:r>
          </w:p>
          <w:p>
            <w:pPr>
              <w:pStyle w:val="ListBullet"/>
              <w:spacing w:before="0" w:after="40"/>
            </w:pPr>
            <w:r>
              <w:rPr/>
              <w:t>Gives a reason for position one.</w:t>
            </w:r>
          </w:p>
          <w:p>
            <w:pPr>
              <w:pStyle w:val="ListBullet"/>
              <w:spacing w:before="0" w:after="100"/>
            </w:pPr>
            <w:r>
              <w:rPr/>
              <w:t>Refers to reach, cost, dependency or evidence.</w:t>
            </w:r>
          </w:p>
        </w:tc>
      </w:tr>
    </w:tbl>
    <w:p>
      <w:pPr>
        <w:spacing w:before="0" w:after="80"/>
      </w:pPr>
    </w:p>
    <w:p>
      <w:pPr>
        <w:pStyle w:val="Heading2"/>
      </w:pPr>
      <w:r>
        <w:rPr/>
        <w:t>Block 3.2 · model answers (UE10)</w:t>
      </w:r>
    </w:p>
    <w:p>
      <w:pPr>
        <w:spacing w:before="0" w:after="100"/>
      </w:pPr>
      <w:r>
        <w:rPr>
          <w:i/>
        </w:rPr>
        <w:t>Block 3.2: The biggest risk, a decision without complete data, how you decide, and what you give up · Core · about 11 min.</w:t>
      </w:r>
    </w:p>
    <w:p>
      <w:pPr>
        <w:pStyle w:val="Heading3"/>
      </w:pPr>
      <w:r>
        <w:rPr/>
        <w:t>Reference: The biggest risk</w:t>
      </w:r>
    </w:p>
    <w:p>
      <w:pPr>
        <w:spacing w:before="0" w:after="100"/>
      </w:pPr>
      <w:r>
        <w:rPr>
          <w:b/>
        </w:rPr>
        <w:t>Reference answer.</w:t>
      </w:r>
      <w:r>
        <w:rPr/>
        <w:t xml:space="preserve"> We treat the symptom (drop-out) and miss its cause.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09"/>
        <w:gridCol w:w="1336"/>
        <w:gridCol w:w="5193"/>
      </w:tblGrid>
      <w:tr>
        <w:trPr>
          <w:cantSplit/>
          <w:tblHeader/>
        </w:trPr>
        <w:tc>
          <w:tcPr>
            <w:tcW w:type="dxa" w:w="3109"/>
            <w:shd w:val="clear" w:color="auto" w:fill="E6ECF4"/>
          </w:tcPr>
          <w:p>
            <w:pPr>
              <w:spacing w:before="0" w:after="0"/>
            </w:pPr>
            <w:r>
              <w:rPr>
                <w:b/>
                <w:sz w:val="20"/>
              </w:rPr>
              <w:t>Option</w:t>
            </w:r>
          </w:p>
        </w:tc>
        <w:tc>
          <w:tcPr>
            <w:tcW w:type="dxa" w:w="1336"/>
            <w:shd w:val="clear" w:color="auto" w:fill="E6ECF4"/>
          </w:tcPr>
          <w:p>
            <w:pPr>
              <w:spacing w:before="0" w:after="0"/>
            </w:pPr>
            <w:r>
              <w:rPr>
                <w:b/>
                <w:sz w:val="20"/>
              </w:rPr>
              <w:t>In the reference answer?</w:t>
            </w:r>
          </w:p>
        </w:tc>
        <w:tc>
          <w:tcPr>
            <w:tcW w:type="dxa" w:w="5193"/>
            <w:shd w:val="clear" w:color="auto" w:fill="E6ECF4"/>
          </w:tcPr>
          <w:p>
            <w:pPr>
              <w:spacing w:before="0" w:after="0"/>
            </w:pPr>
            <w:r>
              <w:rPr>
                <w:b/>
                <w:sz w:val="20"/>
              </w:rPr>
              <w:t>Why</w:t>
            </w:r>
          </w:p>
        </w:tc>
      </w:tr>
      <w:tr>
        <w:trPr>
          <w:cantSplit/>
        </w:trPr>
        <w:tc>
          <w:tcPr>
            <w:tcW w:type="dxa" w:w="3109"/>
          </w:tcPr>
          <w:p>
            <w:pPr>
              <w:spacing w:before="0" w:after="0"/>
            </w:pPr>
            <w:r>
              <w:rPr>
                <w:sz w:val="20"/>
              </w:rPr>
              <w:t>We treat the symptom (drop-out) and miss its cause.</w:t>
            </w:r>
          </w:p>
        </w:tc>
        <w:tc>
          <w:tcPr>
            <w:tcW w:type="dxa" w:w="1336"/>
          </w:tcPr>
          <w:p>
            <w:pPr>
              <w:spacing w:before="0" w:after="0"/>
            </w:pPr>
            <w:r>
              <w:rPr>
                <w:sz w:val="20"/>
              </w:rPr>
              <w:t>Yes</w:t>
            </w:r>
          </w:p>
        </w:tc>
        <w:tc>
          <w:tcPr>
            <w:tcW w:type="dxa" w:w="5193"/>
          </w:tcPr>
          <w:p>
            <w:pPr>
              <w:spacing w:before="0" w:after="0"/>
            </w:pPr>
            <w:r>
              <w:rPr>
                <w:sz w:val="20"/>
              </w:rPr>
              <w:t>The central risk of the whole plan: SkillUp knows what is hard on the screens, not why learners stop. The research programme is the answer to it.</w:t>
            </w:r>
          </w:p>
        </w:tc>
      </w:tr>
      <w:tr>
        <w:trPr>
          <w:cantSplit/>
        </w:trPr>
        <w:tc>
          <w:tcPr>
            <w:tcW w:type="dxa" w:w="3109"/>
          </w:tcPr>
          <w:p>
            <w:pPr>
              <w:spacing w:before="0" w:after="0"/>
            </w:pPr>
            <w:r>
              <w:rPr>
                <w:sz w:val="20"/>
              </w:rPr>
              <w:t>Competitors improve faster than we do while we prepare.</w:t>
            </w:r>
          </w:p>
        </w:tc>
        <w:tc>
          <w:tcPr>
            <w:tcW w:type="dxa" w:w="1336"/>
          </w:tcPr>
          <w:p>
            <w:pPr>
              <w:spacing w:before="0" w:after="0"/>
            </w:pPr>
            <w:r>
              <w:rPr>
                <w:sz w:val="20"/>
              </w:rPr>
              <w:t>No</w:t>
            </w:r>
          </w:p>
        </w:tc>
        <w:tc>
          <w:tcPr>
            <w:tcW w:type="dxa" w:w="5193"/>
          </w:tcPr>
          <w:p>
            <w:pPr>
              <w:spacing w:before="0" w:after="0"/>
            </w:pPr>
            <w:r>
              <w:rPr>
                <w:sz w:val="20"/>
              </w:rPr>
              <w:t>Defendable as the biggest risk if the learner says what they do about it; the model picks the cause-versus-symptom risk because the plan's own coaching names it (“UX is not a design problem but a decision problem”).</w:t>
            </w:r>
          </w:p>
        </w:tc>
      </w:tr>
      <w:tr>
        <w:trPr>
          <w:cantSplit/>
        </w:trPr>
        <w:tc>
          <w:tcPr>
            <w:tcW w:type="dxa" w:w="3109"/>
          </w:tcPr>
          <w:p>
            <w:pPr>
              <w:spacing w:before="0" w:after="0"/>
            </w:pPr>
            <w:r>
              <w:rPr>
                <w:sz w:val="20"/>
              </w:rPr>
              <w:t>Learners do not use the new paths or progress views.</w:t>
            </w:r>
          </w:p>
        </w:tc>
        <w:tc>
          <w:tcPr>
            <w:tcW w:type="dxa" w:w="1336"/>
          </w:tcPr>
          <w:p>
            <w:pPr>
              <w:spacing w:before="0" w:after="0"/>
            </w:pPr>
            <w:r>
              <w:rPr>
                <w:sz w:val="20"/>
              </w:rPr>
              <w:t>No</w:t>
            </w:r>
          </w:p>
        </w:tc>
        <w:tc>
          <w:tcPr>
            <w:tcW w:type="dxa" w:w="5193"/>
          </w:tcPr>
          <w:p>
            <w:pPr>
              <w:spacing w:before="0" w:after="0"/>
            </w:pPr>
            <w:r>
              <w:rPr>
                <w:sz w:val="20"/>
              </w:rPr>
              <w:t>Same reading as the row above.</w:t>
            </w:r>
          </w:p>
        </w:tc>
      </w:tr>
      <w:tr>
        <w:trPr>
          <w:cantSplit/>
        </w:trPr>
        <w:tc>
          <w:tcPr>
            <w:tcW w:type="dxa" w:w="3109"/>
          </w:tcPr>
          <w:p>
            <w:pPr>
              <w:spacing w:before="0" w:after="0"/>
            </w:pPr>
            <w:r>
              <w:rPr>
                <w:sz w:val="20"/>
              </w:rPr>
              <w:t>The budget is used up before a first result is visible.</w:t>
            </w:r>
          </w:p>
        </w:tc>
        <w:tc>
          <w:tcPr>
            <w:tcW w:type="dxa" w:w="1336"/>
          </w:tcPr>
          <w:p>
            <w:pPr>
              <w:spacing w:before="0" w:after="0"/>
            </w:pPr>
            <w:r>
              <w:rPr>
                <w:sz w:val="20"/>
              </w:rPr>
              <w:t>No</w:t>
            </w:r>
          </w:p>
        </w:tc>
        <w:tc>
          <w:tcPr>
            <w:tcW w:type="dxa" w:w="5193"/>
          </w:tcPr>
          <w:p>
            <w:pPr>
              <w:spacing w:before="0" w:after="0"/>
            </w:pPr>
            <w:r>
              <w:rPr>
                <w:sz w:val="20"/>
              </w:rPr>
              <w:t>Same reading as the row above.</w:t>
            </w:r>
          </w:p>
        </w:tc>
      </w:tr>
      <w:tr>
        <w:trPr>
          <w:cantSplit/>
        </w:trPr>
        <w:tc>
          <w:tcPr>
            <w:tcW w:type="dxa" w:w="3109"/>
          </w:tcPr>
          <w:p>
            <w:pPr>
              <w:spacing w:before="0" w:after="0"/>
            </w:pPr>
            <w:r>
              <w:rPr>
                <w:sz w:val="20"/>
              </w:rPr>
              <w:t>Management expects the drop-out rate to fall within weeks.</w:t>
            </w:r>
          </w:p>
        </w:tc>
        <w:tc>
          <w:tcPr>
            <w:tcW w:type="dxa" w:w="1336"/>
          </w:tcPr>
          <w:p>
            <w:pPr>
              <w:spacing w:before="0" w:after="0"/>
            </w:pPr>
            <w:r>
              <w:rPr>
                <w:sz w:val="20"/>
              </w:rPr>
              <w:t>No</w:t>
            </w:r>
          </w:p>
        </w:tc>
        <w:tc>
          <w:tcPr>
            <w:tcW w:type="dxa" w:w="5193"/>
          </w:tcPr>
          <w:p>
            <w:pPr>
              <w:spacing w:before="0" w:after="0"/>
            </w:pPr>
            <w:r>
              <w:rPr>
                <w:sz w:val="20"/>
              </w:rPr>
              <w:t>Same reading as the row above.</w:t>
            </w:r>
          </w:p>
        </w:tc>
      </w:tr>
    </w:tbl>
    <w:p>
      <w:pPr>
        <w:spacing w:before="0" w:after="80"/>
      </w:pPr>
    </w:p>
    <w:p>
      <w:pPr>
        <w:spacing w:before="0" w:after="100"/>
      </w:pPr>
      <w:r>
        <w:rPr>
          <w:i/>
        </w:rPr>
        <w:t>Trainer note.</w:t>
      </w:r>
      <w:r>
        <w:rPr/>
        <w:t xml:space="preserve"> Any of the five defends when the plan to meet it is concrete (what is done, by whom, when). The wrong answer is a risk with no action.</w:t>
      </w:r>
    </w:p>
    <w:p>
      <w:pPr>
        <w:pStyle w:val="Heading3"/>
      </w:pPr>
      <w:r>
        <w:rPr/>
        <w:t>Reference: Who decides, on what evidence</w:t>
      </w:r>
    </w:p>
    <w:p>
      <w:pPr>
        <w:spacing w:before="0" w:after="100"/>
      </w:pPr>
      <w:r>
        <w:rPr>
          <w:b/>
        </w:rPr>
        <w:t>Reference answer.</w:t>
      </w:r>
      <w:r>
        <w:rPr/>
        <w:t xml:space="preserve"> Who: The UX lead together with the product owner. Evidence: Learner interviews; A usability test of the new screens; Drop-out data per lesson.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64"/>
        <w:gridCol w:w="1421"/>
        <w:gridCol w:w="4553"/>
      </w:tblGrid>
      <w:tr>
        <w:trPr>
          <w:cantSplit/>
          <w:tblHeader/>
        </w:trPr>
        <w:tc>
          <w:tcPr>
            <w:tcW w:type="dxa" w:w="3664"/>
            <w:shd w:val="clear" w:color="auto" w:fill="E6ECF4"/>
          </w:tcPr>
          <w:p>
            <w:pPr>
              <w:spacing w:before="0" w:after="0"/>
            </w:pPr>
            <w:r>
              <w:rPr>
                <w:b/>
                <w:sz w:val="20"/>
              </w:rPr>
              <w:t>Option</w:t>
            </w:r>
          </w:p>
        </w:tc>
        <w:tc>
          <w:tcPr>
            <w:tcW w:type="dxa" w:w="1421"/>
            <w:shd w:val="clear" w:color="auto" w:fill="E6ECF4"/>
          </w:tcPr>
          <w:p>
            <w:pPr>
              <w:spacing w:before="0" w:after="0"/>
            </w:pPr>
            <w:r>
              <w:rPr>
                <w:b/>
                <w:sz w:val="20"/>
              </w:rPr>
              <w:t>In the reference answer?</w:t>
            </w:r>
          </w:p>
        </w:tc>
        <w:tc>
          <w:tcPr>
            <w:tcW w:type="dxa" w:w="4553"/>
            <w:shd w:val="clear" w:color="auto" w:fill="E6ECF4"/>
          </w:tcPr>
          <w:p>
            <w:pPr>
              <w:spacing w:before="0" w:after="0"/>
            </w:pPr>
            <w:r>
              <w:rPr>
                <w:b/>
                <w:sz w:val="20"/>
              </w:rPr>
              <w:t>Why</w:t>
            </w:r>
          </w:p>
        </w:tc>
      </w:tr>
      <w:tr>
        <w:trPr>
          <w:cantSplit/>
        </w:trPr>
        <w:tc>
          <w:tcPr>
            <w:tcW w:type="dxa" w:w="3664"/>
          </w:tcPr>
          <w:p>
            <w:pPr>
              <w:spacing w:before="0" w:after="0"/>
            </w:pPr>
            <w:r>
              <w:rPr>
                <w:sz w:val="20"/>
              </w:rPr>
              <w:t>Who decides: The Chief UX Officer alone</w:t>
            </w:r>
          </w:p>
        </w:tc>
        <w:tc>
          <w:tcPr>
            <w:tcW w:type="dxa" w:w="1421"/>
          </w:tcPr>
          <w:p>
            <w:pPr>
              <w:spacing w:before="0" w:after="0"/>
            </w:pPr>
            <w:r>
              <w:rPr>
                <w:sz w:val="20"/>
              </w:rPr>
              <w:t>No</w:t>
            </w:r>
          </w:p>
        </w:tc>
        <w:tc>
          <w:tcPr>
            <w:tcW w:type="dxa" w:w="4553"/>
          </w:tcPr>
          <w:p>
            <w:pPr>
              <w:spacing w:before="0" w:after="0"/>
            </w:pPr>
            <w:r>
              <w:rPr>
                <w:sz w:val="20"/>
              </w:rPr>
              <w:t>Defendable, but one person's taste is exactly what a decision architecture should prevent.</w:t>
            </w:r>
          </w:p>
        </w:tc>
      </w:tr>
      <w:tr>
        <w:trPr>
          <w:cantSplit/>
        </w:trPr>
        <w:tc>
          <w:tcPr>
            <w:tcW w:type="dxa" w:w="3664"/>
          </w:tcPr>
          <w:p>
            <w:pPr>
              <w:spacing w:before="0" w:after="0"/>
            </w:pPr>
            <w:r>
              <w:rPr>
                <w:sz w:val="20"/>
              </w:rPr>
              <w:t>Who decides: The UX lead together with the product owner</w:t>
            </w:r>
          </w:p>
        </w:tc>
        <w:tc>
          <w:tcPr>
            <w:tcW w:type="dxa" w:w="1421"/>
          </w:tcPr>
          <w:p>
            <w:pPr>
              <w:spacing w:before="0" w:after="0"/>
            </w:pPr>
            <w:r>
              <w:rPr>
                <w:sz w:val="20"/>
              </w:rPr>
              <w:t>Yes</w:t>
            </w:r>
          </w:p>
        </w:tc>
        <w:tc>
          <w:tcPr>
            <w:tcW w:type="dxa" w:w="4553"/>
          </w:tcPr>
          <w:p>
            <w:pPr>
              <w:spacing w:before="0" w:after="0"/>
            </w:pPr>
            <w:r>
              <w:rPr>
                <w:sz w:val="20"/>
              </w:rPr>
              <w:t>UX judgement and product ownership together: neither taste alone nor build convenience.</w:t>
            </w:r>
          </w:p>
        </w:tc>
      </w:tr>
      <w:tr>
        <w:trPr>
          <w:cantSplit/>
        </w:trPr>
        <w:tc>
          <w:tcPr>
            <w:tcW w:type="dxa" w:w="3664"/>
          </w:tcPr>
          <w:p>
            <w:pPr>
              <w:spacing w:before="0" w:after="0"/>
            </w:pPr>
            <w:r>
              <w:rPr>
                <w:sz w:val="20"/>
              </w:rPr>
              <w:t>Who decides: A steering group with management</w:t>
            </w:r>
          </w:p>
        </w:tc>
        <w:tc>
          <w:tcPr>
            <w:tcW w:type="dxa" w:w="1421"/>
          </w:tcPr>
          <w:p>
            <w:pPr>
              <w:spacing w:before="0" w:after="0"/>
            </w:pPr>
            <w:r>
              <w:rPr>
                <w:sz w:val="20"/>
              </w:rPr>
              <w:t>No</w:t>
            </w:r>
          </w:p>
        </w:tc>
        <w:tc>
          <w:tcPr>
            <w:tcW w:type="dxa" w:w="4553"/>
          </w:tcPr>
          <w:p>
            <w:pPr>
              <w:spacing w:before="0" w:after="0"/>
            </w:pPr>
            <w:r>
              <w:rPr>
                <w:sz w:val="20"/>
              </w:rPr>
              <w:t>Defendable for large budget items; too slow for routine UX decisions.</w:t>
            </w:r>
          </w:p>
        </w:tc>
      </w:tr>
      <w:tr>
        <w:trPr>
          <w:cantSplit/>
        </w:trPr>
        <w:tc>
          <w:tcPr>
            <w:tcW w:type="dxa" w:w="3664"/>
          </w:tcPr>
          <w:p>
            <w:pPr>
              <w:spacing w:before="0" w:after="0"/>
            </w:pPr>
            <w:r>
              <w:rPr>
                <w:sz w:val="20"/>
              </w:rPr>
              <w:t>Who decides: Whoever builds the feature</w:t>
            </w:r>
          </w:p>
        </w:tc>
        <w:tc>
          <w:tcPr>
            <w:tcW w:type="dxa" w:w="1421"/>
          </w:tcPr>
          <w:p>
            <w:pPr>
              <w:spacing w:before="0" w:after="0"/>
            </w:pPr>
            <w:r>
              <w:rPr>
                <w:sz w:val="20"/>
              </w:rPr>
              <w:t>No</w:t>
            </w:r>
          </w:p>
        </w:tc>
        <w:tc>
          <w:tcPr>
            <w:tcW w:type="dxa" w:w="4553"/>
          </w:tcPr>
          <w:p>
            <w:pPr>
              <w:spacing w:before="0" w:after="0"/>
            </w:pPr>
            <w:r>
              <w:rPr>
                <w:sz w:val="20"/>
              </w:rPr>
              <w:t>Rejected: the builder decides what is easy to build, not what learners need.</w:t>
            </w:r>
          </w:p>
        </w:tc>
      </w:tr>
      <w:tr>
        <w:trPr>
          <w:cantSplit/>
        </w:trPr>
        <w:tc>
          <w:tcPr>
            <w:tcW w:type="dxa" w:w="3664"/>
          </w:tcPr>
          <w:p>
            <w:pPr>
              <w:spacing w:before="0" w:after="0"/>
            </w:pPr>
            <w:r>
              <w:rPr>
                <w:sz w:val="20"/>
              </w:rPr>
              <w:t>Evidence: Learner interviews</w:t>
            </w:r>
          </w:p>
        </w:tc>
        <w:tc>
          <w:tcPr>
            <w:tcW w:type="dxa" w:w="1421"/>
          </w:tcPr>
          <w:p>
            <w:pPr>
              <w:spacing w:before="0" w:after="0"/>
            </w:pPr>
            <w:r>
              <w:rPr>
                <w:sz w:val="20"/>
              </w:rPr>
              <w:t>Yes</w:t>
            </w:r>
          </w:p>
        </w:tc>
        <w:tc>
          <w:tcPr>
            <w:tcW w:type="dxa" w:w="4553"/>
          </w:tcPr>
          <w:p>
            <w:pPr>
              <w:spacing w:before="0" w:after="0"/>
            </w:pPr>
            <w:r>
              <w:rPr>
                <w:sz w:val="20"/>
              </w:rPr>
              <w:t>Evidence from learners themselves.</w:t>
            </w:r>
          </w:p>
        </w:tc>
      </w:tr>
      <w:tr>
        <w:trPr>
          <w:cantSplit/>
        </w:trPr>
        <w:tc>
          <w:tcPr>
            <w:tcW w:type="dxa" w:w="3664"/>
          </w:tcPr>
          <w:p>
            <w:pPr>
              <w:spacing w:before="0" w:after="0"/>
            </w:pPr>
            <w:r>
              <w:rPr>
                <w:sz w:val="20"/>
              </w:rPr>
              <w:t>Evidence: A usability test of the new screens</w:t>
            </w:r>
          </w:p>
        </w:tc>
        <w:tc>
          <w:tcPr>
            <w:tcW w:type="dxa" w:w="1421"/>
          </w:tcPr>
          <w:p>
            <w:pPr>
              <w:spacing w:before="0" w:after="0"/>
            </w:pPr>
            <w:r>
              <w:rPr>
                <w:sz w:val="20"/>
              </w:rPr>
              <w:t>Yes</w:t>
            </w:r>
          </w:p>
        </w:tc>
        <w:tc>
          <w:tcPr>
            <w:tcW w:type="dxa" w:w="4553"/>
          </w:tcPr>
          <w:p>
            <w:pPr>
              <w:spacing w:before="0" w:after="0"/>
            </w:pPr>
            <w:r>
              <w:rPr>
                <w:sz w:val="20"/>
              </w:rPr>
              <w:t>Evidence from learners themselves.</w:t>
            </w:r>
          </w:p>
        </w:tc>
      </w:tr>
      <w:tr>
        <w:trPr>
          <w:cantSplit/>
        </w:trPr>
        <w:tc>
          <w:tcPr>
            <w:tcW w:type="dxa" w:w="3664"/>
          </w:tcPr>
          <w:p>
            <w:pPr>
              <w:spacing w:before="0" w:after="0"/>
            </w:pPr>
            <w:r>
              <w:rPr>
                <w:sz w:val="20"/>
              </w:rPr>
              <w:t>Evidence: Drop-out data per lesson</w:t>
            </w:r>
          </w:p>
        </w:tc>
        <w:tc>
          <w:tcPr>
            <w:tcW w:type="dxa" w:w="1421"/>
          </w:tcPr>
          <w:p>
            <w:pPr>
              <w:spacing w:before="0" w:after="0"/>
            </w:pPr>
            <w:r>
              <w:rPr>
                <w:sz w:val="20"/>
              </w:rPr>
              <w:t>Yes</w:t>
            </w:r>
          </w:p>
        </w:tc>
        <w:tc>
          <w:tcPr>
            <w:tcW w:type="dxa" w:w="4553"/>
          </w:tcPr>
          <w:p>
            <w:pPr>
              <w:spacing w:before="0" w:after="0"/>
            </w:pPr>
            <w:r>
              <w:rPr>
                <w:sz w:val="20"/>
              </w:rPr>
              <w:t>Evidence from learners themselves.</w:t>
            </w:r>
          </w:p>
        </w:tc>
      </w:tr>
      <w:tr>
        <w:trPr>
          <w:cantSplit/>
        </w:trPr>
        <w:tc>
          <w:tcPr>
            <w:tcW w:type="dxa" w:w="3664"/>
          </w:tcPr>
          <w:p>
            <w:pPr>
              <w:spacing w:before="0" w:after="0"/>
            </w:pPr>
            <w:r>
              <w:rPr>
                <w:sz w:val="20"/>
              </w:rPr>
              <w:t>Evidence: A comparison with competitors</w:t>
            </w:r>
          </w:p>
        </w:tc>
        <w:tc>
          <w:tcPr>
            <w:tcW w:type="dxa" w:w="1421"/>
          </w:tcPr>
          <w:p>
            <w:pPr>
              <w:spacing w:before="0" w:after="0"/>
            </w:pPr>
            <w:r>
              <w:rPr>
                <w:sz w:val="20"/>
              </w:rPr>
              <w:t>No</w:t>
            </w:r>
          </w:p>
        </w:tc>
        <w:tc>
          <w:tcPr>
            <w:tcW w:type="dxa" w:w="4553"/>
          </w:tcPr>
          <w:p>
            <w:pPr>
              <w:spacing w:before="0" w:after="0"/>
            </w:pPr>
            <w:r>
              <w:rPr>
                <w:sz w:val="20"/>
              </w:rPr>
              <w:t>Useful context, not evidence about SkillUp's own learners.</w:t>
            </w:r>
          </w:p>
        </w:tc>
      </w:tr>
      <w:tr>
        <w:trPr>
          <w:cantSplit/>
        </w:trPr>
        <w:tc>
          <w:tcPr>
            <w:tcW w:type="dxa" w:w="3664"/>
          </w:tcPr>
          <w:p>
            <w:pPr>
              <w:spacing w:before="0" w:after="0"/>
            </w:pPr>
            <w:r>
              <w:rPr>
                <w:sz w:val="20"/>
              </w:rPr>
              <w:t>Evidence: The opinion of the most senior person in the room</w:t>
            </w:r>
          </w:p>
        </w:tc>
        <w:tc>
          <w:tcPr>
            <w:tcW w:type="dxa" w:w="1421"/>
          </w:tcPr>
          <w:p>
            <w:pPr>
              <w:spacing w:before="0" w:after="0"/>
            </w:pPr>
            <w:r>
              <w:rPr>
                <w:sz w:val="20"/>
              </w:rPr>
              <w:t>No</w:t>
            </w:r>
          </w:p>
        </w:tc>
        <w:tc>
          <w:tcPr>
            <w:tcW w:type="dxa" w:w="4553"/>
          </w:tcPr>
          <w:p>
            <w:pPr>
              <w:spacing w:before="0" w:after="0"/>
            </w:pPr>
            <w:r>
              <w:rPr>
                <w:sz w:val="20"/>
              </w:rPr>
              <w:t>Rejected: authority is not evidence.</w:t>
            </w:r>
          </w:p>
        </w:tc>
      </w:tr>
    </w:tbl>
    <w:p>
      <w:pPr>
        <w:spacing w:before="0" w:after="80"/>
      </w:pPr>
    </w:p>
    <w:p>
      <w:pPr>
        <w:spacing w:before="0" w:after="100"/>
      </w:pPr>
      <w:r>
        <w:rPr>
          <w:i/>
        </w:rPr>
        <w:t>Trainer note.</w:t>
      </w:r>
      <w:r>
        <w:rPr/>
        <w:t xml:space="preserve"> At least two kinds of evidence are required; the sort of evidence a learner chooses is judged on the reason in the memo, not on matching the model.</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do about the biggest risk</w:t>
            </w:r>
          </w:p>
          <w:p>
            <w:pPr>
              <w:spacing w:before="0" w:after="100"/>
            </w:pPr>
            <w:r>
              <w:rPr>
                <w:b/>
              </w:rPr>
              <w:t>Model answer (an example).</w:t>
            </w:r>
            <w:r>
              <w:rPr/>
              <w:t xml:space="preserve"> I fund the research programme next to the fixes, so that we find out why learners leave and can correct course after the first quarter.</w:t>
            </w:r>
          </w:p>
          <w:p>
            <w:pPr>
              <w:spacing w:before="0" w:after="100"/>
            </w:pPr>
            <w:r>
              <w:rPr>
                <w:b/>
              </w:rPr>
              <w:t>Why.</w:t>
            </w:r>
            <w:r>
              <w:rPr/>
              <w:t xml:space="preserve"> A risk with no action is only a worry. The action should be concrete: what is done, and when it is checked.</w:t>
            </w:r>
          </w:p>
          <w:p>
            <w:pPr>
              <w:spacing w:before="0" w:after="100"/>
            </w:pPr>
            <w:r>
              <w:rPr>
                <w:b/>
              </w:rPr>
              <w:t>Look for.</w:t>
            </w:r>
          </w:p>
          <w:p>
            <w:pPr>
              <w:pStyle w:val="ListBullet"/>
              <w:spacing w:before="0" w:after="40"/>
            </w:pPr>
            <w:r>
              <w:rPr/>
              <w:t>Names an action.</w:t>
            </w:r>
          </w:p>
          <w:p>
            <w:pPr>
              <w:pStyle w:val="ListBullet"/>
              <w:spacing w:before="0" w:after="100"/>
            </w:pPr>
            <w:r>
              <w:rPr/>
              <w:t>Says when or how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decision without complete data</w:t>
            </w:r>
          </w:p>
          <w:p>
            <w:pPr>
              <w:spacing w:before="0" w:after="100"/>
            </w:pPr>
            <w:r>
              <w:rPr>
                <w:b/>
              </w:rPr>
              <w:t>Model answer (an example).</w:t>
            </w:r>
            <w:r>
              <w:rPr/>
              <w:t xml:space="preserve"> I decide to build learning paths for the three most-taken courses now. I do not know whether learners leave from lack of direction or from lack of time. I will refocus if, after the first quarter, the drop-out in those courses has not fallen from 40% to below 35%.</w:t>
            </w:r>
          </w:p>
          <w:p>
            <w:pPr>
              <w:spacing w:before="0" w:after="100"/>
            </w:pPr>
            <w:r>
              <w:rPr>
                <w:b/>
              </w:rPr>
              <w:t>Why.</w:t>
            </w:r>
            <w:r>
              <w:rPr/>
              <w:t xml:space="preserve"> The frame of Materi B3: what I decide, what I do not know, what would make me reverse and by when. A checkable reversal condition has a figure and a date.</w:t>
            </w:r>
          </w:p>
          <w:p>
            <w:pPr>
              <w:spacing w:before="0" w:after="100"/>
            </w:pPr>
            <w:r>
              <w:rPr>
                <w:b/>
              </w:rPr>
              <w:t>Look for.</w:t>
            </w:r>
          </w:p>
          <w:p>
            <w:pPr>
              <w:pStyle w:val="ListBullet"/>
              <w:spacing w:before="0" w:after="40"/>
            </w:pPr>
            <w:r>
              <w:rPr/>
              <w:t>States the decision.</w:t>
            </w:r>
          </w:p>
          <w:p>
            <w:pPr>
              <w:pStyle w:val="ListBullet"/>
              <w:spacing w:before="0" w:after="40"/>
            </w:pPr>
            <w:r>
              <w:rPr/>
              <w:t>States what is not known.</w:t>
            </w:r>
          </w:p>
          <w:p>
            <w:pPr>
              <w:pStyle w:val="ListBullet"/>
              <w:spacing w:before="0" w:after="100"/>
            </w:pPr>
            <w:r>
              <w:rPr/>
              <w:t>Gives a checkable reversal condition with a figure and a time.</w:t>
            </w:r>
          </w:p>
          <w:p>
            <w:pPr>
              <w:spacing w:before="0" w:after="100"/>
            </w:pPr>
            <w:r>
              <w:rPr>
                <w:b/>
              </w:rPr>
              <w:t>Typical mistakes.</w:t>
            </w:r>
          </w:p>
          <w:p>
            <w:pPr>
              <w:pStyle w:val="ListBullet"/>
              <w:spacing w:before="0" w:after="40"/>
            </w:pPr>
            <w:r>
              <w:rPr/>
              <w:t>A decision with no stated unknown (“we will improve UX”).</w:t>
            </w:r>
          </w:p>
          <w:p>
            <w:pPr>
              <w:pStyle w:val="ListBullet"/>
              <w:spacing w:before="0" w:after="100"/>
            </w:pPr>
            <w:r>
              <w:rPr/>
              <w:t>A reversal condition no one could check (“if it does not work”).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give up or postpone</w:t>
            </w:r>
          </w:p>
          <w:p>
            <w:pPr>
              <w:spacing w:before="0" w:after="100"/>
            </w:pPr>
            <w:r>
              <w:rPr>
                <w:b/>
              </w:rPr>
              <w:t>Model answer (an example).</w:t>
            </w:r>
            <w:r>
              <w:rPr/>
              <w:t xml:space="preserve"> I give up the badge system and the AI recommendations for this year, and I postpone rewriting the ten longest lessons; learners will keep the long lessons for now.</w:t>
            </w:r>
          </w:p>
          <w:p>
            <w:pPr>
              <w:spacing w:before="0" w:after="100"/>
            </w:pPr>
            <w:r>
              <w:rPr>
                <w:b/>
              </w:rPr>
              <w:t>Why.</w:t>
            </w:r>
            <w:r>
              <w:rPr/>
              <w:t xml:space="preserve"> The skill of Level 3: a decision that gives up nothing has not decided. The answer names something real that a stakeholder would miss.</w:t>
            </w:r>
          </w:p>
          <w:p>
            <w:pPr>
              <w:spacing w:before="0" w:after="100"/>
            </w:pPr>
            <w:r>
              <w:rPr>
                <w:b/>
              </w:rPr>
              <w:t>Look for.</w:t>
            </w:r>
          </w:p>
          <w:p>
            <w:pPr>
              <w:pStyle w:val="ListBullet"/>
              <w:spacing w:before="0" w:after="40"/>
            </w:pPr>
            <w:r>
              <w:rPr/>
              <w:t>Names a concrete thing given up or postponed.</w:t>
            </w:r>
          </w:p>
          <w:p>
            <w:pPr>
              <w:pStyle w:val="ListBullet"/>
              <w:spacing w:before="0" w:after="100"/>
            </w:pPr>
            <w:r>
              <w:rPr/>
              <w:t>It is something someone would miss, not a throwaway.</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21"/>
        <w:gridCol w:w="2617"/>
      </w:tblGrid>
      <w:tr>
        <w:trPr>
          <w:cantSplit/>
          <w:tblHeader/>
        </w:trPr>
        <w:tc>
          <w:tcPr>
            <w:tcW w:type="dxa" w:w="7021"/>
            <w:shd w:val="clear" w:color="auto" w:fill="E6ECF4"/>
          </w:tcPr>
          <w:p>
            <w:pPr>
              <w:spacing w:before="0" w:after="0"/>
            </w:pPr>
            <w:r>
              <w:rPr>
                <w:b/>
                <w:sz w:val="20"/>
              </w:rPr>
              <w:t>Section</w:t>
            </w:r>
          </w:p>
        </w:tc>
        <w:tc>
          <w:tcPr>
            <w:tcW w:type="dxa" w:w="2617"/>
            <w:shd w:val="clear" w:color="auto" w:fill="E6ECF4"/>
          </w:tcPr>
          <w:p>
            <w:pPr>
              <w:spacing w:before="0" w:after="0"/>
            </w:pPr>
            <w:r>
              <w:rPr>
                <w:b/>
                <w:sz w:val="20"/>
              </w:rPr>
              <w:t>Shown to participants?</w:t>
            </w:r>
          </w:p>
        </w:tc>
      </w:tr>
      <w:tr>
        <w:trPr>
          <w:cantSplit/>
        </w:trPr>
        <w:tc>
          <w:tcPr>
            <w:tcW w:type="dxa" w:w="7021"/>
          </w:tcPr>
          <w:p>
            <w:pPr>
              <w:spacing w:before="0" w:after="0"/>
            </w:pPr>
            <w:r>
              <w:rPr>
                <w:sz w:val="20"/>
              </w:rPr>
              <w:t>How to use this document</w:t>
            </w:r>
          </w:p>
        </w:tc>
        <w:tc>
          <w:tcPr>
            <w:tcW w:type="dxa" w:w="2617"/>
          </w:tcPr>
          <w:p>
            <w:pPr>
              <w:spacing w:before="0" w:after="0"/>
            </w:pPr>
            <w:r>
              <w:rPr>
                <w:sz w:val="20"/>
              </w:rPr>
              <w:t>No</w:t>
            </w:r>
          </w:p>
        </w:tc>
      </w:tr>
      <w:tr>
        <w:trPr>
          <w:cantSplit/>
        </w:trPr>
        <w:tc>
          <w:tcPr>
            <w:tcW w:type="dxa" w:w="7021"/>
          </w:tcPr>
          <w:p>
            <w:pPr>
              <w:spacing w:before="0" w:after="0"/>
            </w:pPr>
            <w:r>
              <w:rPr>
                <w:sz w:val="20"/>
              </w:rPr>
              <w:t>Assessment criteria (Bewertungskriterien)</w:t>
            </w:r>
          </w:p>
        </w:tc>
        <w:tc>
          <w:tcPr>
            <w:tcW w:type="dxa" w:w="2617"/>
          </w:tcPr>
          <w:p>
            <w:pPr>
              <w:spacing w:before="0" w:after="0"/>
            </w:pPr>
            <w:r>
              <w:rPr>
                <w:sz w:val="20"/>
              </w:rPr>
              <w:t>No</w:t>
            </w:r>
          </w:p>
        </w:tc>
      </w:tr>
      <w:tr>
        <w:trPr>
          <w:cantSplit/>
        </w:trPr>
        <w:tc>
          <w:tcPr>
            <w:tcW w:type="dxa" w:w="7021"/>
          </w:tcPr>
          <w:p>
            <w:pPr>
              <w:spacing w:before="0" w:after="0"/>
            </w:pPr>
            <w:r>
              <w:rPr>
                <w:sz w:val="20"/>
              </w:rPr>
              <w:t>Block 1.1 · model answers (UE2)</w:t>
            </w:r>
          </w:p>
        </w:tc>
        <w:tc>
          <w:tcPr>
            <w:tcW w:type="dxa" w:w="2617"/>
          </w:tcPr>
          <w:p>
            <w:pPr>
              <w:spacing w:before="0" w:after="0"/>
            </w:pPr>
            <w:r>
              <w:rPr>
                <w:sz w:val="20"/>
              </w:rPr>
              <w:t>No</w:t>
            </w:r>
          </w:p>
        </w:tc>
      </w:tr>
      <w:tr>
        <w:trPr>
          <w:cantSplit/>
        </w:trPr>
        <w:tc>
          <w:tcPr>
            <w:tcW w:type="dxa" w:w="7021"/>
          </w:tcPr>
          <w:p>
            <w:pPr>
              <w:spacing w:before="0" w:after="0"/>
            </w:pPr>
            <w:r>
              <w:rPr>
                <w:sz w:val="20"/>
              </w:rPr>
              <w:t>Block 1.2 · model answers (UE3)</w:t>
            </w:r>
          </w:p>
        </w:tc>
        <w:tc>
          <w:tcPr>
            <w:tcW w:type="dxa" w:w="2617"/>
          </w:tcPr>
          <w:p>
            <w:pPr>
              <w:spacing w:before="0" w:after="0"/>
            </w:pPr>
            <w:r>
              <w:rPr>
                <w:sz w:val="20"/>
              </w:rPr>
              <w:t>No</w:t>
            </w:r>
          </w:p>
        </w:tc>
      </w:tr>
      <w:tr>
        <w:trPr>
          <w:cantSplit/>
        </w:trPr>
        <w:tc>
          <w:tcPr>
            <w:tcW w:type="dxa" w:w="7021"/>
          </w:tcPr>
          <w:p>
            <w:pPr>
              <w:spacing w:before="0" w:after="0"/>
            </w:pPr>
            <w:r>
              <w:rPr>
                <w:sz w:val="20"/>
              </w:rPr>
              <w:t>Coaching Focus: From Interface to Systems Thinking (UE4)</w:t>
            </w:r>
          </w:p>
        </w:tc>
        <w:tc>
          <w:tcPr>
            <w:tcW w:type="dxa" w:w="2617"/>
          </w:tcPr>
          <w:p>
            <w:pPr>
              <w:spacing w:before="0" w:after="0"/>
            </w:pPr>
            <w:r>
              <w:rPr>
                <w:sz w:val="20"/>
              </w:rPr>
              <w:t>No</w:t>
            </w:r>
          </w:p>
        </w:tc>
      </w:tr>
      <w:tr>
        <w:trPr>
          <w:cantSplit/>
        </w:trPr>
        <w:tc>
          <w:tcPr>
            <w:tcW w:type="dxa" w:w="7021"/>
          </w:tcPr>
          <w:p>
            <w:pPr>
              <w:spacing w:before="0" w:after="0"/>
            </w:pPr>
            <w:r>
              <w:rPr>
                <w:sz w:val="20"/>
              </w:rPr>
              <w:t>Block 1.3 · model answers (UE4)</w:t>
            </w:r>
          </w:p>
        </w:tc>
        <w:tc>
          <w:tcPr>
            <w:tcW w:type="dxa" w:w="2617"/>
          </w:tcPr>
          <w:p>
            <w:pPr>
              <w:spacing w:before="0" w:after="0"/>
            </w:pPr>
            <w:r>
              <w:rPr>
                <w:sz w:val="20"/>
              </w:rPr>
              <w:t>No</w:t>
            </w:r>
          </w:p>
        </w:tc>
      </w:tr>
      <w:tr>
        <w:trPr>
          <w:cantSplit/>
        </w:trPr>
        <w:tc>
          <w:tcPr>
            <w:tcW w:type="dxa" w:w="7021"/>
          </w:tcPr>
          <w:p>
            <w:pPr>
              <w:spacing w:before="0" w:after="0"/>
            </w:pPr>
            <w:r>
              <w:rPr>
                <w:sz w:val="20"/>
              </w:rPr>
              <w:t>The plan's model solution: core logic (UE5–6)</w:t>
            </w:r>
          </w:p>
        </w:tc>
        <w:tc>
          <w:tcPr>
            <w:tcW w:type="dxa" w:w="2617"/>
          </w:tcPr>
          <w:p>
            <w:pPr>
              <w:spacing w:before="0" w:after="0"/>
            </w:pPr>
            <w:r>
              <w:rPr>
                <w:sz w:val="20"/>
              </w:rPr>
              <w:t>Only after the work, in the debrief</w:t>
            </w:r>
          </w:p>
        </w:tc>
      </w:tr>
      <w:tr>
        <w:trPr>
          <w:cantSplit/>
        </w:trPr>
        <w:tc>
          <w:tcPr>
            <w:tcW w:type="dxa" w:w="7021"/>
          </w:tcPr>
          <w:p>
            <w:pPr>
              <w:spacing w:before="0" w:after="0"/>
            </w:pPr>
            <w:r>
              <w:rPr>
                <w:sz w:val="20"/>
              </w:rPr>
              <w:t>Block 2.1 · model answers (UE5–6)</w:t>
            </w:r>
          </w:p>
        </w:tc>
        <w:tc>
          <w:tcPr>
            <w:tcW w:type="dxa" w:w="2617"/>
          </w:tcPr>
          <w:p>
            <w:pPr>
              <w:spacing w:before="0" w:after="0"/>
            </w:pPr>
            <w:r>
              <w:rPr>
                <w:sz w:val="20"/>
              </w:rPr>
              <w:t>No</w:t>
            </w:r>
          </w:p>
        </w:tc>
      </w:tr>
      <w:tr>
        <w:trPr>
          <w:cantSplit/>
        </w:trPr>
        <w:tc>
          <w:tcPr>
            <w:tcW w:type="dxa" w:w="7021"/>
          </w:tcPr>
          <w:p>
            <w:pPr>
              <w:spacing w:before="0" w:after="0"/>
            </w:pPr>
            <w:r>
              <w:rPr>
                <w:sz w:val="20"/>
              </w:rPr>
              <w:t>Block 2.2 · model answers (UE5–6)</w:t>
            </w:r>
          </w:p>
        </w:tc>
        <w:tc>
          <w:tcPr>
            <w:tcW w:type="dxa" w:w="2617"/>
          </w:tcPr>
          <w:p>
            <w:pPr>
              <w:spacing w:before="0" w:after="0"/>
            </w:pPr>
            <w:r>
              <w:rPr>
                <w:sz w:val="20"/>
              </w:rPr>
              <w:t>No</w:t>
            </w:r>
          </w:p>
        </w:tc>
      </w:tr>
      <w:tr>
        <w:trPr>
          <w:cantSplit/>
        </w:trPr>
        <w:tc>
          <w:tcPr>
            <w:tcW w:type="dxa" w:w="7021"/>
          </w:tcPr>
          <w:p>
            <w:pPr>
              <w:spacing w:before="0" w:after="0"/>
            </w:pPr>
            <w:r>
              <w:rPr>
                <w:sz w:val="20"/>
              </w:rPr>
              <w:t>Debrief of the case study (UE6)</w:t>
            </w:r>
          </w:p>
        </w:tc>
        <w:tc>
          <w:tcPr>
            <w:tcW w:type="dxa" w:w="2617"/>
          </w:tcPr>
          <w:p>
            <w:pPr>
              <w:spacing w:before="0" w:after="0"/>
            </w:pPr>
            <w:r>
              <w:rPr>
                <w:sz w:val="20"/>
              </w:rPr>
              <w:t>Only after the work, in the debrief</w:t>
            </w:r>
          </w:p>
        </w:tc>
      </w:tr>
      <w:tr>
        <w:trPr>
          <w:cantSplit/>
        </w:trPr>
        <w:tc>
          <w:tcPr>
            <w:tcW w:type="dxa" w:w="7021"/>
          </w:tcPr>
          <w:p>
            <w:pPr>
              <w:spacing w:before="0" w:after="0"/>
            </w:pPr>
            <w:r>
              <w:rPr>
                <w:sz w:val="20"/>
              </w:rPr>
              <w:t>Feedback with a Management Perspective (UE7)</w:t>
            </w:r>
          </w:p>
        </w:tc>
        <w:tc>
          <w:tcPr>
            <w:tcW w:type="dxa" w:w="2617"/>
          </w:tcPr>
          <w:p>
            <w:pPr>
              <w:spacing w:before="0" w:after="0"/>
            </w:pPr>
            <w:r>
              <w:rPr>
                <w:sz w:val="20"/>
              </w:rPr>
              <w:t>No</w:t>
            </w:r>
          </w:p>
        </w:tc>
      </w:tr>
      <w:tr>
        <w:trPr>
          <w:cantSplit/>
        </w:trPr>
        <w:tc>
          <w:tcPr>
            <w:tcW w:type="dxa" w:w="7021"/>
          </w:tcPr>
          <w:p>
            <w:pPr>
              <w:spacing w:before="0" w:after="0"/>
            </w:pPr>
            <w:r>
              <w:rPr>
                <w:sz w:val="20"/>
              </w:rPr>
              <w:t>Transition from Level 2 to Level 3 (Übergang)</w:t>
            </w:r>
          </w:p>
        </w:tc>
        <w:tc>
          <w:tcPr>
            <w:tcW w:type="dxa" w:w="2617"/>
          </w:tcPr>
          <w:p>
            <w:pPr>
              <w:spacing w:before="0" w:after="0"/>
            </w:pPr>
            <w:r>
              <w:rPr>
                <w:sz w:val="20"/>
              </w:rPr>
              <w:t>No</w:t>
            </w:r>
          </w:p>
        </w:tc>
      </w:tr>
      <w:tr>
        <w:trPr>
          <w:cantSplit/>
        </w:trPr>
        <w:tc>
          <w:tcPr>
            <w:tcW w:type="dxa" w:w="7021"/>
          </w:tcPr>
          <w:p>
            <w:pPr>
              <w:spacing w:before="0" w:after="0"/>
            </w:pPr>
            <w:r>
              <w:rPr>
                <w:sz w:val="20"/>
              </w:rPr>
              <w:t>What the plan asks and where the worksheet answers it (UE8–10)</w:t>
            </w:r>
          </w:p>
        </w:tc>
        <w:tc>
          <w:tcPr>
            <w:tcW w:type="dxa" w:w="2617"/>
          </w:tcPr>
          <w:p>
            <w:pPr>
              <w:spacing w:before="0" w:after="0"/>
            </w:pPr>
            <w:r>
              <w:rPr>
                <w:sz w:val="20"/>
              </w:rPr>
              <w:t>No</w:t>
            </w:r>
          </w:p>
        </w:tc>
      </w:tr>
      <w:tr>
        <w:trPr>
          <w:cantSplit/>
        </w:trPr>
        <w:tc>
          <w:tcPr>
            <w:tcW w:type="dxa" w:w="7021"/>
          </w:tcPr>
          <w:p>
            <w:pPr>
              <w:spacing w:before="0" w:after="0"/>
            </w:pPr>
            <w:r>
              <w:rPr>
                <w:sz w:val="20"/>
              </w:rPr>
              <w:t>Block 3.1 · model answers (UE9)</w:t>
            </w:r>
          </w:p>
        </w:tc>
        <w:tc>
          <w:tcPr>
            <w:tcW w:type="dxa" w:w="2617"/>
          </w:tcPr>
          <w:p>
            <w:pPr>
              <w:spacing w:before="0" w:after="0"/>
            </w:pPr>
            <w:r>
              <w:rPr>
                <w:sz w:val="20"/>
              </w:rPr>
              <w:t>No</w:t>
            </w:r>
          </w:p>
        </w:tc>
      </w:tr>
      <w:tr>
        <w:trPr>
          <w:cantSplit/>
        </w:trPr>
        <w:tc>
          <w:tcPr>
            <w:tcW w:type="dxa" w:w="7021"/>
          </w:tcPr>
          <w:p>
            <w:pPr>
              <w:spacing w:before="0" w:after="0"/>
            </w:pPr>
            <w:r>
              <w:rPr>
                <w:sz w:val="20"/>
              </w:rPr>
              <w:t>Block 3.2 · model answers (UE10)</w:t>
            </w:r>
          </w:p>
        </w:tc>
        <w:tc>
          <w:tcPr>
            <w:tcW w:type="dxa" w:w="2617"/>
          </w:tcPr>
          <w:p>
            <w:pPr>
              <w:spacing w:before="0" w:after="0"/>
            </w:pPr>
            <w:r>
              <w:rPr>
                <w:sz w:val="20"/>
              </w:rPr>
              <w:t>No</w:t>
            </w:r>
          </w:p>
        </w:tc>
      </w:tr>
      <w:tr>
        <w:trPr>
          <w:cantSplit/>
        </w:trPr>
        <w:tc>
          <w:tcPr>
            <w:tcW w:type="dxa" w:w="7021"/>
          </w:tcPr>
          <w:p>
            <w:pPr>
              <w:spacing w:before="0" w:after="0"/>
            </w:pPr>
            <w:r>
              <w:rPr>
                <w:sz w:val="20"/>
              </w:rPr>
              <w:t>Debrief of the transfer project (UE10)</w:t>
            </w:r>
          </w:p>
        </w:tc>
        <w:tc>
          <w:tcPr>
            <w:tcW w:type="dxa" w:w="2617"/>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1</w:t>
            </w:r>
          </w:p>
        </w:tc>
        <w:tc>
          <w:tcPr>
            <w:tcW w:type="dxa" w:w="6608"/>
          </w:tcPr>
          <w:p>
            <w:pPr>
              <w:spacing w:before="0" w:after="0"/>
            </w:pPr>
            <w:r>
              <w:rPr>
                <w:sz w:val="20"/>
              </w:rPr>
              <w:t>https://aion-dl.vercel.app/day/1/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SkillUp and LearnFast: Coaching, Feedback and Model Solutions</dc:title>
  <dc:subject>DAY 1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