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4 · MATERI A AND MATERI B · ROUTES 1 AND 2 · LEVELS 1 TO 3</w:t>
      </w:r>
    </w:p>
    <w:p>
      <w:pPr>
        <w:spacing w:before="0" w:after="80" w:line="240" w:lineRule="auto"/>
      </w:pPr>
      <w:r>
        <w:rPr>
          <w:b/>
          <w:sz w:val="52"/>
        </w:rPr>
        <w:t>Motivation and engagement through design</w:t>
      </w:r>
    </w:p>
    <w:p>
      <w:pPr>
        <w:spacing w:before="0" w:after="200"/>
      </w:pPr>
      <w:r>
        <w:rPr>
          <w:color w:val="556274"/>
          <w:sz w:val="26"/>
        </w:rPr>
        <w:t>Understand what motivates learners, design for lasting engagement, and evaluate it without sliding into manipulation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4 · Module 2 (day 2 of 2): Motivation and engagement through design psychology, design principles for effective learning experiences, evaluation and optimisation of learning-psychology-based UX concepts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MotivaLearn, a platform with low user retention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4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Intrinsic and extrinsic motivation, and what Self-Determination Theory adds · 14 min · Core</w:t>
            </w:r>
          </w:p>
          <w:p>
            <w:pPr>
              <w:spacing w:before="0" w:after="20"/>
              <w:ind w:left="170"/>
            </w:pPr>
            <w:r>
              <w:rPr>
                <w:sz w:val="20"/>
              </w:rPr>
              <w:t>A2 · Five design principles for effective learning experiences · 14 min · Core</w:t>
            </w:r>
          </w:p>
          <w:p>
            <w:pPr>
              <w:spacing w:before="0" w:after="20"/>
              <w:ind w:left="170"/>
            </w:pPr>
            <w:r>
              <w:rPr>
                <w:sz w:val="20"/>
              </w:rPr>
              <w:t>A3 · Feedback, progress and rewards: what helps and what backfires · 12 min · Core</w:t>
            </w:r>
          </w:p>
          <w:p>
            <w:pPr>
              <w:spacing w:before="0" w:after="20"/>
              <w:ind w:left="170"/>
            </w:pPr>
            <w:r>
              <w:rPr>
                <w:sz w:val="20"/>
              </w:rPr>
              <w:t>A4 · Evaluating motivation-based UX: metrics and methods · 10 min · Optional</w:t>
            </w:r>
          </w:p>
          <w:p>
            <w:pPr>
              <w:spacing w:before="0" w:after="20"/>
              <w:ind w:left="170"/>
            </w:pPr>
            <w:r>
              <w:rPr>
                <w:sz w:val="20"/>
              </w:rPr>
              <w:t>A5 · Weighing an engagement measure: motivation, effort, risk · 10 min · Core</w:t>
            </w:r>
          </w:p>
          <w:p>
            <w:pPr>
              <w:spacing w:before="0" w:after="20"/>
              <w:ind w:left="170"/>
            </w:pPr>
            <w:r>
              <w:rPr>
                <w:sz w:val="20"/>
              </w:rPr>
              <w:t>B1 · Motivation as a business lever, and where it is overestimated · 18 min · Core</w:t>
            </w:r>
          </w:p>
          <w:p>
            <w:pPr>
              <w:spacing w:before="0" w:after="20"/>
              <w:ind w:left="170"/>
            </w:pPr>
            <w:r>
              <w:rPr>
                <w:sz w:val="20"/>
              </w:rPr>
              <w:t>B2 · Conflicting goals: motivation, overload and manipulation · 22 min · Core</w:t>
            </w:r>
          </w:p>
          <w:p>
            <w:pPr>
              <w:spacing w:before="0" w:after="20"/>
              <w:ind w:left="170"/>
            </w:pPr>
            <w:r>
              <w:rPr>
                <w:sz w:val="20"/>
              </w:rPr>
              <w:t>B3 · Deciding and evaluating under uncertainty · 20 min · Core</w:t>
            </w:r>
          </w:p>
        </w:tc>
      </w:tr>
    </w:tbl>
    <w:p>
      <w:pPr>
        <w:pStyle w:val="Heading1"/>
        <w:pBdr>
          <w:bottom w:val="single" w:sz="8" w:space="2" w:color="17212E"/>
        </w:pBdr>
      </w:pPr>
      <w:r>
        <w:rPr/>
        <w:t>Day at a glance</w:t>
      </w:r>
    </w:p>
    <w:p>
      <w:pPr>
        <w:spacing w:before="0" w:after="100"/>
      </w:pPr>
      <w:r>
        <w:rPr/>
        <w:t xml:space="preserve">Day 4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9"/>
        <w:gridCol w:w="3293"/>
        <w:gridCol w:w="1499"/>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9"/>
            <w:shd w:val="clear" w:color="auto" w:fill="E6ECF4"/>
          </w:tcPr>
          <w:p>
            <w:pPr>
              <w:spacing w:before="0" w:after="0"/>
            </w:pPr>
            <w:r>
              <w:rPr>
                <w:b/>
                <w:sz w:val="19"/>
              </w:rPr>
              <w:t>Plan item</w:t>
            </w:r>
          </w:p>
        </w:tc>
        <w:tc>
          <w:tcPr>
            <w:tcW w:type="dxa" w:w="3293"/>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9"/>
          </w:tcPr>
          <w:p>
            <w:pPr>
              <w:spacing w:before="0" w:after="0"/>
            </w:pPr>
            <w:r>
              <w:rPr>
                <w:sz w:val="19"/>
              </w:rPr>
              <w:t>Knowledge transfer · Level 1</w:t>
            </w:r>
          </w:p>
        </w:tc>
        <w:tc>
          <w:tcPr>
            <w:tcW w:type="dxa" w:w="3293"/>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9"/>
          </w:tcPr>
          <w:p>
            <w:pPr>
              <w:spacing w:before="0" w:after="0"/>
            </w:pPr>
            <w:r>
              <w:rPr>
                <w:sz w:val="19"/>
              </w:rPr>
              <w:t>Level 1 · Task 1</w:t>
            </w:r>
          </w:p>
        </w:tc>
        <w:tc>
          <w:tcPr>
            <w:tcW w:type="dxa" w:w="3293"/>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9"/>
          </w:tcPr>
          <w:p>
            <w:pPr>
              <w:spacing w:before="0" w:after="0"/>
            </w:pPr>
            <w:r>
              <w:rPr>
                <w:sz w:val="19"/>
              </w:rPr>
              <w:t>Level 1 · Task 2</w:t>
            </w:r>
          </w:p>
        </w:tc>
        <w:tc>
          <w:tcPr>
            <w:tcW w:type="dxa" w:w="3293"/>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9"/>
          </w:tcPr>
          <w:p>
            <w:pPr>
              <w:spacing w:before="0" w:after="0"/>
            </w:pPr>
            <w:r>
              <w:rPr>
                <w:sz w:val="19"/>
              </w:rPr>
              <w:t>Coaching · transition from Level 1 to Level 2</w:t>
            </w:r>
          </w:p>
        </w:tc>
        <w:tc>
          <w:tcPr>
            <w:tcW w:type="dxa" w:w="3293"/>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9"/>
          </w:tcPr>
          <w:p>
            <w:pPr>
              <w:spacing w:before="0" w:after="0"/>
            </w:pPr>
            <w:r>
              <w:rPr>
                <w:sz w:val="19"/>
              </w:rPr>
              <w:t>Level 2 · Case study MotivaLearn (</w:t>
            </w:r>
            <w:r>
              <w:rPr>
                <w:b/>
                <w:sz w:val="19"/>
              </w:rPr>
              <w:t>2 UE</w:t>
            </w:r>
            <w:r>
              <w:rPr>
                <w:sz w:val="19"/>
              </w:rPr>
              <w:t>) incl. model solution</w:t>
            </w:r>
          </w:p>
        </w:tc>
        <w:tc>
          <w:tcPr>
            <w:tcW w:type="dxa" w:w="3293"/>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9"/>
          </w:tcPr>
          <w:p>
            <w:pPr>
              <w:spacing w:before="0" w:after="0"/>
            </w:pPr>
            <w:r>
              <w:rPr>
                <w:sz w:val="19"/>
              </w:rPr>
              <w:t>Level 2 + 3 · Feedback round with a management perspective</w:t>
            </w:r>
          </w:p>
        </w:tc>
        <w:tc>
          <w:tcPr>
            <w:tcW w:type="dxa" w:w="3293"/>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9"/>
          </w:tcPr>
          <w:p>
            <w:pPr>
              <w:spacing w:before="0" w:after="0"/>
            </w:pPr>
            <w:r>
              <w:rPr>
                <w:sz w:val="19"/>
              </w:rPr>
              <w:t>Level 3 · Transfer project, Chief Experience Officer (</w:t>
            </w:r>
            <w:r>
              <w:rPr>
                <w:b/>
                <w:sz w:val="19"/>
              </w:rPr>
              <w:t>3 UE</w:t>
            </w:r>
            <w:r>
              <w:rPr>
                <w:sz w:val="19"/>
              </w:rPr>
              <w:t>: UE8–10)</w:t>
            </w:r>
          </w:p>
        </w:tc>
        <w:tc>
          <w:tcPr>
            <w:tcW w:type="dxa" w:w="3293"/>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9"/>
          </w:tcPr>
          <w:p>
            <w:pPr>
              <w:spacing w:before="0" w:after="0"/>
            </w:pPr>
            <w:r>
              <w:rPr>
                <w:sz w:val="19"/>
              </w:rPr>
              <w:t>Level 3 · Transfer project</w:t>
            </w:r>
          </w:p>
        </w:tc>
        <w:tc>
          <w:tcPr>
            <w:tcW w:type="dxa" w:w="3293"/>
          </w:tcPr>
          <w:p>
            <w:pPr>
              <w:spacing w:before="0" w:after="0"/>
            </w:pPr>
            <w:r>
              <w:rPr>
                <w:sz w:val="19"/>
              </w:rPr>
              <w:t>Individual work or in pairs on Block 3.1 (Core, about 9 min).</w:t>
            </w:r>
          </w:p>
        </w:tc>
        <w:tc>
          <w:tcPr>
            <w:tcW w:type="dxa" w:w="1499"/>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9"/>
          </w:tcPr>
          <w:p>
            <w:pPr>
              <w:spacing w:before="0" w:after="0"/>
            </w:pPr>
            <w:r>
              <w:rPr>
                <w:sz w:val="19"/>
              </w:rPr>
              <w:t>Level 3 · Transfer project</w:t>
            </w:r>
          </w:p>
        </w:tc>
        <w:tc>
          <w:tcPr>
            <w:tcW w:type="dxa" w:w="3293"/>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55"/>
        <w:gridCol w:w="1004"/>
        <w:gridCol w:w="1417"/>
        <w:gridCol w:w="2384"/>
        <w:gridCol w:w="2178"/>
      </w:tblGrid>
      <w:tr>
        <w:trPr>
          <w:cantSplit/>
          <w:tblHeader/>
        </w:trPr>
        <w:tc>
          <w:tcPr>
            <w:tcW w:type="dxa" w:w="2655"/>
            <w:shd w:val="clear" w:color="auto" w:fill="E6ECF4"/>
          </w:tcPr>
          <w:p>
            <w:pPr>
              <w:spacing w:before="0" w:after="0"/>
            </w:pPr>
            <w:r>
              <w:rPr>
                <w:b/>
                <w:sz w:val="19"/>
              </w:rPr>
              <w:t>Component</w:t>
            </w:r>
          </w:p>
        </w:tc>
        <w:tc>
          <w:tcPr>
            <w:tcW w:type="dxa" w:w="1004"/>
            <w:shd w:val="clear" w:color="auto" w:fill="E6ECF4"/>
          </w:tcPr>
          <w:p>
            <w:pPr>
              <w:spacing w:before="0" w:after="0"/>
            </w:pPr>
            <w:r>
              <w:rPr>
                <w:b/>
                <w:sz w:val="19"/>
              </w:rPr>
              <w:t>UE</w:t>
            </w:r>
          </w:p>
        </w:tc>
        <w:tc>
          <w:tcPr>
            <w:tcW w:type="dxa" w:w="1417"/>
            <w:shd w:val="clear" w:color="auto" w:fill="E6ECF4"/>
          </w:tcPr>
          <w:p>
            <w:pPr>
              <w:spacing w:before="0" w:after="0"/>
            </w:pPr>
            <w:r>
              <w:rPr>
                <w:b/>
                <w:sz w:val="19"/>
              </w:rPr>
              <w:t>Duration</w:t>
            </w:r>
          </w:p>
        </w:tc>
        <w:tc>
          <w:tcPr>
            <w:tcW w:type="dxa" w:w="2384"/>
            <w:shd w:val="clear" w:color="auto" w:fill="E6ECF4"/>
          </w:tcPr>
          <w:p>
            <w:pPr>
              <w:spacing w:before="0" w:after="0"/>
            </w:pPr>
            <w:r>
              <w:rPr>
                <w:b/>
                <w:sz w:val="19"/>
              </w:rPr>
              <w:t>Participants work in</w:t>
            </w:r>
          </w:p>
        </w:tc>
        <w:tc>
          <w:tcPr>
            <w:tcW w:type="dxa" w:w="2178"/>
            <w:shd w:val="clear" w:color="auto" w:fill="E6ECF4"/>
          </w:tcPr>
          <w:p>
            <w:pPr>
              <w:spacing w:before="0" w:after="0"/>
            </w:pPr>
            <w:r>
              <w:rPr>
                <w:b/>
                <w:sz w:val="19"/>
              </w:rPr>
              <w:t>Model solution in</w:t>
            </w:r>
          </w:p>
        </w:tc>
      </w:tr>
      <w:tr>
        <w:trPr>
          <w:cantSplit/>
        </w:trPr>
        <w:tc>
          <w:tcPr>
            <w:tcW w:type="dxa" w:w="2655"/>
          </w:tcPr>
          <w:p>
            <w:pPr>
              <w:spacing w:before="0" w:after="0"/>
            </w:pPr>
            <w:r>
              <w:rPr>
                <w:b/>
                <w:sz w:val="19"/>
              </w:rPr>
              <w:t>Level 2 case study</w:t>
            </w:r>
            <w:r>
              <w:rPr>
                <w:sz w:val="19"/>
              </w:rPr>
              <w:t xml:space="preserve"> (MotivaLearn)</w:t>
            </w:r>
          </w:p>
        </w:tc>
        <w:tc>
          <w:tcPr>
            <w:tcW w:type="dxa" w:w="1004"/>
          </w:tcPr>
          <w:p>
            <w:pPr>
              <w:spacing w:before="0" w:after="0"/>
            </w:pPr>
            <w:r>
              <w:rPr>
                <w:sz w:val="19"/>
              </w:rPr>
              <w:t>UE5–6</w:t>
            </w:r>
          </w:p>
        </w:tc>
        <w:tc>
          <w:tcPr>
            <w:tcW w:type="dxa" w:w="1417"/>
          </w:tcPr>
          <w:p>
            <w:pPr>
              <w:spacing w:before="0" w:after="0"/>
            </w:pPr>
            <w:r>
              <w:rPr>
                <w:b/>
                <w:sz w:val="19"/>
              </w:rPr>
              <w:t>2 UE</w:t>
            </w:r>
            <w:r>
              <w:rPr>
                <w:sz w:val="19"/>
              </w:rPr>
              <w:t xml:space="preserve"> · 90 min</w:t>
            </w:r>
          </w:p>
        </w:tc>
        <w:tc>
          <w:tcPr>
            <w:tcW w:type="dxa" w:w="2384"/>
          </w:tcPr>
          <w:p>
            <w:pPr>
              <w:spacing w:before="0" w:after="0"/>
            </w:pPr>
            <w:r>
              <w:rPr>
                <w:sz w:val="19"/>
              </w:rPr>
              <w:t>Task 1 · Part 2 (Blocks 2.1, 2.2)</w:t>
            </w:r>
          </w:p>
        </w:tc>
        <w:tc>
          <w:tcPr>
            <w:tcW w:type="dxa" w:w="2178"/>
          </w:tcPr>
          <w:p>
            <w:pPr>
              <w:spacing w:before="0" w:after="0"/>
            </w:pPr>
            <w:r>
              <w:rPr>
                <w:sz w:val="19"/>
              </w:rPr>
              <w:t>Trainer document, section Case study</w:t>
            </w:r>
          </w:p>
        </w:tc>
      </w:tr>
      <w:tr>
        <w:trPr>
          <w:cantSplit/>
        </w:trPr>
        <w:tc>
          <w:tcPr>
            <w:tcW w:type="dxa" w:w="2655"/>
          </w:tcPr>
          <w:p>
            <w:pPr>
              <w:spacing w:before="0" w:after="0"/>
            </w:pPr>
            <w:r>
              <w:rPr>
                <w:b/>
                <w:sz w:val="19"/>
              </w:rPr>
              <w:t>Level 3 transfer project</w:t>
            </w:r>
            <w:r>
              <w:rPr>
                <w:sz w:val="19"/>
              </w:rPr>
              <w:t xml:space="preserve"> (Chief Experience Officer)</w:t>
            </w:r>
          </w:p>
        </w:tc>
        <w:tc>
          <w:tcPr>
            <w:tcW w:type="dxa" w:w="1004"/>
          </w:tcPr>
          <w:p>
            <w:pPr>
              <w:spacing w:before="0" w:after="0"/>
            </w:pPr>
            <w:r>
              <w:rPr>
                <w:sz w:val="19"/>
              </w:rPr>
              <w:t>UE8–10</w:t>
            </w:r>
          </w:p>
        </w:tc>
        <w:tc>
          <w:tcPr>
            <w:tcW w:type="dxa" w:w="1417"/>
          </w:tcPr>
          <w:p>
            <w:pPr>
              <w:spacing w:before="0" w:after="0"/>
            </w:pPr>
            <w:r>
              <w:rPr>
                <w:b/>
                <w:sz w:val="19"/>
              </w:rPr>
              <w:t>3 UE</w:t>
            </w:r>
            <w:r>
              <w:rPr>
                <w:sz w:val="19"/>
              </w:rPr>
              <w:t xml:space="preserve"> · 135 min</w:t>
            </w:r>
          </w:p>
        </w:tc>
        <w:tc>
          <w:tcPr>
            <w:tcW w:type="dxa" w:w="2384"/>
          </w:tcPr>
          <w:p>
            <w:pPr>
              <w:spacing w:before="0" w:after="0"/>
            </w:pPr>
            <w:r>
              <w:rPr>
                <w:sz w:val="19"/>
              </w:rPr>
              <w:t>Materi B and Task 2 (Blocks 3.1, 3.2)</w:t>
            </w:r>
          </w:p>
        </w:tc>
        <w:tc>
          <w:tcPr>
            <w:tcW w:type="dxa" w:w="2178"/>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motivation mechanisms, psychological design principles and evaluation approaches. Level 2 asks you to design learning interfaces to be motivating and to assess UX concepts. Task 1 uses all of it on one case. The card A4 is Optional: no Core block of the task needs it.</w:t>
            </w:r>
          </w:p>
        </w:tc>
      </w:tr>
    </w:tbl>
    <w:p>
      <w:pPr>
        <w:spacing w:before="0" w:after="80"/>
      </w:pPr>
    </w:p>
    <w:p>
      <w:pPr>
        <w:pStyle w:val="Heading2"/>
      </w:pPr>
      <w:r>
        <w:rPr/>
        <w:t>A1 · Intrinsic and extrinsic motivation, and what Self-Determination Theory adds · 14 min · Core</w:t>
      </w:r>
    </w:p>
    <w:p>
      <w:pPr>
        <w:pBdr>
          <w:left w:val="single" w:sz="18" w:space="6" w:color="1750A8"/>
        </w:pBdr>
        <w:spacing w:before="40" w:after="120"/>
        <w:ind w:left="170"/>
      </w:pPr>
      <w:r>
        <w:rPr>
          <w:i/>
          <w:color w:val="556274"/>
          <w:sz w:val="22"/>
        </w:rPr>
        <w:t>Learners are motivated by the activity itself or by rewards from outside. Lasting motivation needs three things: autonomy, competence and relatedness.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Intrinsic motivation comes from the activity itself: interest, curiosity, the wish to get better. Extrinsic motivation comes from outside: points, money, a deadline, a certificate. Self-Determination Theory (Deci and Ryan) adds that people stay motivated when three needs are met: autonomy (I choose), competence (I can see I am getting better) and relatedness (I belong).</w:t>
            </w:r>
          </w:p>
          <w:p>
            <w:pPr>
              <w:spacing w:before="0" w:after="100"/>
            </w:pPr>
            <w:r>
              <w:rPr>
                <w:b/>
              </w:rPr>
              <w:t>Why it matters.</w:t>
            </w:r>
            <w:r>
              <w:rPr/>
              <w:t xml:space="preserve"> In Task 1 you compare two platforms and choose measures to raise engagement. You will need to say whether a measure supports a learner's motivation or only decorates it.</w:t>
            </w:r>
          </w:p>
          <w:p>
            <w:pPr>
              <w:spacing w:before="0" w:after="100"/>
            </w:pPr>
            <w:r>
              <w:rPr>
                <w:b/>
              </w:rPr>
              <w:t>How to read the picture.</w:t>
            </w:r>
            <w:r>
              <w:rPr/>
              <w:t xml:space="preserve"> The first picture sets the two sources of motivation side by side, row by row. The second shows the three needs as overlapping circles, each with an example from a learning platform.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649553"/>
            <wp:docPr id="1" name="Picture 1"/>
            <wp:cNvGraphicFramePr>
              <a:graphicFrameLocks noChangeAspect="1"/>
            </wp:cNvGraphicFramePr>
            <a:graphic>
              <a:graphicData uri="http://schemas.openxmlformats.org/drawingml/2006/picture">
                <pic:pic>
                  <pic:nvPicPr>
                    <pic:cNvPr id="0" name="d4_a1_intrinsic-vs-extrinsic-2dd92e215a99.png"/>
                    <pic:cNvPicPr/>
                  </pic:nvPicPr>
                  <pic:blipFill>
                    <a:blip r:embed="rId10"/>
                    <a:stretch>
                      <a:fillRect/>
                    </a:stretch>
                  </pic:blipFill>
                  <pic:spPr>
                    <a:xfrm>
                      <a:off x="0" y="0"/>
                      <a:ext cx="5940000" cy="2649553"/>
                    </a:xfrm>
                    <a:prstGeom prst="rect"/>
                  </pic:spPr>
                </pic:pic>
              </a:graphicData>
            </a:graphic>
          </wp:inline>
        </w:drawing>
      </w:r>
    </w:p>
    <w:p>
      <w:pPr>
        <w:spacing w:before="0" w:after="160"/>
        <w:jc w:val="center"/>
      </w:pPr>
      <w:r>
        <w:rPr>
          <w:i/>
          <w:color w:val="556274"/>
          <w:sz w:val="18"/>
        </w:rPr>
        <w:t>Figure 1 · Two sources of motivation, read row by row.</w:t>
      </w:r>
    </w:p>
    <w:p>
      <w:pPr>
        <w:keepNext/>
        <w:spacing w:before="80" w:after="40"/>
        <w:jc w:val="center"/>
      </w:pPr>
      <w:r>
        <w:drawing>
          <wp:inline xmlns:a="http://schemas.openxmlformats.org/drawingml/2006/main" xmlns:pic="http://schemas.openxmlformats.org/drawingml/2006/picture">
            <wp:extent cx="5940000" cy="3423316"/>
            <wp:docPr id="2" name="Picture 2"/>
            <wp:cNvGraphicFramePr>
              <a:graphicFrameLocks noChangeAspect="1"/>
            </wp:cNvGraphicFramePr>
            <a:graphic>
              <a:graphicData uri="http://schemas.openxmlformats.org/drawingml/2006/picture">
                <pic:pic>
                  <pic:nvPicPr>
                    <pic:cNvPr id="0" name="d4_a1_three-needs-01fb91513fa3.png"/>
                    <pic:cNvPicPr/>
                  </pic:nvPicPr>
                  <pic:blipFill>
                    <a:blip r:embed="rId11"/>
                    <a:stretch>
                      <a:fillRect/>
                    </a:stretch>
                  </pic:blipFill>
                  <pic:spPr>
                    <a:xfrm>
                      <a:off x="0" y="0"/>
                      <a:ext cx="5940000" cy="3423316"/>
                    </a:xfrm>
                    <a:prstGeom prst="rect"/>
                  </pic:spPr>
                </pic:pic>
              </a:graphicData>
            </a:graphic>
          </wp:inline>
        </w:drawing>
      </w:r>
    </w:p>
    <w:p>
      <w:pPr>
        <w:spacing w:before="0" w:after="160"/>
        <w:jc w:val="center"/>
      </w:pPr>
      <w:r>
        <w:rPr>
          <w:i/>
          <w:color w:val="556274"/>
          <w:sz w:val="18"/>
        </w:rPr>
        <w:t>Figure 2 · Self-Determination Theory: three needs that support lasting motivation.</w:t>
      </w:r>
    </w:p>
    <w:p>
      <w:pPr>
        <w:spacing w:before="0" w:after="100"/>
      </w:pPr>
      <w:r>
        <w:rPr/>
        <w:t>Let us look at what can go wrong, because it explains why Day 4 does not simply say "add rewards". Tom enjoys the quizzes on his company's platform; he does them because he likes seeing that he knows the answer. The platform then adds points for every quiz. For a few weeks he does more of them. Later he notices that he opens a quiz mainly to collect points, and when the points programme ends, he does fewer quizzes than before. The reward had become the reason. This is the overjustification effect (Lepper, Greene and Nisbett 1973), and a meta-analysis of 128 experiments by Deci, Koestner and Ryan (1999) found that expected tangible rewards tended to undermine intrinsic motivation, while unexpected rewards and informative praise did not.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Tom and the quiz example are made up to illustrate the research. The research findings are real; check the sources before you quote them.</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67"/>
        <w:gridCol w:w="2593"/>
        <w:gridCol w:w="5078"/>
      </w:tblGrid>
      <w:tr>
        <w:trPr>
          <w:cantSplit/>
          <w:tblHeader/>
        </w:trPr>
        <w:tc>
          <w:tcPr>
            <w:tcW w:type="dxa" w:w="1967"/>
            <w:shd w:val="clear" w:color="auto" w:fill="E6ECF4"/>
          </w:tcPr>
          <w:p>
            <w:pPr>
              <w:spacing w:before="0" w:after="0"/>
            </w:pPr>
            <w:r>
              <w:rPr>
                <w:b/>
                <w:sz w:val="20"/>
              </w:rPr>
              <w:t>SDT need</w:t>
            </w:r>
          </w:p>
        </w:tc>
        <w:tc>
          <w:tcPr>
            <w:tcW w:type="dxa" w:w="2593"/>
            <w:shd w:val="clear" w:color="auto" w:fill="E6ECF4"/>
          </w:tcPr>
          <w:p>
            <w:pPr>
              <w:spacing w:before="0" w:after="0"/>
            </w:pPr>
            <w:r>
              <w:rPr>
                <w:b/>
                <w:sz w:val="20"/>
              </w:rPr>
              <w:t>The question the learner asks</w:t>
            </w:r>
          </w:p>
        </w:tc>
        <w:tc>
          <w:tcPr>
            <w:tcW w:type="dxa" w:w="5078"/>
            <w:shd w:val="clear" w:color="auto" w:fill="E6ECF4"/>
          </w:tcPr>
          <w:p>
            <w:pPr>
              <w:spacing w:before="0" w:after="0"/>
            </w:pPr>
            <w:r>
              <w:rPr>
                <w:b/>
                <w:sz w:val="20"/>
              </w:rPr>
              <w:t>What a platform can offer</w:t>
            </w:r>
          </w:p>
        </w:tc>
      </w:tr>
      <w:tr>
        <w:trPr>
          <w:cantSplit/>
        </w:trPr>
        <w:tc>
          <w:tcPr>
            <w:tcW w:type="dxa" w:w="1967"/>
          </w:tcPr>
          <w:p>
            <w:pPr>
              <w:spacing w:before="0" w:after="0"/>
            </w:pPr>
            <w:r>
              <w:rPr>
                <w:b/>
                <w:sz w:val="20"/>
              </w:rPr>
              <w:t>Autonomy</w:t>
            </w:r>
          </w:p>
        </w:tc>
        <w:tc>
          <w:tcPr>
            <w:tcW w:type="dxa" w:w="2593"/>
          </w:tcPr>
          <w:p>
            <w:pPr>
              <w:spacing w:before="0" w:after="0"/>
            </w:pPr>
            <w:r>
              <w:rPr>
                <w:sz w:val="20"/>
              </w:rPr>
              <w:t>Do I choose how and when I learn?</w:t>
            </w:r>
          </w:p>
        </w:tc>
        <w:tc>
          <w:tcPr>
            <w:tcW w:type="dxa" w:w="5078"/>
          </w:tcPr>
          <w:p>
            <w:pPr>
              <w:spacing w:before="0" w:after="0"/>
            </w:pPr>
            <w:r>
              <w:rPr>
                <w:sz w:val="20"/>
              </w:rPr>
              <w:t>A choice of path or order, a pace of their own, a reason for each step</w:t>
            </w:r>
          </w:p>
        </w:tc>
      </w:tr>
      <w:tr>
        <w:trPr>
          <w:cantSplit/>
        </w:trPr>
        <w:tc>
          <w:tcPr>
            <w:tcW w:type="dxa" w:w="1967"/>
          </w:tcPr>
          <w:p>
            <w:pPr>
              <w:spacing w:before="0" w:after="0"/>
            </w:pPr>
            <w:r>
              <w:rPr>
                <w:b/>
                <w:sz w:val="20"/>
              </w:rPr>
              <w:t>Competence</w:t>
            </w:r>
          </w:p>
        </w:tc>
        <w:tc>
          <w:tcPr>
            <w:tcW w:type="dxa" w:w="2593"/>
          </w:tcPr>
          <w:p>
            <w:pPr>
              <w:spacing w:before="0" w:after="0"/>
            </w:pPr>
            <w:r>
              <w:rPr>
                <w:sz w:val="20"/>
              </w:rPr>
              <w:t>Can I see that I am getting better?</w:t>
            </w:r>
          </w:p>
        </w:tc>
        <w:tc>
          <w:tcPr>
            <w:tcW w:type="dxa" w:w="5078"/>
          </w:tcPr>
          <w:p>
            <w:pPr>
              <w:spacing w:before="0" w:after="0"/>
            </w:pPr>
            <w:r>
              <w:rPr>
                <w:sz w:val="20"/>
              </w:rPr>
              <w:t>Clear goals, results with a next step, a record of skills gained</w:t>
            </w:r>
          </w:p>
        </w:tc>
      </w:tr>
      <w:tr>
        <w:trPr>
          <w:cantSplit/>
        </w:trPr>
        <w:tc>
          <w:tcPr>
            <w:tcW w:type="dxa" w:w="1967"/>
          </w:tcPr>
          <w:p>
            <w:pPr>
              <w:spacing w:before="0" w:after="0"/>
            </w:pPr>
            <w:r>
              <w:rPr>
                <w:b/>
                <w:sz w:val="20"/>
              </w:rPr>
              <w:t>Relatedness</w:t>
            </w:r>
          </w:p>
        </w:tc>
        <w:tc>
          <w:tcPr>
            <w:tcW w:type="dxa" w:w="2593"/>
          </w:tcPr>
          <w:p>
            <w:pPr>
              <w:spacing w:before="0" w:after="0"/>
            </w:pPr>
            <w:r>
              <w:rPr>
                <w:sz w:val="20"/>
              </w:rPr>
              <w:t>Do I belong?</w:t>
            </w:r>
          </w:p>
        </w:tc>
        <w:tc>
          <w:tcPr>
            <w:tcW w:type="dxa" w:w="5078"/>
          </w:tcPr>
          <w:p>
            <w:pPr>
              <w:spacing w:before="0" w:after="0"/>
            </w:pPr>
            <w:r>
              <w:rPr>
                <w:sz w:val="20"/>
              </w:rPr>
              <w:t>Learning with colleagues, a trainer's comment, a visible group</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of each platform feature or measure: does it support autonomy, competence or relatedness? A feature that supports none of the three probably only decorates.</w:t>
            </w:r>
          </w:p>
          <w:p>
            <w:pPr>
              <w:pStyle w:val="ListBullet"/>
              <w:spacing w:before="0" w:after="40"/>
            </w:pPr>
            <w:r>
              <w:rPr/>
              <w:t>Extrinsic rewards can start behaviour but may not sustain it, and expected rewards for something the learner already enjoys can reduce interest.</w:t>
            </w:r>
          </w:p>
          <w:p>
            <w:pPr>
              <w:pStyle w:val="ListBullet"/>
              <w:spacing w:before="0" w:after="40"/>
            </w:pPr>
            <w:r>
              <w:rPr/>
              <w:t>Informational feedback ("you can now do X") supports competence. Pure points for presence do not.</w:t>
            </w:r>
          </w:p>
          <w:p>
            <w:pPr>
              <w:pStyle w:val="ListBullet"/>
              <w:spacing w:before="0" w:after="100"/>
            </w:pPr>
            <w:r>
              <w:rPr/>
              <w:t>Motivation is not the same as gamification: a platform can motivate without any game elements, and a game layer can leave motivation unchanged.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Other models you will meet.</w:t>
            </w:r>
            <w:r>
              <w:rPr/>
              <w:t xml:space="preserve"> Keller's ARCS model (1987) lists four conditions for motivation in instruction: attention, relevance, confidence and satisfaction. Fogg's Behavior Model (2009) says a behaviour happens when motivation, ability and a prompt come together; it returns in Materi B1. Both fit alongside SDT: SDT explains what sustains motivation, Fogg explains why a motivated learner still does not act.</w:t>
            </w:r>
          </w:p>
          <w:p>
            <w:pPr>
              <w:spacing w:before="0" w:after="100"/>
            </w:pPr>
            <w:r>
              <w:rPr>
                <w:b/>
              </w:rPr>
              <w:t>Why "intrinsic" is not a feature.</w:t>
            </w:r>
            <w:r>
              <w:rPr/>
              <w:t xml:space="preserve"> You cannot ship intrinsic motivation as a button. You can only remove what blocks it (confusion, boredom, no sign of progress) and offer what feeds it (choice, competence, belonging).</w:t>
            </w:r>
          </w:p>
        </w:tc>
      </w:tr>
    </w:tbl>
    <w:p>
      <w:pPr>
        <w:spacing w:before="0" w:after="80"/>
      </w:pPr>
    </w:p>
    <w:p>
      <w:pPr>
        <w:spacing w:before="80" w:after="160"/>
      </w:pPr>
      <w:r>
        <w:rPr>
          <w:b/>
          <w:color w:val="556274"/>
          <w:sz w:val="18"/>
        </w:rPr>
        <w:t xml:space="preserve">Sources · </w:t>
      </w:r>
      <w:r>
        <w:rPr>
          <w:color w:val="556274"/>
          <w:sz w:val="18"/>
        </w:rPr>
        <w:t>Ryan &amp; Deci 2000 · Deci, Koestner &amp; Ryan 1999 · Lepper, Greene &amp; Nisbett 1973 · Keller 1987</w:t>
      </w:r>
    </w:p>
    <w:p>
      <w:pPr>
        <w:pStyle w:val="Heading2"/>
      </w:pPr>
      <w:r>
        <w:rPr/>
        <w:t>A2 · Five design principles for effective learning experiences · 14 min · Core</w:t>
      </w:r>
    </w:p>
    <w:p>
      <w:pPr>
        <w:pBdr>
          <w:left w:val="single" w:sz="18" w:space="6" w:color="1750A8"/>
        </w:pBdr>
        <w:spacing w:before="40" w:after="120"/>
        <w:ind w:left="170"/>
      </w:pPr>
      <w:r>
        <w:rPr>
          <w:i/>
          <w:color w:val="556274"/>
          <w:sz w:val="22"/>
        </w:rPr>
        <w:t>Clarity, activation, feedback, progression and relevance are the five things a motivating learning screen delivers.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names five design principles. Clarity and structure: the learner knows what this is and what to do. Activation: the learner does something instead of only reading. Feedback and reinforcement: the learner knows how they did and what to do next. Progression: the learner can see their learning move forward. Relevance and context: the learner sees why this matters for their work.</w:t>
            </w:r>
          </w:p>
          <w:p>
            <w:pPr>
              <w:spacing w:before="0" w:after="100"/>
            </w:pPr>
            <w:r>
              <w:rPr>
                <w:b/>
              </w:rPr>
              <w:t>Why it matters.</w:t>
            </w:r>
            <w:r>
              <w:rPr/>
              <w:t xml:space="preserve"> In Task 1 you sort what differs between two platforms into these principles and then choose measures that deliver them. The model of the plan builds its measures on exactly these ideas.</w:t>
            </w:r>
          </w:p>
          <w:p>
            <w:pPr>
              <w:spacing w:before="0" w:after="100"/>
            </w:pPr>
            <w:r>
              <w:rPr>
                <w:b/>
              </w:rPr>
              <w:t>How to read the picture.</w:t>
            </w:r>
            <w:r>
              <w:rPr/>
              <w:t xml:space="preserve"> Each row reads from left to right: the principle, what the learner experiences, and a typical screen element that delivers it.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407684"/>
            <wp:docPr id="3" name="Picture 3"/>
            <wp:cNvGraphicFramePr>
              <a:graphicFrameLocks noChangeAspect="1"/>
            </wp:cNvGraphicFramePr>
            <a:graphic>
              <a:graphicData uri="http://schemas.openxmlformats.org/drawingml/2006/picture">
                <pic:pic>
                  <pic:nvPicPr>
                    <pic:cNvPr id="0" name="d4_a2_five-principles-ea4b39770d14.png"/>
                    <pic:cNvPicPr/>
                  </pic:nvPicPr>
                  <pic:blipFill>
                    <a:blip r:embed="rId12"/>
                    <a:stretch>
                      <a:fillRect/>
                    </a:stretch>
                  </pic:blipFill>
                  <pic:spPr>
                    <a:xfrm>
                      <a:off x="0" y="0"/>
                      <a:ext cx="5940000" cy="3407684"/>
                    </a:xfrm>
                    <a:prstGeom prst="rect"/>
                  </pic:spPr>
                </pic:pic>
              </a:graphicData>
            </a:graphic>
          </wp:inline>
        </w:drawing>
      </w:r>
    </w:p>
    <w:p>
      <w:pPr>
        <w:spacing w:before="0" w:after="160"/>
        <w:jc w:val="center"/>
      </w:pPr>
      <w:r>
        <w:rPr>
          <w:i/>
          <w:color w:val="556274"/>
          <w:sz w:val="18"/>
        </w:rPr>
        <w:t>Figure 3 · Five design principles, what the learner experiences, and a typical screen element.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Anna's negotiation course</w:t>
            </w:r>
          </w:p>
          <w:p>
            <w:pPr>
              <w:spacing w:before="0" w:after="100"/>
            </w:pPr>
            <w:r>
              <w:rPr>
                <w:b/>
              </w:rPr>
              <w:t>Step 1.</w:t>
            </w:r>
            <w:r>
              <w:rPr/>
              <w:t xml:space="preserve"> Let us follow Anna, a sales manager who is taking a course on negotiation on LearnLoop. The first version of the course opens with a long page of reading. She does not know what she will be able to do at the end, nothing asks her to try anything, nothing tells her how she is doing, and the page does not show how far she has come. After two pages she closes it.</w:t>
            </w:r>
          </w:p>
          <w:p>
            <w:pPr>
              <w:spacing w:before="0" w:after="100"/>
            </w:pPr>
            <w:r>
              <w:rPr>
                <w:b/>
              </w:rPr>
              <w:t>Step 2.</w:t>
            </w:r>
            <w:r>
              <w:rPr/>
              <w:t xml:space="preserve"> In the second version, each unit starts with "After this unit you can write a counter-offer" (clarity and relevance). Then comes a three-minute task: she types her counter-offer (activation). A message follows: "Your offer names a price but no condition. Next: task 4" (feedback with a next step). At the top a bar shows 40 percent (progression).</w:t>
            </w:r>
          </w:p>
          <w:p>
            <w:pPr>
              <w:spacing w:before="0" w:after="100"/>
            </w:pPr>
            <w:r>
              <w:rPr>
                <w:b/>
              </w:rPr>
              <w:t>Step 3.</w:t>
            </w:r>
            <w:r>
              <w:rPr/>
              <w:t xml:space="preserve"> Nothing about the content changed. What changed is that each of the five principles is now visible on the screen, so Anna can feel that she is moving.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Anna and the negotiation course are made up for this example.</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08"/>
        <w:gridCol w:w="3053"/>
        <w:gridCol w:w="3777"/>
      </w:tblGrid>
      <w:tr>
        <w:trPr>
          <w:cantSplit/>
          <w:tblHeader/>
        </w:trPr>
        <w:tc>
          <w:tcPr>
            <w:tcW w:type="dxa" w:w="2808"/>
            <w:shd w:val="clear" w:color="auto" w:fill="E6ECF4"/>
          </w:tcPr>
          <w:p>
            <w:pPr>
              <w:spacing w:before="0" w:after="0"/>
            </w:pPr>
            <w:r>
              <w:rPr>
                <w:b/>
                <w:sz w:val="20"/>
              </w:rPr>
              <w:t>Principle</w:t>
            </w:r>
          </w:p>
        </w:tc>
        <w:tc>
          <w:tcPr>
            <w:tcW w:type="dxa" w:w="3053"/>
            <w:shd w:val="clear" w:color="auto" w:fill="E6ECF4"/>
          </w:tcPr>
          <w:p>
            <w:pPr>
              <w:spacing w:before="0" w:after="0"/>
            </w:pPr>
            <w:r>
              <w:rPr>
                <w:b/>
                <w:sz w:val="20"/>
              </w:rPr>
              <w:t>If it is missing, the learner meets…</w:t>
            </w:r>
          </w:p>
        </w:tc>
        <w:tc>
          <w:tcPr>
            <w:tcW w:type="dxa" w:w="3777"/>
            <w:shd w:val="clear" w:color="auto" w:fill="E6ECF4"/>
          </w:tcPr>
          <w:p>
            <w:pPr>
              <w:spacing w:before="0" w:after="0"/>
            </w:pPr>
            <w:r>
              <w:rPr>
                <w:b/>
                <w:sz w:val="20"/>
              </w:rPr>
              <w:t>A measure that delivers it</w:t>
            </w:r>
          </w:p>
        </w:tc>
      </w:tr>
      <w:tr>
        <w:trPr>
          <w:cantSplit/>
        </w:trPr>
        <w:tc>
          <w:tcPr>
            <w:tcW w:type="dxa" w:w="2808"/>
          </w:tcPr>
          <w:p>
            <w:pPr>
              <w:spacing w:before="0" w:after="0"/>
            </w:pPr>
            <w:r>
              <w:rPr>
                <w:sz w:val="20"/>
              </w:rPr>
              <w:t>Clarity and structure</w:t>
            </w:r>
          </w:p>
        </w:tc>
        <w:tc>
          <w:tcPr>
            <w:tcW w:type="dxa" w:w="3053"/>
          </w:tcPr>
          <w:p>
            <w:pPr>
              <w:spacing w:before="0" w:after="0"/>
            </w:pPr>
            <w:r>
              <w:rPr>
                <w:sz w:val="20"/>
              </w:rPr>
              <w:t>A page with no stated goal</w:t>
            </w:r>
          </w:p>
        </w:tc>
        <w:tc>
          <w:tcPr>
            <w:tcW w:type="dxa" w:w="3777"/>
          </w:tcPr>
          <w:p>
            <w:pPr>
              <w:spacing w:before="0" w:after="0"/>
            </w:pPr>
            <w:r>
              <w:rPr>
                <w:sz w:val="20"/>
              </w:rPr>
              <w:t>A goal sentence at the start of each unit</w:t>
            </w:r>
          </w:p>
        </w:tc>
      </w:tr>
      <w:tr>
        <w:trPr>
          <w:cantSplit/>
        </w:trPr>
        <w:tc>
          <w:tcPr>
            <w:tcW w:type="dxa" w:w="2808"/>
          </w:tcPr>
          <w:p>
            <w:pPr>
              <w:spacing w:before="0" w:after="0"/>
            </w:pPr>
            <w:r>
              <w:rPr>
                <w:sz w:val="20"/>
              </w:rPr>
              <w:t>Activation</w:t>
            </w:r>
          </w:p>
        </w:tc>
        <w:tc>
          <w:tcPr>
            <w:tcW w:type="dxa" w:w="3053"/>
          </w:tcPr>
          <w:p>
            <w:pPr>
              <w:spacing w:before="0" w:after="0"/>
            </w:pPr>
            <w:r>
              <w:rPr>
                <w:sz w:val="20"/>
              </w:rPr>
              <w:t>Pages of reading with nothing to do</w:t>
            </w:r>
          </w:p>
        </w:tc>
        <w:tc>
          <w:tcPr>
            <w:tcW w:type="dxa" w:w="3777"/>
          </w:tcPr>
          <w:p>
            <w:pPr>
              <w:spacing w:before="0" w:after="0"/>
            </w:pPr>
            <w:r>
              <w:rPr>
                <w:sz w:val="20"/>
              </w:rPr>
              <w:t>Short tasks and questions inside the unit</w:t>
            </w:r>
          </w:p>
        </w:tc>
      </w:tr>
      <w:tr>
        <w:trPr>
          <w:cantSplit/>
        </w:trPr>
        <w:tc>
          <w:tcPr>
            <w:tcW w:type="dxa" w:w="2808"/>
          </w:tcPr>
          <w:p>
            <w:pPr>
              <w:spacing w:before="0" w:after="0"/>
            </w:pPr>
            <w:r>
              <w:rPr>
                <w:sz w:val="20"/>
              </w:rPr>
              <w:t>Feedback and reinforcement</w:t>
            </w:r>
          </w:p>
        </w:tc>
        <w:tc>
          <w:tcPr>
            <w:tcW w:type="dxa" w:w="3053"/>
          </w:tcPr>
          <w:p>
            <w:pPr>
              <w:spacing w:before="0" w:after="0"/>
            </w:pPr>
            <w:r>
              <w:rPr>
                <w:sz w:val="20"/>
              </w:rPr>
              <w:t>A silent screen after an answer</w:t>
            </w:r>
          </w:p>
        </w:tc>
        <w:tc>
          <w:tcPr>
            <w:tcW w:type="dxa" w:w="3777"/>
          </w:tcPr>
          <w:p>
            <w:pPr>
              <w:spacing w:before="0" w:after="0"/>
            </w:pPr>
            <w:r>
              <w:rPr>
                <w:sz w:val="20"/>
              </w:rPr>
              <w:t>A result and a next step after each task</w:t>
            </w:r>
          </w:p>
        </w:tc>
      </w:tr>
      <w:tr>
        <w:trPr>
          <w:cantSplit/>
        </w:trPr>
        <w:tc>
          <w:tcPr>
            <w:tcW w:type="dxa" w:w="2808"/>
          </w:tcPr>
          <w:p>
            <w:pPr>
              <w:spacing w:before="0" w:after="0"/>
            </w:pPr>
            <w:r>
              <w:rPr>
                <w:sz w:val="20"/>
              </w:rPr>
              <w:t>Progression</w:t>
            </w:r>
          </w:p>
        </w:tc>
        <w:tc>
          <w:tcPr>
            <w:tcW w:type="dxa" w:w="3053"/>
          </w:tcPr>
          <w:p>
            <w:pPr>
              <w:spacing w:before="0" w:after="0"/>
            </w:pPr>
            <w:r>
              <w:rPr>
                <w:sz w:val="20"/>
              </w:rPr>
              <w:t>No sign of how far they have come</w:t>
            </w:r>
          </w:p>
        </w:tc>
        <w:tc>
          <w:tcPr>
            <w:tcW w:type="dxa" w:w="3777"/>
          </w:tcPr>
          <w:p>
            <w:pPr>
              <w:spacing w:before="0" w:after="0"/>
            </w:pPr>
            <w:r>
              <w:rPr>
                <w:sz w:val="20"/>
              </w:rPr>
              <w:t>A progress bar, "3 of 8 done", skills gained</w:t>
            </w:r>
          </w:p>
        </w:tc>
      </w:tr>
      <w:tr>
        <w:trPr>
          <w:cantSplit/>
        </w:trPr>
        <w:tc>
          <w:tcPr>
            <w:tcW w:type="dxa" w:w="2808"/>
          </w:tcPr>
          <w:p>
            <w:pPr>
              <w:spacing w:before="0" w:after="0"/>
            </w:pPr>
            <w:r>
              <w:rPr>
                <w:sz w:val="20"/>
              </w:rPr>
              <w:t>Relevance and context</w:t>
            </w:r>
          </w:p>
        </w:tc>
        <w:tc>
          <w:tcPr>
            <w:tcW w:type="dxa" w:w="3053"/>
          </w:tcPr>
          <w:p>
            <w:pPr>
              <w:spacing w:before="0" w:after="0"/>
            </w:pPr>
            <w:r>
              <w:rPr>
                <w:sz w:val="20"/>
              </w:rPr>
              <w:t>Content without a reason</w:t>
            </w:r>
          </w:p>
        </w:tc>
        <w:tc>
          <w:tcPr>
            <w:tcW w:type="dxa" w:w="3777"/>
          </w:tcPr>
          <w:p>
            <w:pPr>
              <w:spacing w:before="0" w:after="0"/>
            </w:pPr>
            <w:r>
              <w:rPr>
                <w:sz w:val="20"/>
              </w:rPr>
              <w:t>A work example before the rule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difference between two platforms by the principle it delivers or lacks: goal (clarity), doing (activation), result (feedback), progress (progression), reason (relevance).</w:t>
            </w:r>
          </w:p>
          <w:p>
            <w:pPr>
              <w:pStyle w:val="ListBullet"/>
              <w:spacing w:before="0" w:after="40"/>
            </w:pPr>
            <w:r>
              <w:rPr/>
              <w:t>A principle of motivation is a sentence with a reason: "Show the learner their progress, because people continue when they can see they are getting somewhere."</w:t>
            </w:r>
          </w:p>
          <w:p>
            <w:pPr>
              <w:pStyle w:val="ListBullet"/>
              <w:spacing w:before="0" w:after="40"/>
            </w:pPr>
            <w:r>
              <w:rPr/>
              <w:t>Prefer measures that deliver a principle for every learner (a progress bar, a goal sentence) before an extra for some (a badge).</w:t>
            </w:r>
          </w:p>
          <w:p>
            <w:pPr>
              <w:pStyle w:val="ListBullet"/>
              <w:spacing w:before="0" w:after="100"/>
            </w:pPr>
            <w:r>
              <w:rPr/>
              <w:t>Activation is not the same as more clicking: the learner must do something that relates to the goal.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Challenge and skill.</w:t>
            </w:r>
            <w:r>
              <w:rPr/>
              <w:t xml:space="preserve"> Csikszentmihalyi (1990) described a state of deep engagement, "flow", that arises when the challenge fits the learner's skill: too easy is boring, too hard is frustrating. Tasks that grow slightly harder as the learner succeeds follow this idea.</w:t>
            </w:r>
          </w:p>
          <w:p>
            <w:pPr>
              <w:spacing w:before="0" w:after="100"/>
            </w:pPr>
            <w:r>
              <w:rPr>
                <w:b/>
              </w:rPr>
              <w:t>Goals.</w:t>
            </w:r>
            <w:r>
              <w:rPr/>
              <w:t xml:space="preserve"> Locke and Latham (2002) summarise 35 years of research showing that specific, challenging goals lead to better performance than vague ones. A stated unit goal is the learning version of this finding.</w:t>
            </w:r>
          </w:p>
        </w:tc>
      </w:tr>
    </w:tbl>
    <w:p>
      <w:pPr>
        <w:spacing w:before="0" w:after="80"/>
      </w:pPr>
    </w:p>
    <w:p>
      <w:pPr>
        <w:spacing w:before="80" w:after="160"/>
      </w:pPr>
      <w:r>
        <w:rPr>
          <w:b/>
          <w:color w:val="556274"/>
          <w:sz w:val="18"/>
        </w:rPr>
        <w:t xml:space="preserve">Sources · </w:t>
      </w:r>
      <w:r>
        <w:rPr>
          <w:color w:val="556274"/>
          <w:sz w:val="18"/>
        </w:rPr>
        <w:t>Keller 1987 · Csikszentmihalyi 1990 · Locke &amp; Latham 2002</w:t>
      </w:r>
    </w:p>
    <w:p>
      <w:pPr>
        <w:pStyle w:val="Heading2"/>
      </w:pPr>
      <w:r>
        <w:rPr/>
        <w:t>A3 · Feedback, progress and rewards: what helps and what backfires · 12 min · Core</w:t>
      </w:r>
    </w:p>
    <w:p>
      <w:pPr>
        <w:pBdr>
          <w:left w:val="single" w:sz="18" w:space="6" w:color="1750A8"/>
        </w:pBdr>
        <w:spacing w:before="40" w:after="120"/>
        <w:ind w:left="170"/>
      </w:pPr>
      <w:r>
        <w:rPr>
          <w:i/>
          <w:color w:val="556274"/>
          <w:sz w:val="22"/>
        </w:rPr>
        <w:t>Feedback that tells the learner what to do next and progress that is honest support competence. Rewards help only when they stay informative.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Three tools appear in almost every motivation discussion: feedback, progress displays and rewards. Feedback helps when it answers three questions: where am I going, how am I going, where to next (Hattie and Timperley 2007). Progress displays help because people work harder as they get nearer a goal and when they can already see some progress. Rewards help when they tell the learner something true about their skill, and backfire when they replace the reason for learning.</w:t>
            </w:r>
          </w:p>
          <w:p>
            <w:pPr>
              <w:spacing w:before="0" w:after="100"/>
            </w:pPr>
            <w:r>
              <w:rPr>
                <w:b/>
              </w:rPr>
              <w:t>Why it matters.</w:t>
            </w:r>
            <w:r>
              <w:rPr/>
              <w:t xml:space="preserve"> In Task 1 and Task 2 you choose between measures such as a progress display, feedback after each task, and points and badges. This card tells you how to rate each.</w:t>
            </w:r>
          </w:p>
          <w:p>
            <w:pPr>
              <w:spacing w:before="0" w:after="100"/>
            </w:pPr>
            <w:r>
              <w:rPr>
                <w:b/>
              </w:rPr>
              <w:t>How to read the picture.</w:t>
            </w:r>
            <w:r>
              <w:rPr/>
              <w:t xml:space="preserve"> The first picture shows the three feedback questions. The second sets a reward that supports learning next to one that replaces it, row by row.</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524079"/>
            <wp:docPr id="4" name="Picture 4"/>
            <wp:cNvGraphicFramePr>
              <a:graphicFrameLocks noChangeAspect="1"/>
            </wp:cNvGraphicFramePr>
            <a:graphic>
              <a:graphicData uri="http://schemas.openxmlformats.org/drawingml/2006/picture">
                <pic:pic>
                  <pic:nvPicPr>
                    <pic:cNvPr id="0" name="d4_a3_feedback-questions-dcd34661a9ac.png"/>
                    <pic:cNvPicPr/>
                  </pic:nvPicPr>
                  <pic:blipFill>
                    <a:blip r:embed="rId13"/>
                    <a:stretch>
                      <a:fillRect/>
                    </a:stretch>
                  </pic:blipFill>
                  <pic:spPr>
                    <a:xfrm>
                      <a:off x="0" y="0"/>
                      <a:ext cx="5940000" cy="1524079"/>
                    </a:xfrm>
                    <a:prstGeom prst="rect"/>
                  </pic:spPr>
                </pic:pic>
              </a:graphicData>
            </a:graphic>
          </wp:inline>
        </w:drawing>
      </w:r>
    </w:p>
    <w:p>
      <w:pPr>
        <w:spacing w:before="0" w:after="160"/>
        <w:jc w:val="center"/>
      </w:pPr>
      <w:r>
        <w:rPr>
          <w:i/>
          <w:color w:val="556274"/>
          <w:sz w:val="18"/>
        </w:rPr>
        <w:t>Figure 4 · Three questions good feedback answers.</w:t>
      </w:r>
    </w:p>
    <w:p>
      <w:pPr>
        <w:keepNext/>
        <w:spacing w:before="80" w:after="40"/>
        <w:jc w:val="center"/>
      </w:pPr>
      <w:r>
        <w:drawing>
          <wp:inline xmlns:a="http://schemas.openxmlformats.org/drawingml/2006/main" xmlns:pic="http://schemas.openxmlformats.org/drawingml/2006/picture">
            <wp:extent cx="5940000" cy="2649553"/>
            <wp:docPr id="5" name="Picture 5"/>
            <wp:cNvGraphicFramePr>
              <a:graphicFrameLocks noChangeAspect="1"/>
            </wp:cNvGraphicFramePr>
            <a:graphic>
              <a:graphicData uri="http://schemas.openxmlformats.org/drawingml/2006/picture">
                <pic:pic>
                  <pic:nvPicPr>
                    <pic:cNvPr id="0" name="d4_a3_rewards-3c3e22a5317c.png"/>
                    <pic:cNvPicPr/>
                  </pic:nvPicPr>
                  <pic:blipFill>
                    <a:blip r:embed="rId14"/>
                    <a:stretch>
                      <a:fillRect/>
                    </a:stretch>
                  </pic:blipFill>
                  <pic:spPr>
                    <a:xfrm>
                      <a:off x="0" y="0"/>
                      <a:ext cx="5940000" cy="2649553"/>
                    </a:xfrm>
                    <a:prstGeom prst="rect"/>
                  </pic:spPr>
                </pic:pic>
              </a:graphicData>
            </a:graphic>
          </wp:inline>
        </w:drawing>
      </w:r>
    </w:p>
    <w:p>
      <w:pPr>
        <w:spacing w:before="0" w:after="160"/>
        <w:jc w:val="center"/>
      </w:pPr>
      <w:r>
        <w:rPr>
          <w:i/>
          <w:color w:val="556274"/>
          <w:sz w:val="18"/>
        </w:rPr>
        <w:t>Figure 5 · The same element can help or backfire: a reward that supports learning against one that replaces it.</w:t>
      </w:r>
    </w:p>
    <w:p>
      <w:pPr>
        <w:pStyle w:val="ListBullet"/>
        <w:spacing w:before="0" w:after="40"/>
      </w:pPr>
      <w:r>
        <w:rPr>
          <w:b/>
        </w:rPr>
        <w:t>Progress.</w:t>
      </w:r>
      <w:r>
        <w:rPr/>
        <w:t xml:space="preserve"> The goal-gradient effect (Kivetz, Urminsky and Zheng 2006) describes that people speed up as they approach a goal. The endowed-progress effect (Nunes and Drèze 2006) found that customers with a loyalty card that was already partly stamped were more likely to complete it. A progress bar uses both, but it must be honest: a bar that moves without real progress teaches the learner to distrust it.</w:t>
      </w:r>
    </w:p>
    <w:p>
      <w:pPr>
        <w:pStyle w:val="ListBullet"/>
        <w:spacing w:before="0" w:after="40"/>
      </w:pPr>
      <w:r>
        <w:rPr>
          <w:b/>
        </w:rPr>
        <w:t>Small wins.</w:t>
      </w:r>
      <w:r>
        <w:rPr/>
        <w:t xml:space="preserve"> Amabile and Kramer (2011) analysed almost 12,000 diary entries of 238 knowledge workers and found that making progress in meaningful work was the strongest everyday boost to motivation. It concerns workplaces, but it supports the plan's model logic that perceived progress is a strong motivator.</w:t>
      </w:r>
    </w:p>
    <w:p>
      <w:pPr>
        <w:pStyle w:val="ListBullet"/>
        <w:spacing w:before="0" w:after="100"/>
      </w:pPr>
      <w:r>
        <w:rPr>
          <w:b/>
        </w:rPr>
        <w:t>Gamification.</w:t>
      </w:r>
      <w:r>
        <w:rPr/>
        <w:t xml:space="preserve"> The use of game elements outside games (Deterding et al. 2011). A review of empirical studies (Hamari, Koivisto and Sarsa 2014) found mostly positive effects that depend on the context and on the user. Day 11 treats it in depth; here, rate it by what it does to the three needs of SDT.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Give feedback that answers three questions: the goal, the result so far, and the next step. "Well done" alone is not feedback in this sense.</w:t>
            </w:r>
          </w:p>
          <w:p>
            <w:pPr>
              <w:pStyle w:val="ListBullet"/>
              <w:spacing w:before="0" w:after="40"/>
            </w:pPr>
            <w:r>
              <w:rPr/>
              <w:t>A progress display must show real progress against a clear end. Show the learner what is done and what is left.</w:t>
            </w:r>
          </w:p>
          <w:p>
            <w:pPr>
              <w:pStyle w:val="ListBullet"/>
              <w:spacing w:before="0" w:after="40"/>
            </w:pPr>
            <w:r>
              <w:rPr/>
              <w:t>Rate a reward by what it says: does it tell the learner something true about their skill, or does it pay them for presence? The second kind carries a risk of overjustification.</w:t>
            </w:r>
          </w:p>
          <w:p>
            <w:pPr>
              <w:pStyle w:val="ListBullet"/>
              <w:spacing w:before="0" w:after="100"/>
            </w:pPr>
            <w:r>
              <w:rPr/>
              <w:t>A measure that adds rewards but leaves a platform without goals, activation and feedback treats the symptom and not the cause.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Rewards in a work setting.</w:t>
            </w:r>
            <w:r>
              <w:rPr/>
              <w:t xml:space="preserve"> Learners who are paid or required to learn (as many Habmann learners are) already have an extrinsic reason. The design question is then how to add competence and autonomy so that the reason does not stay only external.</w:t>
            </w:r>
          </w:p>
          <w:p>
            <w:pPr>
              <w:spacing w:before="0" w:after="100"/>
            </w:pPr>
            <w:r>
              <w:rPr>
                <w:b/>
              </w:rPr>
              <w:t>Do not mix up engagement and learning.</w:t>
            </w:r>
            <w:r>
              <w:rPr/>
              <w:t xml:space="preserve"> A platform can raise clicks and time spent while learning stays flat. Card A4 returns to this when it asks what to measure.</w:t>
            </w:r>
          </w:p>
        </w:tc>
      </w:tr>
    </w:tbl>
    <w:p>
      <w:pPr>
        <w:spacing w:before="0" w:after="80"/>
      </w:pPr>
    </w:p>
    <w:p>
      <w:pPr>
        <w:spacing w:before="80" w:after="160"/>
      </w:pPr>
      <w:r>
        <w:rPr>
          <w:b/>
          <w:color w:val="556274"/>
          <w:sz w:val="18"/>
        </w:rPr>
        <w:t xml:space="preserve">Sources · </w:t>
      </w:r>
      <w:r>
        <w:rPr>
          <w:color w:val="556274"/>
          <w:sz w:val="18"/>
        </w:rPr>
        <w:t>Hattie &amp; Timperley 2007 · Kivetz et al. 2006 · Nunes &amp; Drèze 2006 · Amabile &amp; Kramer 2011 · Hamari et al. 2014</w:t>
      </w:r>
    </w:p>
    <w:p>
      <w:pPr>
        <w:pStyle w:val="Heading2"/>
      </w:pPr>
      <w:r>
        <w:rPr/>
        <w:t>A4 · Evaluating motivation-based UX: metrics and methods · 10 min · Optional</w:t>
      </w:r>
    </w:p>
    <w:p>
      <w:pPr>
        <w:pBdr>
          <w:left w:val="single" w:sz="18" w:space="6" w:color="1750A8"/>
        </w:pBdr>
        <w:spacing w:before="40" w:after="120"/>
        <w:ind w:left="170"/>
      </w:pPr>
      <w:r>
        <w:rPr>
          <w:i/>
          <w:color w:val="556274"/>
          <w:sz w:val="22"/>
        </w:rPr>
        <w:t>Engagement metrics show what learners do; interviews show why. Use both, and write down what you expect before you change anything.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know whether a motivating design works, you measure. The plan lists engagement, completion rate and time spent as metrics, user feedback and observation as qualitative methods, and KPIs and tracking as quantitative methods. Each metric answers one question and has a trap.</w:t>
            </w:r>
          </w:p>
          <w:p>
            <w:pPr>
              <w:spacing w:before="0" w:after="100"/>
            </w:pPr>
            <w:r>
              <w:rPr>
                <w:b/>
              </w:rPr>
              <w:t>Why it matters.</w:t>
            </w:r>
            <w:r>
              <w:rPr/>
              <w:t xml:space="preserve"> The plan's Level 3 task asks for an evaluation strategy: how do we measure success? This card gives you the building blocks.</w:t>
            </w:r>
          </w:p>
          <w:p>
            <w:pPr>
              <w:spacing w:before="0" w:after="100"/>
            </w:pPr>
            <w:r>
              <w:rPr>
                <w:b/>
              </w:rPr>
              <w:t>How to read the picture.</w:t>
            </w:r>
            <w:r>
              <w:rPr/>
              <w:t xml:space="preserve"> Each row reads from left to right: the metric or method, the question it answers, and why you read it carefully.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407684"/>
            <wp:docPr id="6" name="Picture 6"/>
            <wp:cNvGraphicFramePr>
              <a:graphicFrameLocks noChangeAspect="1"/>
            </wp:cNvGraphicFramePr>
            <a:graphic>
              <a:graphicData uri="http://schemas.openxmlformats.org/drawingml/2006/picture">
                <pic:pic>
                  <pic:nvPicPr>
                    <pic:cNvPr id="0" name="d4_a4_metrics-f16e94c52151.png"/>
                    <pic:cNvPicPr/>
                  </pic:nvPicPr>
                  <pic:blipFill>
                    <a:blip r:embed="rId15"/>
                    <a:stretch>
                      <a:fillRect/>
                    </a:stretch>
                  </pic:blipFill>
                  <pic:spPr>
                    <a:xfrm>
                      <a:off x="0" y="0"/>
                      <a:ext cx="5940000" cy="3407684"/>
                    </a:xfrm>
                    <a:prstGeom prst="rect"/>
                  </pic:spPr>
                </pic:pic>
              </a:graphicData>
            </a:graphic>
          </wp:inline>
        </w:drawing>
      </w:r>
    </w:p>
    <w:p>
      <w:pPr>
        <w:spacing w:before="0" w:after="160"/>
        <w:jc w:val="center"/>
      </w:pPr>
      <w:r>
        <w:rPr>
          <w:i/>
          <w:color w:val="556274"/>
          <w:sz w:val="18"/>
        </w:rPr>
        <w:t>Figure 6 · Five metrics and methods, the question each answers, and the trap in each.</w:t>
      </w:r>
    </w:p>
    <w:p>
      <w:pPr>
        <w:spacing w:before="0" w:after="100"/>
      </w:pPr>
      <w:r>
        <w:rPr>
          <w:b/>
        </w:rPr>
        <w:t>Iterate in three steps.</w:t>
      </w:r>
      <w:r>
        <w:rPr/>
        <w:t xml:space="preserve"> Test, analyse, adjust. Before the test, write the hypothesis in a sentence: "We believe that a next-step button will raise the seven-day return rate by five points; we will know when the rate moves against a control group." Gothelf and Seiden (2013) describe this form. After the test, compare with the baseline and decide: keep, change or stop.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Pair a metric about behaviour (return rate, tasks done) with a method about reasons (interviews, observation).</w:t>
            </w:r>
          </w:p>
          <w:p>
            <w:pPr>
              <w:pStyle w:val="ListBullet"/>
              <w:spacing w:before="0" w:after="40"/>
            </w:pPr>
            <w:r>
              <w:rPr/>
              <w:t>Time spent is ambiguous: a long time can mean interest or confusion. Do not use it alone.</w:t>
            </w:r>
          </w:p>
          <w:p>
            <w:pPr>
              <w:pStyle w:val="ListBullet"/>
              <w:spacing w:before="0" w:after="40"/>
            </w:pPr>
            <w:r>
              <w:rPr/>
              <w:t>Write the expected effect and the figure before you change anything, so that you can tell whether it worked.</w:t>
            </w:r>
          </w:p>
          <w:p>
            <w:pPr>
              <w:pStyle w:val="ListBullet"/>
              <w:spacing w:before="0" w:after="100"/>
            </w:pPr>
            <w:r>
              <w:rPr/>
              <w:t>With enough learners, use a control group (an A/B test) so that you know the change, not the season, caused the result.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HEART.</w:t>
            </w:r>
            <w:r>
              <w:rPr/>
              <w:t xml:space="preserve"> Google's HEART framework (Rodden, Hutchinson and Fu 2010) lists happiness, engagement, adoption, retention and task success as categories of user-centred metrics, each with a goal, a signal and a metric. It is a way to avoid choosing a metric only because it is easy to count. Day 16 returns to it.</w:t>
            </w:r>
          </w:p>
          <w:p>
            <w:pPr>
              <w:spacing w:before="0" w:after="100"/>
            </w:pPr>
            <w:r>
              <w:rPr>
                <w:b/>
              </w:rPr>
              <w:t>Experiments.</w:t>
            </w:r>
            <w:r>
              <w:rPr/>
              <w:t xml:space="preserve"> Kohavi, Tang and Xu (2020) warn that many ideas do not move the metric they were built for. A control group is how you find out cheaply.</w:t>
            </w:r>
          </w:p>
        </w:tc>
      </w:tr>
    </w:tbl>
    <w:p>
      <w:pPr>
        <w:spacing w:before="0" w:after="80"/>
      </w:pPr>
    </w:p>
    <w:p>
      <w:pPr>
        <w:spacing w:before="80" w:after="160"/>
      </w:pPr>
      <w:r>
        <w:rPr>
          <w:b/>
          <w:color w:val="556274"/>
          <w:sz w:val="18"/>
        </w:rPr>
        <w:t xml:space="preserve">Sources · </w:t>
      </w:r>
      <w:r>
        <w:rPr>
          <w:color w:val="556274"/>
          <w:sz w:val="18"/>
        </w:rPr>
        <w:t>Rodden et al. 2010 · Gothelf &amp; Seiden 2013 · Kohavi et al. 2020</w:t>
      </w:r>
    </w:p>
    <w:p>
      <w:pPr>
        <w:pStyle w:val="Heading2"/>
      </w:pPr>
      <w:r>
        <w:rPr/>
        <w:t>A5 · Weighing an engagement measure: motivation, effort, risk · 10 min · Core</w:t>
      </w:r>
    </w:p>
    <w:p>
      <w:pPr>
        <w:pBdr>
          <w:left w:val="single" w:sz="18" w:space="6" w:color="1750A8"/>
        </w:pBdr>
        <w:spacing w:before="40" w:after="120"/>
        <w:ind w:left="170"/>
      </w:pPr>
      <w:r>
        <w:rPr>
          <w:i/>
          <w:color w:val="556274"/>
          <w:sz w:val="22"/>
        </w:rPr>
        <w:t>Rate each measure on how much it supports lasting motivation, what it costs and how it can backfire. Pressure and rewards carry the highest risk.</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ways of raising engagement, rate each on the same three questions. Motivation impact: how much does it support lasting motivation, meaning goals, activation, feedback and progress? Effort: money and time, decided here by a rule: under €10,000 is Low, up to €20,000 is Mid, above that is High. Risk: how can it backfire, through overjustification, pressure or manipulation?</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The bars show the cost of three LearnLoop measures. The coloured bands behind them are the effort rule. The dashed line is the budget. The table gives the rating of each and the reason.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7" name="Picture 7"/>
            <wp:cNvGraphicFramePr>
              <a:graphicFrameLocks noChangeAspect="1"/>
            </wp:cNvGraphicFramePr>
            <a:graphic>
              <a:graphicData uri="http://schemas.openxmlformats.org/drawingml/2006/picture">
                <pic:pic>
                  <pic:nvPicPr>
                    <pic:cNvPr id="0" name="d4_a5_options-cost-f28425bdbea8.png"/>
                    <pic:cNvPicPr/>
                  </pic:nvPicPr>
                  <pic:blipFill>
                    <a:blip r:embed="rId16"/>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7 · LearnLoop weighs three engagement measures. Cost against the effort rule and the budget (Case assumption).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LearnLoop has €40,000 and two months</w:t>
            </w:r>
          </w:p>
          <w:p>
            <w:pPr>
              <w:spacing w:before="0" w:after="100"/>
            </w:pPr>
            <w:r>
              <w:rPr>
                <w:b/>
              </w:rPr>
              <w:t>Step 1.</w:t>
            </w:r>
            <w:r>
              <w:rPr/>
              <w:t xml:space="preserve"> Let us look at LearnLoop again. Learners drop out early, the budget is €40,000 and the time limit is two months. Three ideas are on the table.</w:t>
            </w:r>
          </w:p>
          <w:p>
            <w:pPr>
              <w:spacing w:before="0" w:after="100"/>
            </w:pPr>
            <w:r>
              <w:rPr>
                <w:b/>
              </w:rPr>
              <w:t>Step 2 · A weekly leaderboard.</w:t>
            </w:r>
            <w:r>
              <w:rPr/>
              <w:t xml:space="preserve"> It costs €14,000, so the effort is Mid. It sounds motivating, but a ranking rewards learners who are already active and can discourage those at the bottom, so the motivation impact is Low for the learners LearnLoop wants to keep, and the risk is High (pressure and social comparison).</w:t>
            </w:r>
          </w:p>
          <w:p>
            <w:pPr>
              <w:spacing w:before="0" w:after="100"/>
            </w:pPr>
            <w:r>
              <w:rPr>
                <w:b/>
              </w:rPr>
              <w:t>Step 3 · A progress and next-step display.</w:t>
            </w:r>
            <w:r>
              <w:rPr/>
              <w:t xml:space="preserve"> It costs €8,000, so the effort is Low. It shows the learner how far they have come and what to do next, so the motivation impact is High (competence and clarity), and the risk is Low: it adds information and takes nothing away.</w:t>
            </w:r>
          </w:p>
          <w:p>
            <w:pPr>
              <w:spacing w:before="0" w:after="100"/>
            </w:pPr>
            <w:r>
              <w:rPr>
                <w:b/>
              </w:rPr>
              <w:t>Step 4 · Short practice tasks.</w:t>
            </w:r>
            <w:r>
              <w:rPr/>
              <w:t xml:space="preserve"> It costs €26,000, so the effort is High, and it takes seven of the eight weeks. It makes learners active, so the motivation impact is High and lasting, and the risk is Mid, because the schedule is tight and weak tasks would feel like homework.</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42"/>
        <w:gridCol w:w="2807"/>
        <w:gridCol w:w="1901"/>
        <w:gridCol w:w="2788"/>
      </w:tblGrid>
      <w:tr>
        <w:trPr>
          <w:cantSplit/>
          <w:tblHeader/>
        </w:trPr>
        <w:tc>
          <w:tcPr>
            <w:tcW w:type="dxa" w:w="2142"/>
            <w:shd w:val="clear" w:color="auto" w:fill="E6ECF4"/>
          </w:tcPr>
          <w:p>
            <w:pPr>
              <w:spacing w:before="0" w:after="0"/>
            </w:pPr>
            <w:r>
              <w:rPr>
                <w:b/>
                <w:sz w:val="19"/>
              </w:rPr>
              <w:t>LearnLoop measure</w:t>
            </w:r>
          </w:p>
        </w:tc>
        <w:tc>
          <w:tcPr>
            <w:tcW w:type="dxa" w:w="2807"/>
            <w:shd w:val="clear" w:color="auto" w:fill="E6ECF4"/>
          </w:tcPr>
          <w:p>
            <w:pPr>
              <w:spacing w:before="0" w:after="0"/>
            </w:pPr>
            <w:r>
              <w:rPr>
                <w:b/>
                <w:sz w:val="19"/>
              </w:rPr>
              <w:t>Motivation impact</w:t>
            </w:r>
          </w:p>
        </w:tc>
        <w:tc>
          <w:tcPr>
            <w:tcW w:type="dxa" w:w="1901"/>
            <w:shd w:val="clear" w:color="auto" w:fill="E6ECF4"/>
          </w:tcPr>
          <w:p>
            <w:pPr>
              <w:spacing w:before="0" w:after="0"/>
            </w:pPr>
            <w:r>
              <w:rPr>
                <w:b/>
                <w:sz w:val="19"/>
              </w:rPr>
              <w:t>Effort</w:t>
            </w:r>
          </w:p>
        </w:tc>
        <w:tc>
          <w:tcPr>
            <w:tcW w:type="dxa" w:w="2788"/>
            <w:shd w:val="clear" w:color="auto" w:fill="E6ECF4"/>
          </w:tcPr>
          <w:p>
            <w:pPr>
              <w:spacing w:before="0" w:after="0"/>
            </w:pPr>
            <w:r>
              <w:rPr>
                <w:b/>
                <w:sz w:val="19"/>
              </w:rPr>
              <w:t>Risk</w:t>
            </w:r>
          </w:p>
        </w:tc>
      </w:tr>
      <w:tr>
        <w:trPr>
          <w:cantSplit/>
        </w:trPr>
        <w:tc>
          <w:tcPr>
            <w:tcW w:type="dxa" w:w="2142"/>
          </w:tcPr>
          <w:p>
            <w:pPr>
              <w:spacing w:before="0" w:after="0"/>
            </w:pPr>
            <w:r>
              <w:rPr>
                <w:b/>
                <w:sz w:val="19"/>
              </w:rPr>
              <w:t>Weekly leaderboard</w:t>
            </w:r>
            <w:r>
              <w:rPr>
                <w:sz w:val="19"/>
              </w:rPr>
              <w:t xml:space="preserve"> · €14,000</w:t>
            </w:r>
          </w:p>
        </w:tc>
        <w:tc>
          <w:tcPr>
            <w:tcW w:type="dxa" w:w="2807"/>
          </w:tcPr>
          <w:p>
            <w:pPr>
              <w:spacing w:before="0" w:after="0"/>
            </w:pPr>
            <w:r>
              <w:rPr>
                <w:b/>
                <w:sz w:val="19"/>
              </w:rPr>
              <w:t>Low.</w:t>
            </w:r>
            <w:r>
              <w:rPr>
                <w:sz w:val="19"/>
              </w:rPr>
              <w:t xml:space="preserve"> Rewards the already active; no help for the learner who is lost.</w:t>
            </w:r>
          </w:p>
        </w:tc>
        <w:tc>
          <w:tcPr>
            <w:tcW w:type="dxa" w:w="1901"/>
          </w:tcPr>
          <w:p>
            <w:pPr>
              <w:spacing w:before="0" w:after="0"/>
            </w:pPr>
            <w:r>
              <w:rPr>
                <w:b/>
                <w:sz w:val="19"/>
              </w:rPr>
              <w:t>Mid.</w:t>
            </w:r>
            <w:r>
              <w:rPr>
                <w:sz w:val="19"/>
              </w:rPr>
              <w:t xml:space="preserve"> €14,000 lies between €10,000 and €20,000.</w:t>
            </w:r>
          </w:p>
        </w:tc>
        <w:tc>
          <w:tcPr>
            <w:tcW w:type="dxa" w:w="2788"/>
          </w:tcPr>
          <w:p>
            <w:pPr>
              <w:spacing w:before="0" w:after="0"/>
            </w:pPr>
            <w:r>
              <w:rPr>
                <w:b/>
                <w:sz w:val="19"/>
              </w:rPr>
              <w:t>High.</w:t>
            </w:r>
            <w:r>
              <w:rPr>
                <w:sz w:val="19"/>
              </w:rPr>
              <w:t xml:space="preserve"> Pressure and comparison can push the weakest learners out.</w:t>
            </w:r>
          </w:p>
        </w:tc>
      </w:tr>
      <w:tr>
        <w:trPr>
          <w:cantSplit/>
        </w:trPr>
        <w:tc>
          <w:tcPr>
            <w:tcW w:type="dxa" w:w="2142"/>
          </w:tcPr>
          <w:p>
            <w:pPr>
              <w:spacing w:before="0" w:after="0"/>
            </w:pPr>
            <w:r>
              <w:rPr>
                <w:b/>
                <w:sz w:val="19"/>
              </w:rPr>
              <w:t>Progress and next-step display</w:t>
            </w:r>
            <w:r>
              <w:rPr>
                <w:sz w:val="19"/>
              </w:rPr>
              <w:t xml:space="preserve"> · €8,000</w:t>
            </w:r>
          </w:p>
        </w:tc>
        <w:tc>
          <w:tcPr>
            <w:tcW w:type="dxa" w:w="2807"/>
          </w:tcPr>
          <w:p>
            <w:pPr>
              <w:spacing w:before="0" w:after="0"/>
            </w:pPr>
            <w:r>
              <w:rPr>
                <w:b/>
                <w:sz w:val="19"/>
              </w:rPr>
              <w:t>High.</w:t>
            </w:r>
            <w:r>
              <w:rPr>
                <w:sz w:val="19"/>
              </w:rPr>
              <w:t xml:space="preserve"> Supports competence and clarity for every learner.</w:t>
            </w:r>
          </w:p>
        </w:tc>
        <w:tc>
          <w:tcPr>
            <w:tcW w:type="dxa" w:w="1901"/>
          </w:tcPr>
          <w:p>
            <w:pPr>
              <w:spacing w:before="0" w:after="0"/>
            </w:pPr>
            <w:r>
              <w:rPr>
                <w:b/>
                <w:sz w:val="19"/>
              </w:rPr>
              <w:t>Low.</w:t>
            </w:r>
            <w:r>
              <w:rPr>
                <w:sz w:val="19"/>
              </w:rPr>
              <w:t xml:space="preserve"> €8,000 is under €10,000.</w:t>
            </w:r>
          </w:p>
        </w:tc>
        <w:tc>
          <w:tcPr>
            <w:tcW w:type="dxa" w:w="2788"/>
          </w:tcPr>
          <w:p>
            <w:pPr>
              <w:spacing w:before="0" w:after="0"/>
            </w:pPr>
            <w:r>
              <w:rPr>
                <w:b/>
                <w:sz w:val="19"/>
              </w:rPr>
              <w:t>Low.</w:t>
            </w:r>
            <w:r>
              <w:rPr>
                <w:sz w:val="19"/>
              </w:rPr>
              <w:t xml:space="preserve"> It adds information; it can be adjusted.</w:t>
            </w:r>
          </w:p>
        </w:tc>
      </w:tr>
      <w:tr>
        <w:trPr>
          <w:cantSplit/>
        </w:trPr>
        <w:tc>
          <w:tcPr>
            <w:tcW w:type="dxa" w:w="2142"/>
          </w:tcPr>
          <w:p>
            <w:pPr>
              <w:spacing w:before="0" w:after="0"/>
            </w:pPr>
            <w:r>
              <w:rPr>
                <w:b/>
                <w:sz w:val="19"/>
              </w:rPr>
              <w:t>Short practice tasks</w:t>
            </w:r>
            <w:r>
              <w:rPr>
                <w:sz w:val="19"/>
              </w:rPr>
              <w:t xml:space="preserve"> · €26,000</w:t>
            </w:r>
          </w:p>
        </w:tc>
        <w:tc>
          <w:tcPr>
            <w:tcW w:type="dxa" w:w="2807"/>
          </w:tcPr>
          <w:p>
            <w:pPr>
              <w:spacing w:before="0" w:after="0"/>
            </w:pPr>
            <w:r>
              <w:rPr>
                <w:b/>
                <w:sz w:val="19"/>
              </w:rPr>
              <w:t>High.</w:t>
            </w:r>
            <w:r>
              <w:rPr>
                <w:sz w:val="19"/>
              </w:rPr>
              <w:t xml:space="preserve"> Activation, feedback and a sense of getting better.</w:t>
            </w:r>
          </w:p>
        </w:tc>
        <w:tc>
          <w:tcPr>
            <w:tcW w:type="dxa" w:w="1901"/>
          </w:tcPr>
          <w:p>
            <w:pPr>
              <w:spacing w:before="0" w:after="0"/>
            </w:pPr>
            <w:r>
              <w:rPr>
                <w:b/>
                <w:sz w:val="19"/>
              </w:rPr>
              <w:t>High.</w:t>
            </w:r>
            <w:r>
              <w:rPr>
                <w:sz w:val="19"/>
              </w:rPr>
              <w:t xml:space="preserve"> €26,000 is above €20,000.</w:t>
            </w:r>
          </w:p>
        </w:tc>
        <w:tc>
          <w:tcPr>
            <w:tcW w:type="dxa" w:w="2788"/>
          </w:tcPr>
          <w:p>
            <w:pPr>
              <w:spacing w:before="0" w:after="0"/>
            </w:pPr>
            <w:r>
              <w:rPr>
                <w:b/>
                <w:sz w:val="19"/>
              </w:rPr>
              <w:t>Mid.</w:t>
            </w:r>
            <w:r>
              <w:rPr>
                <w:sz w:val="19"/>
              </w:rPr>
              <w:t xml:space="preserve"> Seven of eight weeks; weak tasks feel like homework.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€10,000 is Low; €10,000 to €20,000 is Mid; above €20,000 is High.</w:t>
            </w:r>
          </w:p>
          <w:p>
            <w:pPr>
              <w:pStyle w:val="ListBullet"/>
              <w:spacing w:before="0" w:after="40"/>
            </w:pPr>
            <w:r>
              <w:rPr/>
              <w:t>Rate motivation impact by the principles it delivers (goal, activation, feedback, progress) for the learners who are leaving, not by how exciting it sounds.</w:t>
            </w:r>
          </w:p>
          <w:p>
            <w:pPr>
              <w:pStyle w:val="ListBullet"/>
              <w:spacing w:before="0" w:after="40"/>
            </w:pPr>
            <w:r>
              <w:rPr/>
              <w:t>Rate risk by how the measure can backfire: expected rewards that crowd out interest, ranking pressure, loss messages and other manipulation.</w:t>
            </w:r>
          </w:p>
          <w:p>
            <w:pPr>
              <w:pStyle w:val="ListBullet"/>
              <w:spacing w:before="0" w:after="40"/>
            </w:pPr>
            <w:r>
              <w:rPr/>
              <w:t>Ask which measure has a lasting effect. A measure that depends on a continuing reward has a weaker lasting effect than one that builds competence.</w:t>
            </w:r>
          </w:p>
          <w:p>
            <w:pPr>
              <w:pStyle w:val="ListBullet"/>
              <w:spacing w:before="0" w:after="100"/>
            </w:pPr>
            <w:r>
              <w:rPr/>
              <w:t>Name what you do not know, for example whether learners leave for lack of progress or lack of time.</w:t>
            </w:r>
          </w:p>
        </w:tc>
      </w:tr>
    </w:tbl>
    <w:p>
      <w:pPr>
        <w:spacing w:before="0" w:after="80"/>
      </w:pPr>
    </w:p>
    <w:p>
      <w:pPr>
        <w:spacing w:before="80" w:after="160"/>
      </w:pPr>
      <w:r>
        <w:rPr>
          <w:b/>
          <w:color w:val="556274"/>
          <w:sz w:val="18"/>
        </w:rPr>
        <w:t xml:space="preserve">Sources · </w:t>
      </w:r>
      <w:r>
        <w:rPr>
          <w:color w:val="556274"/>
          <w:sz w:val="18"/>
        </w:rPr>
        <w:t>Ryan &amp; Deci 2000 · Deci et al. 1999 · Gibbons 2018 (NN/g)</w:t>
      </w:r>
    </w:p>
    <w:p>
      <w:r>
        <w:br w:type="page"/>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prioritise motivation strategies, design principles and optimisation measures strategically and to take responsibility for them. Materi B teaches the three things Task 2 asks: motivation as a business lever and its limits (B1), the conflict between motivation, overload and manipulation (B2), and how to decide and evaluate under uncertainty (B3).</w:t>
            </w:r>
          </w:p>
        </w:tc>
      </w:tr>
    </w:tbl>
    <w:p>
      <w:pPr>
        <w:spacing w:before="0" w:after="80"/>
      </w:pPr>
    </w:p>
    <w:p>
      <w:pPr>
        <w:pStyle w:val="Heading2"/>
      </w:pPr>
      <w:r>
        <w:rPr/>
        <w:t>B1 · Motivation as a business lever, and where it is overestimated · 18 min · Core</w:t>
      </w:r>
    </w:p>
    <w:p>
      <w:pPr>
        <w:pBdr>
          <w:left w:val="single" w:sz="18" w:space="6" w:color="1750A8"/>
        </w:pBdr>
        <w:spacing w:before="40" w:after="120"/>
        <w:ind w:left="170"/>
      </w:pPr>
      <w:r>
        <w:rPr>
          <w:i/>
          <w:color w:val="556274"/>
          <w:sz w:val="22"/>
        </w:rPr>
        <w:t>Motivation is one of three conditions for behaviour. Raising it helps only when the learner is able to act and has a prompt at the right moment.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For a platform, retention is behaviour: learners come back and do the next lesson. Fogg's Behavior Model says a behaviour happens when motivation, ability and a prompt come together. If the next step is hard, or nothing prompts it, more motivation does not help. That is where motivation is overestimated: teams add rewards when the real barrier is that the next step is hard to find.</w:t>
            </w:r>
          </w:p>
          <w:p>
            <w:pPr>
              <w:spacing w:before="0" w:after="100"/>
            </w:pPr>
            <w:r>
              <w:rPr>
                <w:b/>
              </w:rPr>
              <w:t>Why it matters.</w:t>
            </w:r>
            <w:r>
              <w:rPr/>
              <w:t xml:space="preserve"> Task 2 puts you in the chair of a Chief Experience Officer whose platform has low retention, whose competitors seem more motivating, and whose data is incomplete. You must choose a strategy and say how you will know it works.</w:t>
            </w:r>
          </w:p>
          <w:p>
            <w:pPr>
              <w:spacing w:before="0" w:after="100"/>
            </w:pPr>
            <w:r>
              <w:rPr>
                <w:b/>
              </w:rPr>
              <w:t>How to read the picture.</w:t>
            </w:r>
            <w:r>
              <w:rPr/>
              <w:t xml:space="preserve"> The chain shows three conditions that lead to a behaviour. Read which of the three each of your measures works 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524079"/>
            <wp:docPr id="8" name="Picture 8"/>
            <wp:cNvGraphicFramePr>
              <a:graphicFrameLocks noChangeAspect="1"/>
            </wp:cNvGraphicFramePr>
            <a:graphic>
              <a:graphicData uri="http://schemas.openxmlformats.org/drawingml/2006/picture">
                <pic:pic>
                  <pic:nvPicPr>
                    <pic:cNvPr id="0" name="d4_b1_behaviour-model-83ffee3e87ac.png"/>
                    <pic:cNvPicPr/>
                  </pic:nvPicPr>
                  <pic:blipFill>
                    <a:blip r:embed="rId17"/>
                    <a:stretch>
                      <a:fillRect/>
                    </a:stretch>
                  </pic:blipFill>
                  <pic:spPr>
                    <a:xfrm>
                      <a:off x="0" y="0"/>
                      <a:ext cx="5940000" cy="1524079"/>
                    </a:xfrm>
                    <a:prstGeom prst="rect"/>
                  </pic:spPr>
                </pic:pic>
              </a:graphicData>
            </a:graphic>
          </wp:inline>
        </w:drawing>
      </w:r>
    </w:p>
    <w:p>
      <w:pPr>
        <w:spacing w:before="0" w:after="160"/>
        <w:jc w:val="center"/>
      </w:pPr>
      <w:r>
        <w:rPr>
          <w:i/>
          <w:color w:val="556274"/>
          <w:sz w:val="18"/>
        </w:rPr>
        <w:t>Figure 8 · Fogg's Behavior Model: behaviour happens when motivation, ability and a prompt come together.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87"/>
        <w:gridCol w:w="3626"/>
        <w:gridCol w:w="4225"/>
      </w:tblGrid>
      <w:tr>
        <w:trPr>
          <w:cantSplit/>
          <w:tblHeader/>
        </w:trPr>
        <w:tc>
          <w:tcPr>
            <w:tcW w:type="dxa" w:w="1787"/>
            <w:shd w:val="clear" w:color="auto" w:fill="E6ECF4"/>
          </w:tcPr>
          <w:p>
            <w:pPr>
              <w:spacing w:before="0" w:after="0"/>
            </w:pPr>
            <w:r>
              <w:rPr>
                <w:b/>
                <w:sz w:val="20"/>
              </w:rPr>
              <w:t>Condition</w:t>
            </w:r>
          </w:p>
        </w:tc>
        <w:tc>
          <w:tcPr>
            <w:tcW w:type="dxa" w:w="3626"/>
            <w:shd w:val="clear" w:color="auto" w:fill="E6ECF4"/>
          </w:tcPr>
          <w:p>
            <w:pPr>
              <w:spacing w:before="0" w:after="0"/>
            </w:pPr>
            <w:r>
              <w:rPr>
                <w:b/>
                <w:sz w:val="20"/>
              </w:rPr>
              <w:t>A typical barrier on a learning platform</w:t>
            </w:r>
          </w:p>
        </w:tc>
        <w:tc>
          <w:tcPr>
            <w:tcW w:type="dxa" w:w="4225"/>
            <w:shd w:val="clear" w:color="auto" w:fill="E6ECF4"/>
          </w:tcPr>
          <w:p>
            <w:pPr>
              <w:spacing w:before="0" w:after="0"/>
            </w:pPr>
            <w:r>
              <w:rPr>
                <w:b/>
                <w:sz w:val="20"/>
              </w:rPr>
              <w:t>A measure that works on it</w:t>
            </w:r>
          </w:p>
        </w:tc>
      </w:tr>
      <w:tr>
        <w:trPr>
          <w:cantSplit/>
        </w:trPr>
        <w:tc>
          <w:tcPr>
            <w:tcW w:type="dxa" w:w="1787"/>
          </w:tcPr>
          <w:p>
            <w:pPr>
              <w:spacing w:before="0" w:after="0"/>
            </w:pPr>
            <w:r>
              <w:rPr>
                <w:b/>
                <w:sz w:val="20"/>
              </w:rPr>
              <w:t>Motivation</w:t>
            </w:r>
          </w:p>
        </w:tc>
        <w:tc>
          <w:tcPr>
            <w:tcW w:type="dxa" w:w="3626"/>
          </w:tcPr>
          <w:p>
            <w:pPr>
              <w:spacing w:before="0" w:after="0"/>
            </w:pPr>
            <w:r>
              <w:rPr>
                <w:sz w:val="20"/>
              </w:rPr>
              <w:t>The learner sees no reason to continue</w:t>
            </w:r>
          </w:p>
        </w:tc>
        <w:tc>
          <w:tcPr>
            <w:tcW w:type="dxa" w:w="4225"/>
          </w:tcPr>
          <w:p>
            <w:pPr>
              <w:spacing w:before="0" w:after="0"/>
            </w:pPr>
            <w:r>
              <w:rPr>
                <w:sz w:val="20"/>
              </w:rPr>
              <w:t>A goal sentence, a work example, a sign of progress</w:t>
            </w:r>
          </w:p>
        </w:tc>
      </w:tr>
      <w:tr>
        <w:trPr>
          <w:cantSplit/>
        </w:trPr>
        <w:tc>
          <w:tcPr>
            <w:tcW w:type="dxa" w:w="1787"/>
          </w:tcPr>
          <w:p>
            <w:pPr>
              <w:spacing w:before="0" w:after="0"/>
            </w:pPr>
            <w:r>
              <w:rPr>
                <w:b/>
                <w:sz w:val="20"/>
              </w:rPr>
              <w:t>Ability</w:t>
            </w:r>
          </w:p>
        </w:tc>
        <w:tc>
          <w:tcPr>
            <w:tcW w:type="dxa" w:w="3626"/>
          </w:tcPr>
          <w:p>
            <w:pPr>
              <w:spacing w:before="0" w:after="0"/>
            </w:pPr>
            <w:r>
              <w:rPr>
                <w:sz w:val="20"/>
              </w:rPr>
              <w:t>The next step is hard to find or too big</w:t>
            </w:r>
          </w:p>
        </w:tc>
        <w:tc>
          <w:tcPr>
            <w:tcW w:type="dxa" w:w="4225"/>
          </w:tcPr>
          <w:p>
            <w:pPr>
              <w:spacing w:before="0" w:after="0"/>
            </w:pPr>
            <w:r>
              <w:rPr>
                <w:sz w:val="20"/>
              </w:rPr>
              <w:t>A visible "next" button, units of a few minutes</w:t>
            </w:r>
          </w:p>
        </w:tc>
      </w:tr>
      <w:tr>
        <w:trPr>
          <w:cantSplit/>
        </w:trPr>
        <w:tc>
          <w:tcPr>
            <w:tcW w:type="dxa" w:w="1787"/>
          </w:tcPr>
          <w:p>
            <w:pPr>
              <w:spacing w:before="0" w:after="0"/>
            </w:pPr>
            <w:r>
              <w:rPr>
                <w:b/>
                <w:sz w:val="20"/>
              </w:rPr>
              <w:t>Prompt</w:t>
            </w:r>
          </w:p>
        </w:tc>
        <w:tc>
          <w:tcPr>
            <w:tcW w:type="dxa" w:w="3626"/>
          </w:tcPr>
          <w:p>
            <w:pPr>
              <w:spacing w:before="0" w:after="0"/>
            </w:pPr>
            <w:r>
              <w:rPr>
                <w:sz w:val="20"/>
              </w:rPr>
              <w:t>Nothing reminds the learner at a useful moment</w:t>
            </w:r>
          </w:p>
        </w:tc>
        <w:tc>
          <w:tcPr>
            <w:tcW w:type="dxa" w:w="4225"/>
          </w:tcPr>
          <w:p>
            <w:pPr>
              <w:spacing w:before="0" w:after="0"/>
            </w:pPr>
            <w:r>
              <w:rPr>
                <w:sz w:val="20"/>
              </w:rPr>
              <w:t>A timely, honest reminder with the next step in it</w:t>
            </w:r>
          </w:p>
        </w:tc>
      </w:tr>
    </w:tbl>
    <w:p>
      <w:pPr>
        <w:spacing w:before="0" w:after="80"/>
      </w:pPr>
    </w:p>
    <w:p>
      <w:pPr>
        <w:spacing w:before="0" w:after="100"/>
      </w:pPr>
      <w:r>
        <w:rPr>
          <w:b/>
        </w:rPr>
        <w:t>Where is motivation overestimated?</w:t>
      </w:r>
      <w:r>
        <w:rPr/>
        <w:t xml:space="preserve"> Three places. First, where the barrier is ability or a missing prompt, not motivation. Second, where a reward gives a short rise that fades (a novelty effect): reviews of gamification find results that depend on context and the user (Hamari et al. 2014). Third, where learners are already extrinsically required to learn (as in company training), so that the question is how to add competence and autonomy.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Before adding motivation, check ability and prompt: can the learner find and do the next step in a few minutes, and does something invite them at the right moment?</w:t>
            </w:r>
          </w:p>
          <w:p>
            <w:pPr>
              <w:pStyle w:val="ListBullet"/>
              <w:spacing w:before="0" w:after="40"/>
            </w:pPr>
            <w:r>
              <w:rPr/>
              <w:t>Say which of the three conditions each measure of your strategy works on. A strategy that works only on motivation is incomplete.</w:t>
            </w:r>
          </w:p>
          <w:p>
            <w:pPr>
              <w:pStyle w:val="ListBullet"/>
              <w:spacing w:before="0" w:after="40"/>
            </w:pPr>
            <w:r>
              <w:rPr/>
              <w:t>Prefer measures with a lasting effect (goals, competence, clear next steps) over measures that need a continuing reward.</w:t>
            </w:r>
          </w:p>
          <w:p>
            <w:pPr>
              <w:pStyle w:val="ListBullet"/>
              <w:spacing w:before="0" w:after="100"/>
            </w:pPr>
            <w:r>
              <w:rPr/>
              <w:t>Link every measure to a business figure: retention (return rate), completion, and what it costs.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Competitors' motivation features are not evidence.</w:t>
            </w:r>
            <w:r>
              <w:rPr/>
              <w:t xml:space="preserve"> The case says competitors offer more motivating platforms. That is a market fact, not proof that rewards cause retention. Ask which of the competitor's design choices (a clear path, instant feedback) could explain it, and test the one you would copy.</w:t>
            </w:r>
          </w:p>
          <w:p>
            <w:pPr>
              <w:spacing w:before="0" w:after="100"/>
            </w:pPr>
            <w:r>
              <w:rPr>
                <w:b/>
              </w:rPr>
              <w:t>Prompts and ethics.</w:t>
            </w:r>
            <w:r>
              <w:rPr/>
              <w:t xml:space="preserve"> A prompt is a reminder, and a reminder that respects the learner's goals ("Your next unit takes four minutes") is different from one that scolds. Materi B2 draws the line.</w:t>
            </w:r>
          </w:p>
        </w:tc>
      </w:tr>
    </w:tbl>
    <w:p>
      <w:pPr>
        <w:spacing w:before="0" w:after="80"/>
      </w:pPr>
    </w:p>
    <w:p>
      <w:pPr>
        <w:spacing w:before="80" w:after="160"/>
      </w:pPr>
      <w:r>
        <w:rPr>
          <w:b/>
          <w:color w:val="556274"/>
          <w:sz w:val="18"/>
        </w:rPr>
        <w:t xml:space="preserve">Sources · </w:t>
      </w:r>
      <w:r>
        <w:rPr>
          <w:color w:val="556274"/>
          <w:sz w:val="18"/>
        </w:rPr>
        <w:t>Fogg 2009 · Hamari et al. 2014 · Ryan &amp; Deci 2000</w:t>
      </w:r>
    </w:p>
    <w:p>
      <w:pPr>
        <w:pStyle w:val="Heading2"/>
      </w:pPr>
      <w:r>
        <w:rPr/>
        <w:t>B2 · Conflicting goals: motivation, overload and manipulation · 22 min · Core</w:t>
      </w:r>
    </w:p>
    <w:p>
      <w:pPr>
        <w:pBdr>
          <w:left w:val="single" w:sz="18" w:space="6" w:color="1750A8"/>
        </w:pBdr>
        <w:spacing w:before="40" w:after="120"/>
        <w:ind w:left="170"/>
      </w:pPr>
      <w:r>
        <w:rPr>
          <w:i/>
          <w:color w:val="556274"/>
          <w:sz w:val="22"/>
        </w:rPr>
        <w:t>Every motivating element costs attention and can be used against the learner. Weigh motivation against load and against manipulation.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4 are motivation against overload, motivation against usability, and short-term against long-term effect. A third pull is motivation against manipulation: pressure, guilt and loss messages that raise activity today and cost trust tomorrow. A good strategy names which conflict it faces in each measure.</w:t>
            </w:r>
          </w:p>
          <w:p>
            <w:pPr>
              <w:spacing w:before="0" w:after="100"/>
            </w:pPr>
            <w:r>
              <w:rPr>
                <w:b/>
              </w:rPr>
              <w:t>Why it matters.</w:t>
            </w:r>
            <w:r>
              <w:rPr/>
              <w:t xml:space="preserve"> Task 2 asks for a risk analysis of perverse incentives and wrong motivation, and for a motivation strategy that stays on the right side of manipulation.</w:t>
            </w:r>
          </w:p>
          <w:p>
            <w:pPr>
              <w:spacing w:before="0" w:after="100"/>
            </w:pPr>
            <w:r>
              <w:rPr>
                <w:b/>
              </w:rPr>
              <w:t>How to read the picture.</w:t>
            </w:r>
            <w:r>
              <w:rPr/>
              <w:t xml:space="preserve"> The matrix places seven measures by the lasting motivation they support (left to right) and the pressure they put on the learner (bottom to top). The position is a reading of the example, not a score. The bottom right is the aim.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9" name="Picture 9"/>
            <wp:cNvGraphicFramePr>
              <a:graphicFrameLocks noChangeAspect="1"/>
            </wp:cNvGraphicFramePr>
            <a:graphic>
              <a:graphicData uri="http://schemas.openxmlformats.org/drawingml/2006/picture">
                <pic:pic>
                  <pic:nvPicPr>
                    <pic:cNvPr id="0" name="d4_b2_motivation-vs-pressure-c9dcdc713c27.png"/>
                    <pic:cNvPicPr/>
                  </pic:nvPicPr>
                  <pic:blipFill>
                    <a:blip r:embed="rId18"/>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9 · Seven measures by lasting motivation supported and pressure on the learner. LearnLoop example, Case assumption.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09"/>
        <w:gridCol w:w="1743"/>
        <w:gridCol w:w="2445"/>
        <w:gridCol w:w="3241"/>
      </w:tblGrid>
      <w:tr>
        <w:trPr>
          <w:cantSplit/>
          <w:tblHeader/>
        </w:trPr>
        <w:tc>
          <w:tcPr>
            <w:tcW w:type="dxa" w:w="2209"/>
            <w:shd w:val="clear" w:color="auto" w:fill="E6ECF4"/>
          </w:tcPr>
          <w:p>
            <w:pPr>
              <w:spacing w:before="0" w:after="0"/>
            </w:pPr>
            <w:r>
              <w:rPr>
                <w:b/>
                <w:sz w:val="19"/>
              </w:rPr>
              <w:t>Conflict</w:t>
            </w:r>
          </w:p>
        </w:tc>
        <w:tc>
          <w:tcPr>
            <w:tcW w:type="dxa" w:w="1743"/>
            <w:shd w:val="clear" w:color="auto" w:fill="E6ECF4"/>
          </w:tcPr>
          <w:p>
            <w:pPr>
              <w:spacing w:before="0" w:after="0"/>
            </w:pPr>
            <w:r>
              <w:rPr>
                <w:b/>
                <w:sz w:val="19"/>
              </w:rPr>
              <w:t>One side gets</w:t>
            </w:r>
          </w:p>
        </w:tc>
        <w:tc>
          <w:tcPr>
            <w:tcW w:type="dxa" w:w="2445"/>
            <w:shd w:val="clear" w:color="auto" w:fill="E6ECF4"/>
          </w:tcPr>
          <w:p>
            <w:pPr>
              <w:spacing w:before="0" w:after="0"/>
            </w:pPr>
            <w:r>
              <w:rPr>
                <w:b/>
                <w:sz w:val="19"/>
              </w:rPr>
              <w:t>The other side gets</w:t>
            </w:r>
          </w:p>
        </w:tc>
        <w:tc>
          <w:tcPr>
            <w:tcW w:type="dxa" w:w="3241"/>
            <w:shd w:val="clear" w:color="auto" w:fill="E6ECF4"/>
          </w:tcPr>
          <w:p>
            <w:pPr>
              <w:spacing w:before="0" w:after="0"/>
            </w:pPr>
            <w:r>
              <w:rPr>
                <w:b/>
                <w:sz w:val="19"/>
              </w:rPr>
              <w:t>A rule for deciding</w:t>
            </w:r>
          </w:p>
        </w:tc>
      </w:tr>
      <w:tr>
        <w:trPr>
          <w:cantSplit/>
        </w:trPr>
        <w:tc>
          <w:tcPr>
            <w:tcW w:type="dxa" w:w="2209"/>
          </w:tcPr>
          <w:p>
            <w:pPr>
              <w:spacing w:before="0" w:after="0"/>
            </w:pPr>
            <w:r>
              <w:rPr>
                <w:b/>
                <w:sz w:val="19"/>
              </w:rPr>
              <w:t>Motivation against overload</w:t>
            </w:r>
          </w:p>
        </w:tc>
        <w:tc>
          <w:tcPr>
            <w:tcW w:type="dxa" w:w="1743"/>
          </w:tcPr>
          <w:p>
            <w:pPr>
              <w:spacing w:before="0" w:after="0"/>
            </w:pPr>
            <w:r>
              <w:rPr>
                <w:sz w:val="19"/>
              </w:rPr>
              <w:t>An engaging element on every screen</w:t>
            </w:r>
          </w:p>
        </w:tc>
        <w:tc>
          <w:tcPr>
            <w:tcW w:type="dxa" w:w="2445"/>
          </w:tcPr>
          <w:p>
            <w:pPr>
              <w:spacing w:before="0" w:after="0"/>
            </w:pPr>
            <w:r>
              <w:rPr>
                <w:sz w:val="19"/>
              </w:rPr>
              <w:t>A learner whose attention is not split (Day 3)</w:t>
            </w:r>
          </w:p>
        </w:tc>
        <w:tc>
          <w:tcPr>
            <w:tcW w:type="dxa" w:w="3241"/>
          </w:tcPr>
          <w:p>
            <w:pPr>
              <w:spacing w:before="0" w:after="0"/>
            </w:pPr>
            <w:r>
              <w:rPr>
                <w:sz w:val="19"/>
              </w:rPr>
              <w:t>Add an engaging element only if it supports the screen's goal; remove one for each you add</w:t>
            </w:r>
          </w:p>
        </w:tc>
      </w:tr>
      <w:tr>
        <w:trPr>
          <w:cantSplit/>
        </w:trPr>
        <w:tc>
          <w:tcPr>
            <w:tcW w:type="dxa" w:w="2209"/>
          </w:tcPr>
          <w:p>
            <w:pPr>
              <w:spacing w:before="0" w:after="0"/>
            </w:pPr>
            <w:r>
              <w:rPr>
                <w:b/>
                <w:sz w:val="19"/>
              </w:rPr>
              <w:t>Motivation against manipulation</w:t>
            </w:r>
          </w:p>
        </w:tc>
        <w:tc>
          <w:tcPr>
            <w:tcW w:type="dxa" w:w="1743"/>
          </w:tcPr>
          <w:p>
            <w:pPr>
              <w:spacing w:before="0" w:after="0"/>
            </w:pPr>
            <w:r>
              <w:rPr>
                <w:sz w:val="19"/>
              </w:rPr>
              <w:t>A short rise in activity</w:t>
            </w:r>
          </w:p>
        </w:tc>
        <w:tc>
          <w:tcPr>
            <w:tcW w:type="dxa" w:w="2445"/>
          </w:tcPr>
          <w:p>
            <w:pPr>
              <w:spacing w:before="0" w:after="0"/>
            </w:pPr>
            <w:r>
              <w:rPr>
                <w:sz w:val="19"/>
              </w:rPr>
              <w:t>A learner who trusts the platform and decides for themselves</w:t>
            </w:r>
          </w:p>
        </w:tc>
        <w:tc>
          <w:tcPr>
            <w:tcW w:type="dxa" w:w="3241"/>
          </w:tcPr>
          <w:p>
            <w:pPr>
              <w:spacing w:before="0" w:after="0"/>
            </w:pPr>
            <w:r>
              <w:rPr>
                <w:sz w:val="19"/>
              </w:rPr>
              <w:t>Test: would you be comfortable explaining the mechanism to the learner? If not, do not ship it</w:t>
            </w:r>
          </w:p>
        </w:tc>
      </w:tr>
      <w:tr>
        <w:trPr>
          <w:cantSplit/>
        </w:trPr>
        <w:tc>
          <w:tcPr>
            <w:tcW w:type="dxa" w:w="2209"/>
          </w:tcPr>
          <w:p>
            <w:pPr>
              <w:spacing w:before="0" w:after="0"/>
            </w:pPr>
            <w:r>
              <w:rPr>
                <w:b/>
                <w:sz w:val="19"/>
              </w:rPr>
              <w:t>Short-term against long-term</w:t>
            </w:r>
          </w:p>
        </w:tc>
        <w:tc>
          <w:tcPr>
            <w:tcW w:type="dxa" w:w="1743"/>
          </w:tcPr>
          <w:p>
            <w:pPr>
              <w:spacing w:before="0" w:after="0"/>
            </w:pPr>
            <w:r>
              <w:rPr>
                <w:sz w:val="19"/>
              </w:rPr>
              <w:t>A visible lift this month</w:t>
            </w:r>
          </w:p>
        </w:tc>
        <w:tc>
          <w:tcPr>
            <w:tcW w:type="dxa" w:w="2445"/>
          </w:tcPr>
          <w:p>
            <w:pPr>
              <w:spacing w:before="0" w:after="0"/>
            </w:pPr>
            <w:r>
              <w:rPr>
                <w:sz w:val="19"/>
              </w:rPr>
              <w:t>An effect that lasts after the novelty is gone</w:t>
            </w:r>
          </w:p>
        </w:tc>
        <w:tc>
          <w:tcPr>
            <w:tcW w:type="dxa" w:w="3241"/>
          </w:tcPr>
          <w:p>
            <w:pPr>
              <w:spacing w:before="0" w:after="0"/>
            </w:pPr>
            <w:r>
              <w:rPr>
                <w:sz w:val="19"/>
              </w:rPr>
              <w:t>Judge a measure on a later check as well as the first week</w:t>
            </w:r>
          </w:p>
        </w:tc>
      </w:tr>
      <w:tr>
        <w:trPr>
          <w:cantSplit/>
        </w:trPr>
        <w:tc>
          <w:tcPr>
            <w:tcW w:type="dxa" w:w="2209"/>
          </w:tcPr>
          <w:p>
            <w:pPr>
              <w:spacing w:before="0" w:after="0"/>
            </w:pPr>
            <w:r>
              <w:rPr>
                <w:b/>
                <w:sz w:val="19"/>
              </w:rPr>
              <w:t>Motivation against usability</w:t>
            </w:r>
          </w:p>
        </w:tc>
        <w:tc>
          <w:tcPr>
            <w:tcW w:type="dxa" w:w="1743"/>
          </w:tcPr>
          <w:p>
            <w:pPr>
              <w:spacing w:before="0" w:after="0"/>
            </w:pPr>
            <w:r>
              <w:rPr>
                <w:sz w:val="19"/>
              </w:rPr>
              <w:t>A reward or game layer</w:t>
            </w:r>
          </w:p>
        </w:tc>
        <w:tc>
          <w:tcPr>
            <w:tcW w:type="dxa" w:w="2445"/>
          </w:tcPr>
          <w:p>
            <w:pPr>
              <w:spacing w:before="0" w:after="0"/>
            </w:pPr>
            <w:r>
              <w:rPr>
                <w:sz w:val="19"/>
              </w:rPr>
              <w:t>A fast, plain way to do the task</w:t>
            </w:r>
          </w:p>
        </w:tc>
        <w:tc>
          <w:tcPr>
            <w:tcW w:type="dxa" w:w="3241"/>
          </w:tcPr>
          <w:p>
            <w:pPr>
              <w:spacing w:before="0" w:after="0"/>
            </w:pPr>
            <w:r>
              <w:rPr>
                <w:sz w:val="19"/>
              </w:rPr>
              <w:t>Never put a reward between the learner and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which conflict each measure faces and what each side gets and loses.</w:t>
            </w:r>
          </w:p>
          <w:p>
            <w:pPr>
              <w:pStyle w:val="ListBullet"/>
              <w:spacing w:before="0" w:after="40"/>
            </w:pPr>
            <w:r>
              <w:rPr/>
              <w:t>A measure that works by pressure (loss messages, rankings of the weakest) is a manipulation risk. Prefer measures the learner would endorse if they saw how they work.</w:t>
            </w:r>
          </w:p>
          <w:p>
            <w:pPr>
              <w:pStyle w:val="ListBullet"/>
              <w:spacing w:before="0" w:after="40"/>
            </w:pPr>
            <w:r>
              <w:rPr/>
              <w:t>A perverse incentive produces the opposite of what you intended: points for opening lessons produce opened but unread lessons. Ask of every reward: what is the cheapest way to earn it, and is that what we want?</w:t>
            </w:r>
          </w:p>
          <w:p>
            <w:pPr>
              <w:pStyle w:val="ListBullet"/>
              <w:spacing w:before="0" w:after="100"/>
            </w:pPr>
            <w:r>
              <w:rPr/>
              <w:t>Judge short-term and long-term effect separately, and say which one your strategy aims at.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Dark patterns.</w:t>
            </w:r>
            <w:r>
              <w:rPr/>
              <w:t xml:space="preserve"> Gray and colleagues (2018) catalogued manipulative strategies in interfaces, such as nagging, forced action and obstruction. Laws on such design are under discussion in Europe and in flux, so check current rules; the design principle is stable: do not make the learner act against their own interest.</w:t>
            </w:r>
          </w:p>
          <w:p>
            <w:pPr>
              <w:spacing w:before="0" w:after="100"/>
            </w:pPr>
            <w:r>
              <w:rPr>
                <w:b/>
              </w:rPr>
              <w:t>Motivation against cognitive load.</w:t>
            </w:r>
            <w:r>
              <w:rPr/>
              <w:t xml:space="preserve"> Each badge, pop-up and ranking asks for attention. If the learner's working memory is already full (Day 3), an extra motivating element can lower learning. Remove load before adding motivation.</w:t>
            </w:r>
          </w:p>
        </w:tc>
      </w:tr>
    </w:tbl>
    <w:p>
      <w:pPr>
        <w:spacing w:before="0" w:after="80"/>
      </w:pPr>
    </w:p>
    <w:p>
      <w:pPr>
        <w:spacing w:before="80" w:after="160"/>
      </w:pPr>
      <w:r>
        <w:rPr>
          <w:b/>
          <w:color w:val="556274"/>
          <w:sz w:val="18"/>
        </w:rPr>
        <w:t xml:space="preserve">Sources · </w:t>
      </w:r>
      <w:r>
        <w:rPr>
          <w:color w:val="556274"/>
          <w:sz w:val="18"/>
        </w:rPr>
        <w:t>Gray et al. 2018 · Deci et al. 1999 · Hamari et al. 2014</w:t>
      </w:r>
    </w:p>
    <w:p>
      <w:pPr>
        <w:pStyle w:val="Heading2"/>
      </w:pPr>
      <w:r>
        <w:rPr/>
        <w:t>B3 · Deciding and evaluating under uncertainty · 20 min · Core</w:t>
      </w:r>
    </w:p>
    <w:p>
      <w:pPr>
        <w:pBdr>
          <w:left w:val="single" w:sz="18" w:space="6" w:color="1750A8"/>
        </w:pBdr>
        <w:spacing w:before="40" w:after="120"/>
        <w:ind w:left="170"/>
      </w:pPr>
      <w:r>
        <w:rPr>
          <w:i/>
          <w:color w:val="556274"/>
          <w:sz w:val="22"/>
        </w:rPr>
        <w:t>With incomplete data, write down a hypothesis, a metric and a stop condition before you start. Set a rule for how future UX optimisation is decided.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When the data is incomplete you cannot be sure which measure will work. A decision under uncertainty states four things: what you decide, what you do not know, what would make you reverse it and by when, and what you give up. Your evaluation strategy then says how you will measure success: a baseline, a target, a method and a date. You also fix who decides future optimisation and on what evidence.</w:t>
            </w:r>
          </w:p>
          <w:p>
            <w:pPr>
              <w:spacing w:before="0" w:after="100"/>
            </w:pPr>
            <w:r>
              <w:rPr>
                <w:b/>
              </w:rPr>
              <w:t>Why it matters.</w:t>
            </w:r>
            <w:r>
              <w:rPr/>
              <w:t xml:space="preserve"> Block 3.1 and 3.2 ask for an evaluation strategy, a risk analysis, a decision architecture and one decision under uncertainty.</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10" name="Picture 10"/>
            <wp:cNvGraphicFramePr>
              <a:graphicFrameLocks noChangeAspect="1"/>
            </wp:cNvGraphicFramePr>
            <a:graphic>
              <a:graphicData uri="http://schemas.openxmlformats.org/drawingml/2006/picture">
                <pic:pic>
                  <pic:nvPicPr>
                    <pic:cNvPr id="0" name="d4_b3_decision-frame-63291dcb630a.png"/>
                    <pic:cNvPicPr/>
                  </pic:nvPicPr>
                  <pic:blipFill>
                    <a:blip r:embed="rId19"/>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10 · The four parts of a decision made with incomplete data, filled in for LearnLoop (Case assumption), and the rule for future decisions.</w:t>
      </w:r>
    </w:p>
    <w:p>
      <w:pPr>
        <w:pStyle w:val="ListBullet"/>
        <w:spacing w:before="0" w:after="40"/>
      </w:pPr>
      <w:r>
        <w:rPr>
          <w:b/>
        </w:rPr>
        <w:t>A hypothesis with a figure.</w:t>
      </w:r>
      <w:r>
        <w:rPr/>
        <w:t xml:space="preserve"> "We believe that showing progress and a next step will raise the seven-day return rate by five points. We will know when the rate in the test group is five points above the control group after six weeks."</w:t>
      </w:r>
    </w:p>
    <w:p>
      <w:pPr>
        <w:pStyle w:val="ListBullet"/>
        <w:spacing w:before="0" w:after="40"/>
      </w:pPr>
      <w:r>
        <w:rPr>
          <w:b/>
        </w:rPr>
        <w:t>A baseline and a target.</w:t>
      </w:r>
      <w:r>
        <w:rPr/>
        <w:t xml:space="preserve"> Without today's value you cannot say whether anything moved. Write the baseline down before the change.</w:t>
      </w:r>
    </w:p>
    <w:p>
      <w:pPr>
        <w:pStyle w:val="ListBullet"/>
        <w:spacing w:before="0" w:after="40"/>
      </w:pPr>
      <w:r>
        <w:rPr>
          <w:b/>
        </w:rPr>
        <w:t>Two kinds of evidence.</w:t>
      </w:r>
      <w:r>
        <w:rPr/>
        <w:t xml:space="preserve"> A behaviour metric (return rate, tasks per week) and a reason (interviews). Together they show whether the change worked and why.</w:t>
      </w:r>
    </w:p>
    <w:p>
      <w:pPr>
        <w:pStyle w:val="ListBullet"/>
        <w:spacing w:before="0" w:after="40"/>
      </w:pPr>
      <w:r>
        <w:rPr>
          <w:b/>
        </w:rPr>
        <w:t>A perverse-incentive check.</w:t>
      </w:r>
      <w:r>
        <w:rPr/>
        <w:t xml:space="preserve"> For every reward, write the cheapest way to earn it. If that is not the behaviour you want, change the reward.</w:t>
      </w:r>
    </w:p>
    <w:p>
      <w:pPr>
        <w:pStyle w:val="ListBullet"/>
        <w:spacing w:before="0" w:after="100"/>
      </w:pPr>
      <w:r>
        <w:rPr>
          <w:b/>
        </w:rPr>
        <w:t>A decision architecture.</w:t>
      </w:r>
      <w:r>
        <w:rPr/>
        <w:t xml:space="preserve"> Name a role that decides and the evidence that decision needs, so that optimisation does not follow the loudest opinion.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Measure success with a baseline, a target, a method and a date, written before the change. A metric without a baseline cannot show improvement.</w:t>
            </w:r>
          </w:p>
          <w:p>
            <w:pPr>
              <w:pStyle w:val="ListBullet"/>
              <w:spacing w:before="0" w:after="40"/>
            </w:pPr>
            <w:r>
              <w:rPr/>
              <w:t>Use a behaviour metric and a reason-giving method together. Time spent and badges earned are not evidence of learning.</w:t>
            </w:r>
          </w:p>
          <w:p>
            <w:pPr>
              <w:pStyle w:val="ListBullet"/>
              <w:spacing w:before="0" w:after="40"/>
            </w:pPr>
            <w:r>
              <w:rPr/>
              <w:t>Check every reward for perverse incentives before you ship it.</w:t>
            </w:r>
          </w:p>
          <w:p>
            <w:pPr>
              <w:pStyle w:val="ListBullet"/>
              <w:spacing w:before="0" w:after="40"/>
            </w:pPr>
            <w:r>
              <w:rPr/>
              <w:t>A decision architecture names who decides and what evidence they need; a senior opinion alone is not evidence.</w:t>
            </w:r>
          </w:p>
          <w:p>
            <w:pPr>
              <w:pStyle w:val="ListBullet"/>
              <w:spacing w:before="0" w:after="100"/>
            </w:pPr>
            <w:r>
              <w:rPr/>
              <w:t>Giving up nothing means you have not decided: name what you postpone.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Premortem.</w:t>
            </w:r>
            <w:r>
              <w:rPr/>
              <w:t xml:space="preserve"> Klein's premortem asks the team to imagine that the strategy failed a year from now and to list why. For motivation strategies the typical answers are: learners collected rewards without learning, the metric moved for a reason other than our change, and learners felt pushed. Each answer becomes a check.</w:t>
            </w:r>
          </w:p>
          <w:p>
            <w:pPr>
              <w:spacing w:before="0" w:after="100"/>
            </w:pPr>
            <w:r>
              <w:rPr>
                <w:b/>
              </w:rPr>
              <w:t>Small experiments.</w:t>
            </w:r>
            <w:r>
              <w:rPr/>
              <w:t xml:space="preserve"> If the platform has enough learners, an A/B test with a control group is the cleanest way to show an effect; if it has few, use sequential small tests with interviews (see Day 2).</w:t>
            </w:r>
          </w:p>
        </w:tc>
      </w:tr>
    </w:tbl>
    <w:p>
      <w:pPr>
        <w:spacing w:before="0" w:after="80"/>
      </w:pPr>
    </w:p>
    <w:p>
      <w:pPr>
        <w:spacing w:before="80" w:after="160"/>
      </w:pPr>
      <w:r>
        <w:rPr>
          <w:b/>
          <w:color w:val="556274"/>
          <w:sz w:val="18"/>
        </w:rPr>
        <w:t xml:space="preserve">Sources · </w:t>
      </w:r>
      <w:r>
        <w:rPr>
          <w:color w:val="556274"/>
          <w:sz w:val="18"/>
        </w:rPr>
        <w:t>Gothelf &amp; Seiden 2013 · Kohavi et al. 2020 · Klein 2007 · Rodden et al. 2010</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93"/>
        <w:gridCol w:w="3684"/>
        <w:gridCol w:w="1461"/>
      </w:tblGrid>
      <w:tr>
        <w:trPr>
          <w:cantSplit/>
          <w:tblHeader/>
        </w:trPr>
        <w:tc>
          <w:tcPr>
            <w:tcW w:type="dxa" w:w="4493"/>
            <w:shd w:val="clear" w:color="auto" w:fill="E6ECF4"/>
          </w:tcPr>
          <w:p>
            <w:pPr>
              <w:spacing w:before="0" w:after="0"/>
            </w:pPr>
            <w:r>
              <w:rPr>
                <w:b/>
                <w:sz w:val="20"/>
              </w:rPr>
              <w:t>Card</w:t>
            </w:r>
          </w:p>
        </w:tc>
        <w:tc>
          <w:tcPr>
            <w:tcW w:type="dxa" w:w="3684"/>
            <w:shd w:val="clear" w:color="auto" w:fill="E6ECF4"/>
          </w:tcPr>
          <w:p>
            <w:pPr>
              <w:spacing w:before="0" w:after="0"/>
            </w:pPr>
            <w:r>
              <w:rPr>
                <w:b/>
                <w:sz w:val="20"/>
              </w:rPr>
              <w:t>Presentation (shown on the playground)</w:t>
            </w:r>
          </w:p>
        </w:tc>
        <w:tc>
          <w:tcPr>
            <w:tcW w:type="dxa" w:w="1461"/>
            <w:shd w:val="clear" w:color="auto" w:fill="E6ECF4"/>
          </w:tcPr>
          <w:p>
            <w:pPr>
              <w:spacing w:before="0" w:after="0"/>
            </w:pPr>
            <w:r>
              <w:rPr>
                <w:b/>
                <w:sz w:val="20"/>
              </w:rPr>
              <w:t>Handout</w:t>
            </w:r>
          </w:p>
        </w:tc>
      </w:tr>
      <w:tr>
        <w:trPr>
          <w:cantSplit/>
        </w:trPr>
        <w:tc>
          <w:tcPr>
            <w:tcW w:type="dxa" w:w="4493"/>
          </w:tcPr>
          <w:p>
            <w:pPr>
              <w:spacing w:before="0" w:after="0"/>
            </w:pPr>
            <w:r>
              <w:rPr>
                <w:b/>
                <w:sz w:val="20"/>
              </w:rPr>
              <w:t>A1</w:t>
            </w:r>
            <w:r>
              <w:rPr>
                <w:sz w:val="20"/>
              </w:rPr>
              <w:t xml:space="preserve"> · Intrinsic and extrinsic motivation, and what Self-Determination Theory adds (Core)</w:t>
            </w:r>
          </w:p>
        </w:tc>
        <w:tc>
          <w:tcPr>
            <w:tcW w:type="dxa" w:w="3684"/>
          </w:tcPr>
          <w:p>
            <w:pPr>
              <w:spacing w:before="0" w:after="0"/>
            </w:pPr>
            <w:r>
              <w:rPr>
                <w:sz w:val="20"/>
              </w:rPr>
              <w:t>Scan line and Figures 1–2; the "In plain words" and "How to decide" boxes</w:t>
            </w:r>
          </w:p>
        </w:tc>
        <w:tc>
          <w:tcPr>
            <w:tcW w:type="dxa" w:w="1461"/>
          </w:tcPr>
          <w:p>
            <w:pPr>
              <w:spacing w:before="0" w:after="0"/>
            </w:pPr>
            <w:r>
              <w:rPr>
                <w:sz w:val="20"/>
              </w:rPr>
              <w:t>The whole card</w:t>
            </w:r>
          </w:p>
        </w:tc>
      </w:tr>
      <w:tr>
        <w:trPr>
          <w:cantSplit/>
        </w:trPr>
        <w:tc>
          <w:tcPr>
            <w:tcW w:type="dxa" w:w="4493"/>
          </w:tcPr>
          <w:p>
            <w:pPr>
              <w:spacing w:before="0" w:after="0"/>
            </w:pPr>
            <w:r>
              <w:rPr>
                <w:b/>
                <w:sz w:val="20"/>
              </w:rPr>
              <w:t>A2</w:t>
            </w:r>
            <w:r>
              <w:rPr>
                <w:sz w:val="20"/>
              </w:rPr>
              <w:t xml:space="preserve"> · Five design principles for effective learning experiences (Core)</w:t>
            </w:r>
          </w:p>
        </w:tc>
        <w:tc>
          <w:tcPr>
            <w:tcW w:type="dxa" w:w="3684"/>
          </w:tcPr>
          <w:p>
            <w:pPr>
              <w:spacing w:before="0" w:after="0"/>
            </w:pPr>
            <w:r>
              <w:rPr>
                <w:sz w:val="20"/>
              </w:rPr>
              <w:t>Scan line and Figure 3; the "In plain words" and "How to decide" boxes</w:t>
            </w:r>
          </w:p>
        </w:tc>
        <w:tc>
          <w:tcPr>
            <w:tcW w:type="dxa" w:w="1461"/>
          </w:tcPr>
          <w:p>
            <w:pPr>
              <w:spacing w:before="0" w:after="0"/>
            </w:pPr>
            <w:r>
              <w:rPr>
                <w:sz w:val="20"/>
              </w:rPr>
              <w:t>The whole card</w:t>
            </w:r>
          </w:p>
        </w:tc>
      </w:tr>
      <w:tr>
        <w:trPr>
          <w:cantSplit/>
        </w:trPr>
        <w:tc>
          <w:tcPr>
            <w:tcW w:type="dxa" w:w="4493"/>
          </w:tcPr>
          <w:p>
            <w:pPr>
              <w:spacing w:before="0" w:after="0"/>
            </w:pPr>
            <w:r>
              <w:rPr>
                <w:b/>
                <w:sz w:val="20"/>
              </w:rPr>
              <w:t>A3</w:t>
            </w:r>
            <w:r>
              <w:rPr>
                <w:sz w:val="20"/>
              </w:rPr>
              <w:t xml:space="preserve"> · Feedback, progress and rewards: what helps and what backfires (Core)</w:t>
            </w:r>
          </w:p>
        </w:tc>
        <w:tc>
          <w:tcPr>
            <w:tcW w:type="dxa" w:w="3684"/>
          </w:tcPr>
          <w:p>
            <w:pPr>
              <w:spacing w:before="0" w:after="0"/>
            </w:pPr>
            <w:r>
              <w:rPr>
                <w:sz w:val="20"/>
              </w:rPr>
              <w:t>Scan line and Figures 4–5; the "In plain words" and "How to decide" boxes</w:t>
            </w:r>
          </w:p>
        </w:tc>
        <w:tc>
          <w:tcPr>
            <w:tcW w:type="dxa" w:w="1461"/>
          </w:tcPr>
          <w:p>
            <w:pPr>
              <w:spacing w:before="0" w:after="0"/>
            </w:pPr>
            <w:r>
              <w:rPr>
                <w:sz w:val="20"/>
              </w:rPr>
              <w:t>The whole card</w:t>
            </w:r>
          </w:p>
        </w:tc>
      </w:tr>
      <w:tr>
        <w:trPr>
          <w:cantSplit/>
        </w:trPr>
        <w:tc>
          <w:tcPr>
            <w:tcW w:type="dxa" w:w="4493"/>
          </w:tcPr>
          <w:p>
            <w:pPr>
              <w:spacing w:before="0" w:after="0"/>
            </w:pPr>
            <w:r>
              <w:rPr>
                <w:b/>
                <w:sz w:val="20"/>
              </w:rPr>
              <w:t>A4</w:t>
            </w:r>
            <w:r>
              <w:rPr>
                <w:sz w:val="20"/>
              </w:rPr>
              <w:t xml:space="preserve"> · Evaluating motivation-based UX: metrics and methods (Optional)</w:t>
            </w:r>
          </w:p>
        </w:tc>
        <w:tc>
          <w:tcPr>
            <w:tcW w:type="dxa" w:w="3684"/>
          </w:tcPr>
          <w:p>
            <w:pPr>
              <w:spacing w:before="0" w:after="0"/>
            </w:pPr>
            <w:r>
              <w:rPr>
                <w:sz w:val="20"/>
              </w:rPr>
              <w:t>Not shown (self-study)</w:t>
            </w:r>
          </w:p>
        </w:tc>
        <w:tc>
          <w:tcPr>
            <w:tcW w:type="dxa" w:w="1461"/>
          </w:tcPr>
          <w:p>
            <w:pPr>
              <w:spacing w:before="0" w:after="0"/>
            </w:pPr>
            <w:r>
              <w:rPr>
                <w:sz w:val="20"/>
              </w:rPr>
              <w:t>The whole card</w:t>
            </w:r>
          </w:p>
        </w:tc>
      </w:tr>
      <w:tr>
        <w:trPr>
          <w:cantSplit/>
        </w:trPr>
        <w:tc>
          <w:tcPr>
            <w:tcW w:type="dxa" w:w="4493"/>
          </w:tcPr>
          <w:p>
            <w:pPr>
              <w:spacing w:before="0" w:after="0"/>
            </w:pPr>
            <w:r>
              <w:rPr>
                <w:b/>
                <w:sz w:val="20"/>
              </w:rPr>
              <w:t>A5</w:t>
            </w:r>
            <w:r>
              <w:rPr>
                <w:sz w:val="20"/>
              </w:rPr>
              <w:t xml:space="preserve"> · Weighing an engagement measure: motivation, effort, risk (Core)</w:t>
            </w:r>
          </w:p>
        </w:tc>
        <w:tc>
          <w:tcPr>
            <w:tcW w:type="dxa" w:w="3684"/>
          </w:tcPr>
          <w:p>
            <w:pPr>
              <w:spacing w:before="0" w:after="0"/>
            </w:pPr>
            <w:r>
              <w:rPr>
                <w:sz w:val="20"/>
              </w:rPr>
              <w:t>Scan line and Figure 7; the "In plain words" and "How to decide" boxes</w:t>
            </w:r>
          </w:p>
        </w:tc>
        <w:tc>
          <w:tcPr>
            <w:tcW w:type="dxa" w:w="1461"/>
          </w:tcPr>
          <w:p>
            <w:pPr>
              <w:spacing w:before="0" w:after="0"/>
            </w:pPr>
            <w:r>
              <w:rPr>
                <w:sz w:val="20"/>
              </w:rPr>
              <w:t>The whole card</w:t>
            </w:r>
          </w:p>
        </w:tc>
      </w:tr>
      <w:tr>
        <w:trPr>
          <w:cantSplit/>
        </w:trPr>
        <w:tc>
          <w:tcPr>
            <w:tcW w:type="dxa" w:w="4493"/>
          </w:tcPr>
          <w:p>
            <w:pPr>
              <w:spacing w:before="0" w:after="0"/>
            </w:pPr>
            <w:r>
              <w:rPr>
                <w:b/>
                <w:sz w:val="20"/>
              </w:rPr>
              <w:t>B1</w:t>
            </w:r>
            <w:r>
              <w:rPr>
                <w:sz w:val="20"/>
              </w:rPr>
              <w:t xml:space="preserve"> · Motivation as a business lever, and where it is overestimated (Core)</w:t>
            </w:r>
          </w:p>
        </w:tc>
        <w:tc>
          <w:tcPr>
            <w:tcW w:type="dxa" w:w="3684"/>
          </w:tcPr>
          <w:p>
            <w:pPr>
              <w:spacing w:before="0" w:after="0"/>
            </w:pPr>
            <w:r>
              <w:rPr>
                <w:sz w:val="20"/>
              </w:rPr>
              <w:t>Scan line and Figure 8; the "In plain words" and "How to decide" boxes</w:t>
            </w:r>
          </w:p>
        </w:tc>
        <w:tc>
          <w:tcPr>
            <w:tcW w:type="dxa" w:w="1461"/>
          </w:tcPr>
          <w:p>
            <w:pPr>
              <w:spacing w:before="0" w:after="0"/>
            </w:pPr>
            <w:r>
              <w:rPr>
                <w:sz w:val="20"/>
              </w:rPr>
              <w:t>The whole card</w:t>
            </w:r>
          </w:p>
        </w:tc>
      </w:tr>
      <w:tr>
        <w:trPr>
          <w:cantSplit/>
        </w:trPr>
        <w:tc>
          <w:tcPr>
            <w:tcW w:type="dxa" w:w="4493"/>
          </w:tcPr>
          <w:p>
            <w:pPr>
              <w:spacing w:before="0" w:after="0"/>
            </w:pPr>
            <w:r>
              <w:rPr>
                <w:b/>
                <w:sz w:val="20"/>
              </w:rPr>
              <w:t>B2</w:t>
            </w:r>
            <w:r>
              <w:rPr>
                <w:sz w:val="20"/>
              </w:rPr>
              <w:t xml:space="preserve"> · Conflicting goals: motivation, overload and manipulation (Core)</w:t>
            </w:r>
          </w:p>
        </w:tc>
        <w:tc>
          <w:tcPr>
            <w:tcW w:type="dxa" w:w="3684"/>
          </w:tcPr>
          <w:p>
            <w:pPr>
              <w:spacing w:before="0" w:after="0"/>
            </w:pPr>
            <w:r>
              <w:rPr>
                <w:sz w:val="20"/>
              </w:rPr>
              <w:t>Scan line and Figure 9; the "In plain words" and "How to decide" boxes</w:t>
            </w:r>
          </w:p>
        </w:tc>
        <w:tc>
          <w:tcPr>
            <w:tcW w:type="dxa" w:w="1461"/>
          </w:tcPr>
          <w:p>
            <w:pPr>
              <w:spacing w:before="0" w:after="0"/>
            </w:pPr>
            <w:r>
              <w:rPr>
                <w:sz w:val="20"/>
              </w:rPr>
              <w:t>The whole card</w:t>
            </w:r>
          </w:p>
        </w:tc>
      </w:tr>
      <w:tr>
        <w:trPr>
          <w:cantSplit/>
        </w:trPr>
        <w:tc>
          <w:tcPr>
            <w:tcW w:type="dxa" w:w="4493"/>
          </w:tcPr>
          <w:p>
            <w:pPr>
              <w:spacing w:before="0" w:after="0"/>
            </w:pPr>
            <w:r>
              <w:rPr>
                <w:b/>
                <w:sz w:val="20"/>
              </w:rPr>
              <w:t>B3</w:t>
            </w:r>
            <w:r>
              <w:rPr>
                <w:sz w:val="20"/>
              </w:rPr>
              <w:t xml:space="preserve"> · Deciding and evaluating under uncertainty (Core)</w:t>
            </w:r>
          </w:p>
        </w:tc>
        <w:tc>
          <w:tcPr>
            <w:tcW w:type="dxa" w:w="3684"/>
          </w:tcPr>
          <w:p>
            <w:pPr>
              <w:spacing w:before="0" w:after="0"/>
            </w:pPr>
            <w:r>
              <w:rPr>
                <w:sz w:val="20"/>
              </w:rPr>
              <w:t>Scan line and Figure 10; the "In plain words" and "How to decide" boxes</w:t>
            </w:r>
          </w:p>
        </w:tc>
        <w:tc>
          <w:tcPr>
            <w:tcW w:type="dxa" w:w="1461"/>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Ryan, R. M., &amp; Deci, E. L. (2000). Self-determination theory and the facilitation of intrinsic motivation, social development, and well-being. </w:t>
      </w:r>
      <w:r>
        <w:rPr>
          <w:i/>
          <w:sz w:val="19"/>
        </w:rPr>
        <w:t>American Psychologist, 55</w:t>
      </w:r>
      <w:r>
        <w:rPr>
          <w:sz w:val="19"/>
        </w:rPr>
        <w:t>(1), 68–78. — autonomy, competence and relatedness as basic psychological needs.</w:t>
      </w:r>
    </w:p>
    <w:p>
      <w:pPr>
        <w:spacing w:before="0" w:after="80"/>
        <w:ind w:left="283" w:hanging="283"/>
      </w:pPr>
      <w:r>
        <w:rPr>
          <w:sz w:val="19"/>
        </w:rPr>
        <w:t xml:space="preserve">Deci, E. L., Koestner, R., &amp; Ryan, R. M. (1999). A meta-analytic review of experiments examining the effects of extrinsic rewards on intrinsic motivation. </w:t>
      </w:r>
      <w:r>
        <w:rPr>
          <w:i/>
          <w:sz w:val="19"/>
        </w:rPr>
        <w:t>Psychological Bulletin, 125</w:t>
      </w:r>
      <w:r>
        <w:rPr>
          <w:sz w:val="19"/>
        </w:rPr>
        <w:t>(6), 627–668. — expected tangible rewards tended to undermine intrinsic motivation.</w:t>
      </w:r>
    </w:p>
    <w:p>
      <w:pPr>
        <w:spacing w:before="0" w:after="80"/>
        <w:ind w:left="283" w:hanging="283"/>
      </w:pPr>
      <w:r>
        <w:rPr>
          <w:sz w:val="19"/>
        </w:rPr>
        <w:t xml:space="preserve">Lepper, M. R., Greene, D., &amp; Nisbett, R. E. (1973). Undermining children's intrinsic interest with extrinsic reward. </w:t>
      </w:r>
      <w:r>
        <w:rPr>
          <w:i/>
          <w:sz w:val="19"/>
        </w:rPr>
        <w:t>Journal of Personality and Social Psychology, 28</w:t>
      </w:r>
      <w:r>
        <w:rPr>
          <w:sz w:val="19"/>
        </w:rPr>
        <w:t>(1), 129–137. — the classic study of the overjustification effect.</w:t>
      </w:r>
    </w:p>
    <w:p>
      <w:pPr>
        <w:spacing w:before="0" w:after="80"/>
        <w:ind w:left="283" w:hanging="283"/>
      </w:pPr>
      <w:r>
        <w:rPr>
          <w:sz w:val="19"/>
        </w:rPr>
        <w:t xml:space="preserve">Keller, J. M. (1987). Development and use of the ARCS model of instructional design. </w:t>
      </w:r>
      <w:r>
        <w:rPr>
          <w:i/>
          <w:sz w:val="19"/>
        </w:rPr>
        <w:t>Journal of Instructional Development, 10</w:t>
      </w:r>
      <w:r>
        <w:rPr>
          <w:sz w:val="19"/>
        </w:rPr>
        <w:t>(3), 2–10. — attention, relevance, confidence, satisfaction.</w:t>
      </w:r>
    </w:p>
    <w:p>
      <w:pPr>
        <w:spacing w:before="0" w:after="80"/>
        <w:ind w:left="283" w:hanging="283"/>
      </w:pPr>
      <w:r>
        <w:rPr>
          <w:sz w:val="19"/>
        </w:rPr>
        <w:t xml:space="preserve">Fogg, B. J. (2009). A behavior model for persuasive design. </w:t>
      </w:r>
      <w:r>
        <w:rPr>
          <w:i/>
          <w:sz w:val="19"/>
        </w:rPr>
        <w:t>Proceedings of Persuasive '09.</w:t>
      </w:r>
      <w:r>
        <w:rPr>
          <w:sz w:val="19"/>
        </w:rPr>
        <w:t xml:space="preserve"> ACM. — behaviour happens when motivation, ability and a prompt come together.</w:t>
      </w:r>
    </w:p>
    <w:p>
      <w:pPr>
        <w:spacing w:before="0" w:after="80"/>
        <w:ind w:left="283" w:hanging="283"/>
      </w:pPr>
      <w:r>
        <w:rPr>
          <w:sz w:val="19"/>
        </w:rPr>
        <w:t xml:space="preserve">Csikszentmihalyi, M. (1990). </w:t>
      </w:r>
      <w:r>
        <w:rPr>
          <w:i/>
          <w:sz w:val="19"/>
        </w:rPr>
        <w:t>Flow: The Psychology of Optimal Experience.</w:t>
      </w:r>
      <w:r>
        <w:rPr>
          <w:sz w:val="19"/>
        </w:rPr>
        <w:t xml:space="preserve"> Harper &amp; Row. — people engage most when challenge and skill are in balance.</w:t>
      </w:r>
    </w:p>
    <w:p>
      <w:pPr>
        <w:spacing w:before="0" w:after="80"/>
        <w:ind w:left="283" w:hanging="283"/>
      </w:pPr>
      <w:r>
        <w:rPr>
          <w:sz w:val="19"/>
        </w:rPr>
        <w:t xml:space="preserve">Locke, E. A., &amp; Latham, G. P. (2002). Building a practically useful theory of goal setting and task motivation: A 35-year odyssey. </w:t>
      </w:r>
      <w:r>
        <w:rPr>
          <w:i/>
          <w:sz w:val="19"/>
        </w:rPr>
        <w:t>American Psychologist, 57</w:t>
      </w:r>
      <w:r>
        <w:rPr>
          <w:sz w:val="19"/>
        </w:rPr>
        <w:t>(9), 705–717. — specific, challenging goals improve performance.</w:t>
      </w:r>
    </w:p>
    <w:p>
      <w:pPr>
        <w:spacing w:before="0" w:after="80"/>
        <w:ind w:left="283" w:hanging="283"/>
      </w:pPr>
      <w:r>
        <w:rPr>
          <w:sz w:val="19"/>
        </w:rPr>
        <w:t xml:space="preserve">Hattie, J., &amp; Timperley, H. (2007). The power of feedback. </w:t>
      </w:r>
      <w:r>
        <w:rPr>
          <w:i/>
          <w:sz w:val="19"/>
        </w:rPr>
        <w:t>Review of Educational Research, 77</w:t>
      </w:r>
      <w:r>
        <w:rPr>
          <w:sz w:val="19"/>
        </w:rPr>
        <w:t>(1), 81–112. — effective feedback tells the learner where they are going, how they are going and where to next.</w:t>
      </w:r>
    </w:p>
    <w:p>
      <w:pPr>
        <w:spacing w:before="0" w:after="80"/>
        <w:ind w:left="283" w:hanging="283"/>
      </w:pPr>
      <w:r>
        <w:rPr>
          <w:sz w:val="19"/>
        </w:rPr>
        <w:t xml:space="preserve">Kivetz, R., Urminsky, O., &amp; Zheng, Y. (2006). The goal-gradient hypothesis resurrected: Purchase acceleration, illusionary goal progress, and customer retention. </w:t>
      </w:r>
      <w:r>
        <w:rPr>
          <w:i/>
          <w:sz w:val="19"/>
        </w:rPr>
        <w:t>Journal of Marketing Research, 43</w:t>
      </w:r>
      <w:r>
        <w:rPr>
          <w:sz w:val="19"/>
        </w:rPr>
        <w:t>(1), 39–58. — people speed up as they approach a goal.</w:t>
      </w:r>
    </w:p>
    <w:p>
      <w:pPr>
        <w:spacing w:before="0" w:after="80"/>
        <w:ind w:left="283" w:hanging="283"/>
      </w:pPr>
      <w:r>
        <w:rPr>
          <w:sz w:val="19"/>
        </w:rPr>
        <w:t xml:space="preserve">Nunes, J. C., &amp; Drèze, X. (2006). The endowed progress effect: How artificial advancement increases effort. </w:t>
      </w:r>
      <w:r>
        <w:rPr>
          <w:i/>
          <w:sz w:val="19"/>
        </w:rPr>
        <w:t>Journal of Consumer Research, 32</w:t>
      </w:r>
      <w:r>
        <w:rPr>
          <w:sz w:val="19"/>
        </w:rPr>
        <w:t>(4), 504–512. — pre-filled progress raised completion in a loyalty-card field study.</w:t>
      </w:r>
    </w:p>
    <w:p>
      <w:pPr>
        <w:spacing w:before="0" w:after="80"/>
        <w:ind w:left="283" w:hanging="283"/>
      </w:pPr>
      <w:r>
        <w:rPr>
          <w:sz w:val="19"/>
        </w:rPr>
        <w:t xml:space="preserve">Amabile, T., &amp; Kramer, S. (2011). </w:t>
      </w:r>
      <w:r>
        <w:rPr>
          <w:i/>
          <w:sz w:val="19"/>
        </w:rPr>
        <w:t>The Progress Principle.</w:t>
      </w:r>
      <w:r>
        <w:rPr>
          <w:sz w:val="19"/>
        </w:rPr>
        <w:t xml:space="preserve"> Harvard Business Review Press. — from almost 12,000 daily diary entries of 238 knowledge workers: making progress in meaningful work was the strongest everyday boost to motivation. It concerns workplaces, not learners, so it supports the idea but does not prove it for learning platforms.</w:t>
      </w:r>
    </w:p>
    <w:p>
      <w:pPr>
        <w:spacing w:before="0" w:after="80"/>
        <w:ind w:left="283" w:hanging="283"/>
      </w:pPr>
      <w:r>
        <w:rPr>
          <w:sz w:val="19"/>
        </w:rPr>
        <w:t xml:space="preserve">Hamari, J., Koivisto, J., &amp; Sarsa, H. (2014). Does gamification work? A literature review of empirical studies on gamification. </w:t>
      </w:r>
      <w:r>
        <w:rPr>
          <w:i/>
          <w:sz w:val="19"/>
        </w:rPr>
        <w:t>Proceedings of HICSS 2014,</w:t>
      </w:r>
      <w:r>
        <w:rPr>
          <w:sz w:val="19"/>
        </w:rPr>
        <w:t xml:space="preserve"> 3025–3034. — results are mostly positive but depend on context and on the user.</w:t>
      </w:r>
    </w:p>
    <w:p>
      <w:pPr>
        <w:spacing w:before="0" w:after="80"/>
        <w:ind w:left="283" w:hanging="283"/>
      </w:pPr>
      <w:r>
        <w:rPr>
          <w:sz w:val="19"/>
        </w:rPr>
        <w:t xml:space="preserve">Deterding, S., Dixon, D., Khaled, R., &amp; Nacke, L. (2011). From game design elements to gamefulness: Defining "gamification". </w:t>
      </w:r>
      <w:r>
        <w:rPr>
          <w:i/>
          <w:sz w:val="19"/>
        </w:rPr>
        <w:t>Proceedings of MindTrek '11,</w:t>
      </w:r>
      <w:r>
        <w:rPr>
          <w:sz w:val="19"/>
        </w:rPr>
        <w:t xml:space="preserve"> 9–15. — gamification is the use of game design elements in non-game contexts.</w:t>
      </w:r>
    </w:p>
    <w:p>
      <w:pPr>
        <w:spacing w:before="0" w:after="80"/>
        <w:ind w:left="283" w:hanging="283"/>
      </w:pPr>
      <w:r>
        <w:rPr>
          <w:sz w:val="19"/>
        </w:rPr>
        <w:t xml:space="preserve">Gray, C. M., Kou, Y., Battles, B., Hoggatt, J., &amp; Toombs, A. L. (2018). The dark (patterns) side of UX design. </w:t>
      </w:r>
      <w:r>
        <w:rPr>
          <w:i/>
          <w:sz w:val="19"/>
        </w:rPr>
        <w:t>Proceedings of CHI '18,</w:t>
      </w:r>
      <w:r>
        <w:rPr>
          <w:sz w:val="19"/>
        </w:rPr>
        <w:t xml:space="preserve"> Paper 534. — a taxonomy of manipulative design strategies.</w:t>
      </w:r>
    </w:p>
    <w:p>
      <w:pPr>
        <w:spacing w:before="0" w:after="80"/>
        <w:ind w:left="283" w:hanging="283"/>
      </w:pPr>
      <w:r>
        <w:rPr>
          <w:sz w:val="19"/>
        </w:rPr>
        <w:t xml:space="preserve">Rodden, K., Hutchinson, H., &amp; Fu, X. (2010). Measuring the user experience on a large scale: User-centered metrics for web applications. </w:t>
      </w:r>
      <w:r>
        <w:rPr>
          <w:i/>
          <w:sz w:val="19"/>
        </w:rPr>
        <w:t>Proceedings of CHI '10,</w:t>
      </w:r>
      <w:r>
        <w:rPr>
          <w:sz w:val="19"/>
        </w:rPr>
        <w:t xml:space="preserve"> 2395–2398. — the HEART framework: happiness, engagement, adoption, retention, task success.</w:t>
      </w:r>
    </w:p>
    <w:p>
      <w:pPr>
        <w:spacing w:before="0" w:after="80"/>
        <w:ind w:left="283" w:hanging="283"/>
      </w:pPr>
      <w:r>
        <w:rPr>
          <w:sz w:val="19"/>
        </w:rPr>
        <w:t xml:space="preserve">Gothelf, J., &amp; Seiden, J. (2013). </w:t>
      </w:r>
      <w:r>
        <w:rPr>
          <w:i/>
          <w:sz w:val="19"/>
        </w:rPr>
        <w:t>Lean UX: Applying Lean Principles to Improve User Experience.</w:t>
      </w:r>
      <w:r>
        <w:rPr>
          <w:sz w:val="19"/>
        </w:rPr>
        <w:t xml:space="preserve"> O'Reilly. — proto-personas as hypotheses to be tested.</w:t>
      </w:r>
    </w:p>
    <w:p>
      <w:pPr>
        <w:spacing w:before="0" w:after="80"/>
        <w:ind w:left="283" w:hanging="283"/>
      </w:pPr>
      <w:r>
        <w:rPr>
          <w:sz w:val="19"/>
        </w:rPr>
        <w:t xml:space="preserve">Kohavi, R., Tang, D., &amp; Xu, Y. (2020). </w:t>
      </w:r>
      <w:r>
        <w:rPr>
          <w:i/>
          <w:sz w:val="19"/>
        </w:rPr>
        <w:t>Trustworthy Online Controlled Experiments: A Practical Guide to A/B Testing.</w:t>
      </w:r>
      <w:r>
        <w:rPr>
          <w:sz w:val="19"/>
        </w:rPr>
        <w:t xml:space="preserve"> Cambridge University Press. — how to run and read controlled experiments, and why many ideas do not move the metric they were built for.</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80"/>
        <w:gridCol w:w="3152"/>
        <w:gridCol w:w="2227"/>
        <w:gridCol w:w="1979"/>
      </w:tblGrid>
      <w:tr>
        <w:trPr>
          <w:cantSplit/>
          <w:tblHeader/>
        </w:trPr>
        <w:tc>
          <w:tcPr>
            <w:tcW w:type="dxa" w:w="2280"/>
            <w:shd w:val="clear" w:color="auto" w:fill="E6ECF4"/>
          </w:tcPr>
          <w:p>
            <w:pPr>
              <w:spacing w:before="0" w:after="0"/>
            </w:pPr>
            <w:r>
              <w:rPr>
                <w:b/>
                <w:sz w:val="19"/>
              </w:rPr>
              <w:t>Term</w:t>
            </w:r>
          </w:p>
        </w:tc>
        <w:tc>
          <w:tcPr>
            <w:tcW w:type="dxa" w:w="3152"/>
            <w:shd w:val="clear" w:color="auto" w:fill="E6ECF4"/>
          </w:tcPr>
          <w:p>
            <w:pPr>
              <w:spacing w:before="0" w:after="0"/>
            </w:pPr>
            <w:r>
              <w:rPr>
                <w:b/>
                <w:sz w:val="19"/>
              </w:rPr>
              <w:t>In plain words</w:t>
            </w:r>
          </w:p>
        </w:tc>
        <w:tc>
          <w:tcPr>
            <w:tcW w:type="dxa" w:w="2227"/>
            <w:shd w:val="clear" w:color="auto" w:fill="E6ECF4"/>
          </w:tcPr>
          <w:p>
            <w:pPr>
              <w:spacing w:before="0" w:after="0"/>
            </w:pPr>
            <w:r>
              <w:rPr>
                <w:b/>
                <w:sz w:val="19"/>
              </w:rPr>
              <w:t>Example</w:t>
            </w:r>
          </w:p>
        </w:tc>
        <w:tc>
          <w:tcPr>
            <w:tcW w:type="dxa" w:w="1979"/>
            <w:shd w:val="clear" w:color="auto" w:fill="E6ECF4"/>
          </w:tcPr>
          <w:p>
            <w:pPr>
              <w:spacing w:before="0" w:after="0"/>
            </w:pPr>
            <w:r>
              <w:rPr>
                <w:b/>
                <w:sz w:val="19"/>
              </w:rPr>
              <w:t>Comes from</w:t>
            </w:r>
          </w:p>
        </w:tc>
      </w:tr>
      <w:tr>
        <w:trPr>
          <w:cantSplit/>
        </w:trPr>
        <w:tc>
          <w:tcPr>
            <w:tcW w:type="dxa" w:w="2280"/>
          </w:tcPr>
          <w:p>
            <w:pPr>
              <w:spacing w:before="0" w:after="0"/>
            </w:pPr>
            <w:r>
              <w:rPr>
                <w:b/>
                <w:sz w:val="19"/>
              </w:rPr>
              <w:t>A/B test and control group</w:t>
            </w:r>
          </w:p>
        </w:tc>
        <w:tc>
          <w:tcPr>
            <w:tcW w:type="dxa" w:w="3152"/>
          </w:tcPr>
          <w:p>
            <w:pPr>
              <w:spacing w:before="0" w:after="0"/>
            </w:pPr>
            <w:r>
              <w:rPr>
                <w:sz w:val="19"/>
              </w:rPr>
              <w:t>Two versions are shown to similar groups of users at the same time and the results are compared. The group that sees the old version is the control group. It shows whether a change made a difference.</w:t>
            </w:r>
          </w:p>
        </w:tc>
        <w:tc>
          <w:tcPr>
            <w:tcW w:type="dxa" w:w="2227"/>
          </w:tcPr>
          <w:p>
            <w:pPr>
              <w:spacing w:before="0" w:after="0"/>
            </w:pPr>
            <w:r>
              <w:rPr>
                <w:sz w:val="19"/>
              </w:rPr>
              <w:t>Half of new learners see the old start screen, half the new one; compare how many finish lesson 1.</w:t>
            </w:r>
          </w:p>
        </w:tc>
        <w:tc>
          <w:tcPr>
            <w:tcW w:type="dxa" w:w="1979"/>
          </w:tcPr>
          <w:p>
            <w:pPr>
              <w:spacing w:before="0" w:after="0"/>
            </w:pPr>
            <w:r>
              <w:rPr>
                <w:sz w:val="19"/>
              </w:rPr>
              <w:t>Kohavi et al. 2020</w:t>
            </w:r>
          </w:p>
        </w:tc>
      </w:tr>
      <w:tr>
        <w:trPr>
          <w:cantSplit/>
        </w:trPr>
        <w:tc>
          <w:tcPr>
            <w:tcW w:type="dxa" w:w="2280"/>
          </w:tcPr>
          <w:p>
            <w:pPr>
              <w:spacing w:before="0" w:after="0"/>
            </w:pPr>
            <w:r>
              <w:rPr>
                <w:b/>
                <w:sz w:val="19"/>
              </w:rPr>
              <w:t>Activation</w:t>
            </w:r>
          </w:p>
        </w:tc>
        <w:tc>
          <w:tcPr>
            <w:tcW w:type="dxa" w:w="3152"/>
          </w:tcPr>
          <w:p>
            <w:pPr>
              <w:spacing w:before="0" w:after="0"/>
            </w:pPr>
            <w:r>
              <w:rPr>
                <w:sz w:val="19"/>
              </w:rPr>
              <w:t>Getting the learner to do something with the content (answer, choose, try) instead of only reading or watching.</w:t>
            </w:r>
          </w:p>
        </w:tc>
        <w:tc>
          <w:tcPr>
            <w:tcW w:type="dxa" w:w="2227"/>
          </w:tcPr>
          <w:p>
            <w:pPr>
              <w:spacing w:before="0" w:after="0"/>
            </w:pPr>
            <w:r>
              <w:rPr>
                <w:sz w:val="19"/>
              </w:rPr>
              <w:t>A three-minute task after each unit.</w:t>
            </w:r>
          </w:p>
        </w:tc>
        <w:tc>
          <w:tcPr>
            <w:tcW w:type="dxa" w:w="1979"/>
          </w:tcPr>
          <w:p>
            <w:pPr>
              <w:spacing w:before="0" w:after="0"/>
            </w:pPr>
            <w:r>
              <w:rPr>
                <w:sz w:val="19"/>
              </w:rPr>
              <w:t>—</w:t>
            </w:r>
          </w:p>
        </w:tc>
      </w:tr>
      <w:tr>
        <w:trPr>
          <w:cantSplit/>
        </w:trPr>
        <w:tc>
          <w:tcPr>
            <w:tcW w:type="dxa" w:w="2280"/>
          </w:tcPr>
          <w:p>
            <w:pPr>
              <w:spacing w:before="0" w:after="0"/>
            </w:pPr>
            <w:r>
              <w:rPr>
                <w:b/>
                <w:sz w:val="19"/>
              </w:rPr>
              <w:t>Badge</w:t>
            </w:r>
          </w:p>
        </w:tc>
        <w:tc>
          <w:tcPr>
            <w:tcW w:type="dxa" w:w="3152"/>
          </w:tcPr>
          <w:p>
            <w:pPr>
              <w:spacing w:before="0" w:after="0"/>
            </w:pPr>
            <w:r>
              <w:rPr>
                <w:sz w:val="19"/>
              </w:rPr>
              <w:t>A small picture or title given to a learner for reaching something, such as finishing a course. A badge is a reward element from games.</w:t>
            </w:r>
          </w:p>
        </w:tc>
        <w:tc>
          <w:tcPr>
            <w:tcW w:type="dxa" w:w="2227"/>
          </w:tcPr>
          <w:p>
            <w:pPr>
              <w:spacing w:before="0" w:after="0"/>
            </w:pPr>
            <w:r>
              <w:rPr>
                <w:sz w:val="19"/>
              </w:rPr>
              <w:t>"Finished: Contract Basics".</w:t>
            </w:r>
          </w:p>
        </w:tc>
        <w:tc>
          <w:tcPr>
            <w:tcW w:type="dxa" w:w="1979"/>
          </w:tcPr>
          <w:p>
            <w:pPr>
              <w:spacing w:before="0" w:after="0"/>
            </w:pPr>
            <w:r>
              <w:rPr>
                <w:sz w:val="19"/>
              </w:rPr>
              <w:t>—</w:t>
            </w:r>
          </w:p>
        </w:tc>
      </w:tr>
      <w:tr>
        <w:trPr>
          <w:cantSplit/>
        </w:trPr>
        <w:tc>
          <w:tcPr>
            <w:tcW w:type="dxa" w:w="2280"/>
          </w:tcPr>
          <w:p>
            <w:pPr>
              <w:spacing w:before="0" w:after="0"/>
            </w:pPr>
            <w:r>
              <w:rPr>
                <w:b/>
                <w:sz w:val="19"/>
              </w:rPr>
              <w:t>Challenge and skill balance (flow)</w:t>
            </w:r>
          </w:p>
        </w:tc>
        <w:tc>
          <w:tcPr>
            <w:tcW w:type="dxa" w:w="3152"/>
          </w:tcPr>
          <w:p>
            <w:pPr>
              <w:spacing w:before="0" w:after="0"/>
            </w:pPr>
            <w:r>
              <w:rPr>
                <w:sz w:val="19"/>
              </w:rPr>
              <w:t>People engage most when a task is neither too easy (boring) nor too hard (frustrating) for their current skill. Good learning design keeps the challenge just above the learner's level.</w:t>
            </w:r>
          </w:p>
        </w:tc>
        <w:tc>
          <w:tcPr>
            <w:tcW w:type="dxa" w:w="2227"/>
          </w:tcPr>
          <w:p>
            <w:pPr>
              <w:spacing w:before="0" w:after="0"/>
            </w:pPr>
            <w:r>
              <w:rPr>
                <w:sz w:val="19"/>
              </w:rPr>
              <w:t>A quiz that gets slightly harder as the learner succeeds.</w:t>
            </w:r>
          </w:p>
        </w:tc>
        <w:tc>
          <w:tcPr>
            <w:tcW w:type="dxa" w:w="1979"/>
          </w:tcPr>
          <w:p>
            <w:pPr>
              <w:spacing w:before="0" w:after="0"/>
            </w:pPr>
            <w:r>
              <w:rPr>
                <w:sz w:val="19"/>
              </w:rPr>
              <w:t>Csikszentmihalyi 1990</w:t>
            </w:r>
          </w:p>
        </w:tc>
      </w:tr>
      <w:tr>
        <w:trPr>
          <w:cantSplit/>
        </w:trPr>
        <w:tc>
          <w:tcPr>
            <w:tcW w:type="dxa" w:w="2280"/>
          </w:tcPr>
          <w:p>
            <w:pPr>
              <w:spacing w:before="0" w:after="0"/>
            </w:pPr>
            <w:r>
              <w:rPr>
                <w:b/>
                <w:sz w:val="19"/>
              </w:rPr>
              <w:t>Clear goals</w:t>
            </w:r>
          </w:p>
        </w:tc>
        <w:tc>
          <w:tcPr>
            <w:tcW w:type="dxa" w:w="3152"/>
          </w:tcPr>
          <w:p>
            <w:pPr>
              <w:spacing w:before="0" w:after="0"/>
            </w:pPr>
            <w:r>
              <w:rPr>
                <w:sz w:val="19"/>
              </w:rPr>
              <w:t>Specific goals, stated up front, help people focus effort and judge their progress. In learning, that means saying what the learner will be able to do after a unit.</w:t>
            </w:r>
          </w:p>
        </w:tc>
        <w:tc>
          <w:tcPr>
            <w:tcW w:type="dxa" w:w="2227"/>
          </w:tcPr>
          <w:p>
            <w:pPr>
              <w:spacing w:before="0" w:after="0"/>
            </w:pPr>
            <w:r>
              <w:rPr>
                <w:sz w:val="19"/>
              </w:rPr>
              <w:t>"After this unit you can write a counter-offer."</w:t>
            </w:r>
          </w:p>
        </w:tc>
        <w:tc>
          <w:tcPr>
            <w:tcW w:type="dxa" w:w="1979"/>
          </w:tcPr>
          <w:p>
            <w:pPr>
              <w:spacing w:before="0" w:after="0"/>
            </w:pPr>
            <w:r>
              <w:rPr>
                <w:sz w:val="19"/>
              </w:rPr>
              <w:t>Locke &amp; Latham 2002</w:t>
            </w:r>
          </w:p>
        </w:tc>
      </w:tr>
      <w:tr>
        <w:trPr>
          <w:cantSplit/>
        </w:trPr>
        <w:tc>
          <w:tcPr>
            <w:tcW w:type="dxa" w:w="2280"/>
          </w:tcPr>
          <w:p>
            <w:pPr>
              <w:spacing w:before="0" w:after="0"/>
            </w:pPr>
            <w:r>
              <w:rPr>
                <w:b/>
                <w:sz w:val="19"/>
              </w:rPr>
              <w:t>Cognitive load</w:t>
            </w:r>
          </w:p>
        </w:tc>
        <w:tc>
          <w:tcPr>
            <w:tcW w:type="dxa" w:w="3152"/>
          </w:tcPr>
          <w:p>
            <w:pPr>
              <w:spacing w:before="0" w:after="0"/>
            </w:pPr>
            <w:r>
              <w:rPr>
                <w:sz w:val="19"/>
              </w:rPr>
              <w:t>How much a person has to hold in mind and work out at once. Attention is limited. Effort spent on decoding a cluttered screen is effort that is missing for learning the content.</w:t>
            </w:r>
          </w:p>
        </w:tc>
        <w:tc>
          <w:tcPr>
            <w:tcW w:type="dxa" w:w="2227"/>
          </w:tcPr>
          <w:p>
            <w:pPr>
              <w:spacing w:before="0" w:after="0"/>
            </w:pPr>
            <w:r>
              <w:rPr>
                <w:sz w:val="19"/>
              </w:rPr>
              <w:t>A 500-word block of text with no headings costs more attention than the same text in five short parts.</w:t>
            </w:r>
          </w:p>
        </w:tc>
        <w:tc>
          <w:tcPr>
            <w:tcW w:type="dxa" w:w="1979"/>
          </w:tcPr>
          <w:p>
            <w:pPr>
              <w:spacing w:before="0" w:after="0"/>
            </w:pPr>
            <w:r>
              <w:rPr>
                <w:sz w:val="19"/>
              </w:rPr>
              <w:t>Sweller 1988</w:t>
            </w:r>
          </w:p>
        </w:tc>
      </w:tr>
      <w:tr>
        <w:trPr>
          <w:cantSplit/>
        </w:trPr>
        <w:tc>
          <w:tcPr>
            <w:tcW w:type="dxa" w:w="2280"/>
          </w:tcPr>
          <w:p>
            <w:pPr>
              <w:spacing w:before="0" w:after="0"/>
            </w:pPr>
            <w:r>
              <w:rPr>
                <w:b/>
                <w:sz w:val="19"/>
              </w:rPr>
              <w:t>Completion rate</w:t>
            </w:r>
          </w:p>
        </w:tc>
        <w:tc>
          <w:tcPr>
            <w:tcW w:type="dxa" w:w="3152"/>
          </w:tcPr>
          <w:p>
            <w:pPr>
              <w:spacing w:before="0" w:after="0"/>
            </w:pPr>
            <w:r>
              <w:rPr>
                <w:sz w:val="19"/>
              </w:rPr>
              <w:t>The share of people who start a course and finish it. It is the opposite side of the drop-out rate: 60% completion means 40% drop-out.</w:t>
            </w:r>
          </w:p>
        </w:tc>
        <w:tc>
          <w:tcPr>
            <w:tcW w:type="dxa" w:w="2227"/>
          </w:tcPr>
          <w:p>
            <w:pPr>
              <w:spacing w:before="0" w:after="0"/>
            </w:pPr>
            <w:r>
              <w:rPr>
                <w:sz w:val="19"/>
              </w:rPr>
              <w:t>—</w:t>
            </w:r>
          </w:p>
        </w:tc>
        <w:tc>
          <w:tcPr>
            <w:tcW w:type="dxa" w:w="1979"/>
          </w:tcPr>
          <w:p>
            <w:pPr>
              <w:spacing w:before="0" w:after="0"/>
            </w:pPr>
            <w:r>
              <w:rPr>
                <w:sz w:val="19"/>
              </w:rPr>
              <w:t>—</w:t>
            </w:r>
          </w:p>
        </w:tc>
      </w:tr>
      <w:tr>
        <w:trPr>
          <w:cantSplit/>
        </w:trPr>
        <w:tc>
          <w:tcPr>
            <w:tcW w:type="dxa" w:w="2280"/>
          </w:tcPr>
          <w:p>
            <w:pPr>
              <w:spacing w:before="0" w:after="0"/>
            </w:pPr>
            <w:r>
              <w:rPr>
                <w:b/>
                <w:sz w:val="19"/>
              </w:rPr>
              <w:t>Conflicting goals (trade-off)</w:t>
            </w:r>
          </w:p>
        </w:tc>
        <w:tc>
          <w:tcPr>
            <w:tcW w:type="dxa" w:w="3152"/>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227"/>
          </w:tcPr>
          <w:p>
            <w:pPr>
              <w:spacing w:before="0" w:after="0"/>
            </w:pPr>
            <w:r>
              <w:rPr>
                <w:sz w:val="19"/>
              </w:rPr>
              <w:t>—</w:t>
            </w:r>
          </w:p>
        </w:tc>
        <w:tc>
          <w:tcPr>
            <w:tcW w:type="dxa" w:w="1979"/>
          </w:tcPr>
          <w:p>
            <w:pPr>
              <w:spacing w:before="0" w:after="0"/>
            </w:pPr>
            <w:r>
              <w:rPr>
                <w:sz w:val="19"/>
              </w:rPr>
              <w:t>—</w:t>
            </w:r>
          </w:p>
        </w:tc>
      </w:tr>
      <w:tr>
        <w:trPr>
          <w:cantSplit/>
        </w:trPr>
        <w:tc>
          <w:tcPr>
            <w:tcW w:type="dxa" w:w="2280"/>
          </w:tcPr>
          <w:p>
            <w:pPr>
              <w:spacing w:before="0" w:after="0"/>
            </w:pPr>
            <w:r>
              <w:rPr>
                <w:b/>
                <w:sz w:val="19"/>
              </w:rPr>
              <w:t>Dark pattern and manipulation</w:t>
            </w:r>
          </w:p>
        </w:tc>
        <w:tc>
          <w:tcPr>
            <w:tcW w:type="dxa" w:w="3152"/>
          </w:tcPr>
          <w:p>
            <w:pPr>
              <w:spacing w:before="0" w:after="0"/>
            </w:pPr>
            <w:r>
              <w:rPr>
                <w:sz w:val="19"/>
              </w:rPr>
              <w:t>A design that pushes users to act against their own interest, for example by pressure, guilt or hidden costs. In learning, loss messages such as "you will lose your streak" can cross from motivation into manipulation.</w:t>
            </w:r>
          </w:p>
        </w:tc>
        <w:tc>
          <w:tcPr>
            <w:tcW w:type="dxa" w:w="2227"/>
          </w:tcPr>
          <w:p>
            <w:pPr>
              <w:spacing w:before="0" w:after="0"/>
            </w:pPr>
            <w:r>
              <w:rPr>
                <w:sz w:val="19"/>
              </w:rPr>
              <w:t>A pop-up that scolds the learner for missing a day.</w:t>
            </w:r>
          </w:p>
        </w:tc>
        <w:tc>
          <w:tcPr>
            <w:tcW w:type="dxa" w:w="1979"/>
          </w:tcPr>
          <w:p>
            <w:pPr>
              <w:spacing w:before="0" w:after="0"/>
            </w:pPr>
            <w:r>
              <w:rPr>
                <w:sz w:val="19"/>
              </w:rPr>
              <w:t>Gray et al. 2018</w:t>
            </w:r>
          </w:p>
        </w:tc>
      </w:tr>
      <w:tr>
        <w:trPr>
          <w:cantSplit/>
        </w:trPr>
        <w:tc>
          <w:tcPr>
            <w:tcW w:type="dxa" w:w="2280"/>
          </w:tcPr>
          <w:p>
            <w:pPr>
              <w:spacing w:before="0" w:after="0"/>
            </w:pPr>
            <w:r>
              <w:rPr>
                <w:b/>
                <w:sz w:val="19"/>
              </w:rPr>
              <w:t>Decision architecture</w:t>
            </w:r>
          </w:p>
        </w:tc>
        <w:tc>
          <w:tcPr>
            <w:tcW w:type="dxa" w:w="3152"/>
          </w:tcPr>
          <w:p>
            <w:pPr>
              <w:spacing w:before="0" w:after="0"/>
            </w:pPr>
            <w:r>
              <w:rPr>
                <w:sz w:val="19"/>
              </w:rPr>
              <w:t>The rule for how future decisions are made: who decides and what evidence they need. It stops a decision from resting on one person's taste.</w:t>
            </w:r>
          </w:p>
        </w:tc>
        <w:tc>
          <w:tcPr>
            <w:tcW w:type="dxa" w:w="2227"/>
          </w:tcPr>
          <w:p>
            <w:pPr>
              <w:spacing w:before="0" w:after="0"/>
            </w:pPr>
            <w:r>
              <w:rPr>
                <w:sz w:val="19"/>
              </w:rPr>
              <w:t>—</w:t>
            </w:r>
          </w:p>
        </w:tc>
        <w:tc>
          <w:tcPr>
            <w:tcW w:type="dxa" w:w="1979"/>
          </w:tcPr>
          <w:p>
            <w:pPr>
              <w:spacing w:before="0" w:after="0"/>
            </w:pPr>
            <w:r>
              <w:rPr>
                <w:sz w:val="19"/>
              </w:rPr>
              <w:t>—</w:t>
            </w:r>
          </w:p>
        </w:tc>
      </w:tr>
      <w:tr>
        <w:trPr>
          <w:cantSplit/>
        </w:trPr>
        <w:tc>
          <w:tcPr>
            <w:tcW w:type="dxa" w:w="2280"/>
          </w:tcPr>
          <w:p>
            <w:pPr>
              <w:spacing w:before="0" w:after="0"/>
            </w:pPr>
            <w:r>
              <w:rPr>
                <w:b/>
                <w:sz w:val="19"/>
              </w:rPr>
              <w:t>Drop-out rate</w:t>
            </w:r>
          </w:p>
        </w:tc>
        <w:tc>
          <w:tcPr>
            <w:tcW w:type="dxa" w:w="3152"/>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227"/>
          </w:tcPr>
          <w:p>
            <w:pPr>
              <w:spacing w:before="0" w:after="0"/>
            </w:pPr>
            <w:r>
              <w:rPr>
                <w:sz w:val="19"/>
              </w:rPr>
              <w:t>100 learners start; 60 finish; the drop-out rate is 40%.</w:t>
            </w:r>
          </w:p>
        </w:tc>
        <w:tc>
          <w:tcPr>
            <w:tcW w:type="dxa" w:w="1979"/>
          </w:tcPr>
          <w:p>
            <w:pPr>
              <w:spacing w:before="0" w:after="0"/>
            </w:pPr>
            <w:r>
              <w:rPr>
                <w:sz w:val="19"/>
              </w:rPr>
              <w:t>—</w:t>
            </w:r>
          </w:p>
        </w:tc>
      </w:tr>
      <w:tr>
        <w:trPr>
          <w:cantSplit/>
        </w:trPr>
        <w:tc>
          <w:tcPr>
            <w:tcW w:type="dxa" w:w="2280"/>
          </w:tcPr>
          <w:p>
            <w:pPr>
              <w:spacing w:before="0" w:after="0"/>
            </w:pPr>
            <w:r>
              <w:rPr>
                <w:b/>
                <w:sz w:val="19"/>
              </w:rPr>
              <w:t>Engagement</w:t>
            </w:r>
          </w:p>
        </w:tc>
        <w:tc>
          <w:tcPr>
            <w:tcW w:type="dxa" w:w="3152"/>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227"/>
          </w:tcPr>
          <w:p>
            <w:pPr>
              <w:spacing w:before="0" w:after="0"/>
            </w:pPr>
            <w:r>
              <w:rPr>
                <w:sz w:val="19"/>
              </w:rPr>
              <w:t>—</w:t>
            </w:r>
          </w:p>
        </w:tc>
        <w:tc>
          <w:tcPr>
            <w:tcW w:type="dxa" w:w="1979"/>
          </w:tcPr>
          <w:p>
            <w:pPr>
              <w:spacing w:before="0" w:after="0"/>
            </w:pPr>
            <w:r>
              <w:rPr>
                <w:sz w:val="19"/>
              </w:rPr>
              <w:t>—</w:t>
            </w:r>
          </w:p>
        </w:tc>
      </w:tr>
      <w:tr>
        <w:trPr>
          <w:cantSplit/>
        </w:trPr>
        <w:tc>
          <w:tcPr>
            <w:tcW w:type="dxa" w:w="2280"/>
          </w:tcPr>
          <w:p>
            <w:pPr>
              <w:spacing w:before="0" w:after="0"/>
            </w:pPr>
            <w:r>
              <w:rPr>
                <w:b/>
                <w:sz w:val="19"/>
              </w:rPr>
              <w:t>Feedback (in an interface)</w:t>
            </w:r>
          </w:p>
        </w:tc>
        <w:tc>
          <w:tcPr>
            <w:tcW w:type="dxa" w:w="3152"/>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227"/>
          </w:tcPr>
          <w:p>
            <w:pPr>
              <w:spacing w:before="0" w:after="0"/>
            </w:pPr>
            <w:r>
              <w:rPr>
                <w:sz w:val="19"/>
              </w:rPr>
              <w:t>—</w:t>
            </w:r>
          </w:p>
        </w:tc>
        <w:tc>
          <w:tcPr>
            <w:tcW w:type="dxa" w:w="1979"/>
          </w:tcPr>
          <w:p>
            <w:pPr>
              <w:spacing w:before="0" w:after="0"/>
            </w:pPr>
            <w:r>
              <w:rPr>
                <w:sz w:val="19"/>
              </w:rPr>
              <w:t>Nielsen 1994</w:t>
            </w:r>
          </w:p>
        </w:tc>
      </w:tr>
      <w:tr>
        <w:trPr>
          <w:cantSplit/>
        </w:trPr>
        <w:tc>
          <w:tcPr>
            <w:tcW w:type="dxa" w:w="2280"/>
          </w:tcPr>
          <w:p>
            <w:pPr>
              <w:spacing w:before="0" w:after="0"/>
            </w:pPr>
            <w:r>
              <w:rPr>
                <w:b/>
                <w:sz w:val="19"/>
              </w:rPr>
              <w:t>Feedback and reinforcement</w:t>
            </w:r>
          </w:p>
        </w:tc>
        <w:tc>
          <w:tcPr>
            <w:tcW w:type="dxa" w:w="3152"/>
          </w:tcPr>
          <w:p>
            <w:pPr>
              <w:spacing w:before="0" w:after="0"/>
            </w:pPr>
            <w:r>
              <w:rPr>
                <w:sz w:val="19"/>
              </w:rPr>
              <w:t>Feedback tells a learner how they did and what to do next; reinforcement makes a helpful behaviour more likely to be repeated. Good feedback answers three questions: where am I going, how am I going, where to next.</w:t>
            </w:r>
          </w:p>
        </w:tc>
        <w:tc>
          <w:tcPr>
            <w:tcW w:type="dxa" w:w="2227"/>
          </w:tcPr>
          <w:p>
            <w:pPr>
              <w:spacing w:before="0" w:after="0"/>
            </w:pPr>
            <w:r>
              <w:rPr>
                <w:sz w:val="19"/>
              </w:rPr>
              <w:t>"4 of 5 correct. Review question 2."</w:t>
            </w:r>
          </w:p>
        </w:tc>
        <w:tc>
          <w:tcPr>
            <w:tcW w:type="dxa" w:w="1979"/>
          </w:tcPr>
          <w:p>
            <w:pPr>
              <w:spacing w:before="0" w:after="0"/>
            </w:pPr>
            <w:r>
              <w:rPr>
                <w:sz w:val="19"/>
              </w:rPr>
              <w:t>Hattie &amp; Timperley 2007</w:t>
            </w:r>
          </w:p>
        </w:tc>
      </w:tr>
      <w:tr>
        <w:trPr>
          <w:cantSplit/>
        </w:trPr>
        <w:tc>
          <w:tcPr>
            <w:tcW w:type="dxa" w:w="2280"/>
          </w:tcPr>
          <w:p>
            <w:pPr>
              <w:spacing w:before="0" w:after="0"/>
            </w:pPr>
            <w:r>
              <w:rPr>
                <w:b/>
                <w:sz w:val="19"/>
              </w:rPr>
              <w:t>Fogg Behavior Model</w:t>
            </w:r>
          </w:p>
        </w:tc>
        <w:tc>
          <w:tcPr>
            <w:tcW w:type="dxa" w:w="3152"/>
          </w:tcPr>
          <w:p>
            <w:pPr>
              <w:spacing w:before="0" w:after="0"/>
            </w:pPr>
            <w:r>
              <w:rPr>
                <w:sz w:val="19"/>
              </w:rPr>
              <w:t>A model that says a behaviour happens when motivation, ability and a prompt come together at the same moment. Raising motivation alone does not help if the step is hard or nobody prompts it.</w:t>
            </w:r>
          </w:p>
        </w:tc>
        <w:tc>
          <w:tcPr>
            <w:tcW w:type="dxa" w:w="2227"/>
          </w:tcPr>
          <w:p>
            <w:pPr>
              <w:spacing w:before="0" w:after="0"/>
            </w:pPr>
            <w:r>
              <w:rPr>
                <w:sz w:val="19"/>
              </w:rPr>
              <w:t>A reminder (prompt) that opens a three-minute task (ability) for a learner who wants to finish (motivation).</w:t>
            </w:r>
          </w:p>
        </w:tc>
        <w:tc>
          <w:tcPr>
            <w:tcW w:type="dxa" w:w="1979"/>
          </w:tcPr>
          <w:p>
            <w:pPr>
              <w:spacing w:before="0" w:after="0"/>
            </w:pPr>
            <w:r>
              <w:rPr>
                <w:sz w:val="19"/>
              </w:rPr>
              <w:t>Fogg 2009</w:t>
            </w:r>
          </w:p>
        </w:tc>
      </w:tr>
      <w:tr>
        <w:trPr>
          <w:cantSplit/>
        </w:trPr>
        <w:tc>
          <w:tcPr>
            <w:tcW w:type="dxa" w:w="2280"/>
          </w:tcPr>
          <w:p>
            <w:pPr>
              <w:spacing w:before="0" w:after="0"/>
            </w:pPr>
            <w:r>
              <w:rPr>
                <w:b/>
                <w:sz w:val="19"/>
              </w:rPr>
              <w:t>Gamification</w:t>
            </w:r>
          </w:p>
        </w:tc>
        <w:tc>
          <w:tcPr>
            <w:tcW w:type="dxa" w:w="3152"/>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227"/>
          </w:tcPr>
          <w:p>
            <w:pPr>
              <w:spacing w:before="0" w:after="0"/>
            </w:pPr>
            <w:r>
              <w:rPr>
                <w:sz w:val="19"/>
              </w:rPr>
              <w:t>A badge after every lesson, or a ranking of all learners.</w:t>
            </w:r>
          </w:p>
        </w:tc>
        <w:tc>
          <w:tcPr>
            <w:tcW w:type="dxa" w:w="1979"/>
          </w:tcPr>
          <w:p>
            <w:pPr>
              <w:spacing w:before="0" w:after="0"/>
            </w:pPr>
            <w:r>
              <w:rPr>
                <w:sz w:val="19"/>
              </w:rPr>
              <w:t>—</w:t>
            </w:r>
          </w:p>
        </w:tc>
      </w:tr>
      <w:tr>
        <w:trPr>
          <w:cantSplit/>
        </w:trPr>
        <w:tc>
          <w:tcPr>
            <w:tcW w:type="dxa" w:w="2280"/>
          </w:tcPr>
          <w:p>
            <w:pPr>
              <w:spacing w:before="0" w:after="0"/>
            </w:pPr>
            <w:r>
              <w:rPr>
                <w:b/>
                <w:sz w:val="19"/>
              </w:rPr>
              <w:t>Goal-gradient and endowed progress</w:t>
            </w:r>
          </w:p>
        </w:tc>
        <w:tc>
          <w:tcPr>
            <w:tcW w:type="dxa" w:w="3152"/>
          </w:tcPr>
          <w:p>
            <w:pPr>
              <w:spacing w:before="0" w:after="0"/>
            </w:pPr>
            <w:r>
              <w:rPr>
                <w:sz w:val="19"/>
              </w:rPr>
              <w:t>People work harder the closer they get to a goal (goal gradient), and they are more likely to continue when they already see some progress (endowed progress). A progress display uses both, but it must be honest.</w:t>
            </w:r>
          </w:p>
        </w:tc>
        <w:tc>
          <w:tcPr>
            <w:tcW w:type="dxa" w:w="2227"/>
          </w:tcPr>
          <w:p>
            <w:pPr>
              <w:spacing w:before="0" w:after="0"/>
            </w:pPr>
            <w:r>
              <w:rPr>
                <w:sz w:val="19"/>
              </w:rPr>
              <w:t>A bar that starts at 10% after registration because the first step is done.</w:t>
            </w:r>
          </w:p>
        </w:tc>
        <w:tc>
          <w:tcPr>
            <w:tcW w:type="dxa" w:w="1979"/>
          </w:tcPr>
          <w:p>
            <w:pPr>
              <w:spacing w:before="0" w:after="0"/>
            </w:pPr>
            <w:r>
              <w:rPr>
                <w:sz w:val="19"/>
              </w:rPr>
              <w:t>Kivetz et al. 2006; Nunes &amp; Drèze 2006</w:t>
            </w:r>
          </w:p>
        </w:tc>
      </w:tr>
      <w:tr>
        <w:trPr>
          <w:cantSplit/>
        </w:trPr>
        <w:tc>
          <w:tcPr>
            <w:tcW w:type="dxa" w:w="2280"/>
          </w:tcPr>
          <w:p>
            <w:pPr>
              <w:spacing w:before="0" w:after="0"/>
            </w:pPr>
            <w:r>
              <w:rPr>
                <w:b/>
                <w:sz w:val="19"/>
              </w:rPr>
              <w:t>Hypothesis-based approach</w:t>
            </w:r>
          </w:p>
        </w:tc>
        <w:tc>
          <w:tcPr>
            <w:tcW w:type="dxa" w:w="3152"/>
          </w:tcPr>
          <w:p>
            <w:pPr>
              <w:spacing w:before="0" w:after="0"/>
            </w:pPr>
            <w:r>
              <w:rPr>
                <w:sz w:val="19"/>
              </w:rPr>
              <w:t>Writing down what you expect before you change something: "We believe that X will lead to Y; we will know when Z moves." It makes the result checkable.</w:t>
            </w:r>
          </w:p>
        </w:tc>
        <w:tc>
          <w:tcPr>
            <w:tcW w:type="dxa" w:w="2227"/>
          </w:tcPr>
          <w:p>
            <w:pPr>
              <w:spacing w:before="0" w:after="0"/>
            </w:pPr>
            <w:r>
              <w:rPr>
                <w:sz w:val="19"/>
              </w:rPr>
              <w:t>"We believe a next-step button will raise the 7-day return rate by five points."</w:t>
            </w:r>
          </w:p>
        </w:tc>
        <w:tc>
          <w:tcPr>
            <w:tcW w:type="dxa" w:w="1979"/>
          </w:tcPr>
          <w:p>
            <w:pPr>
              <w:spacing w:before="0" w:after="0"/>
            </w:pPr>
            <w:r>
              <w:rPr>
                <w:sz w:val="19"/>
              </w:rPr>
              <w:t>Gothelf &amp; Seiden 2013</w:t>
            </w:r>
          </w:p>
        </w:tc>
      </w:tr>
      <w:tr>
        <w:trPr>
          <w:cantSplit/>
        </w:trPr>
        <w:tc>
          <w:tcPr>
            <w:tcW w:type="dxa" w:w="2280"/>
          </w:tcPr>
          <w:p>
            <w:pPr>
              <w:spacing w:before="0" w:after="0"/>
            </w:pPr>
            <w:r>
              <w:rPr>
                <w:b/>
                <w:sz w:val="19"/>
              </w:rPr>
              <w:t>Intrinsic and extrinsic motivation</w:t>
            </w:r>
          </w:p>
        </w:tc>
        <w:tc>
          <w:tcPr>
            <w:tcW w:type="dxa" w:w="3152"/>
          </w:tcPr>
          <w:p>
            <w:pPr>
              <w:spacing w:before="0" w:after="0"/>
            </w:pPr>
            <w:r>
              <w:rPr>
                <w:sz w:val="19"/>
              </w:rPr>
              <w:t>Intrinsic motivation comes from the activity itself: interest, curiosity, the wish to get better. Extrinsic motivation comes from outside: points, money, a deadline, a certificate. Both exist; designs differ in which they lean on.</w:t>
            </w:r>
          </w:p>
        </w:tc>
        <w:tc>
          <w:tcPr>
            <w:tcW w:type="dxa" w:w="2227"/>
          </w:tcPr>
          <w:p>
            <w:pPr>
              <w:spacing w:before="0" w:after="0"/>
            </w:pPr>
            <w:r>
              <w:rPr>
                <w:sz w:val="19"/>
              </w:rPr>
              <w:t>Studying contracts because you want to understand them (intrinsic) or to get the certificate (extrinsic).</w:t>
            </w:r>
          </w:p>
        </w:tc>
        <w:tc>
          <w:tcPr>
            <w:tcW w:type="dxa" w:w="1979"/>
          </w:tcPr>
          <w:p>
            <w:pPr>
              <w:spacing w:before="0" w:after="0"/>
            </w:pPr>
            <w:r>
              <w:rPr>
                <w:sz w:val="19"/>
              </w:rPr>
              <w:t>Ryan &amp; Deci 2000</w:t>
            </w:r>
          </w:p>
        </w:tc>
      </w:tr>
      <w:tr>
        <w:trPr>
          <w:cantSplit/>
        </w:trPr>
        <w:tc>
          <w:tcPr>
            <w:tcW w:type="dxa" w:w="2280"/>
          </w:tcPr>
          <w:p>
            <w:pPr>
              <w:spacing w:before="0" w:after="0"/>
            </w:pPr>
            <w:r>
              <w:rPr>
                <w:b/>
                <w:sz w:val="19"/>
              </w:rPr>
              <w:t>Iterative design</w:t>
            </w:r>
          </w:p>
        </w:tc>
        <w:tc>
          <w:tcPr>
            <w:tcW w:type="dxa" w:w="3152"/>
          </w:tcPr>
          <w:p>
            <w:pPr>
              <w:spacing w:before="0" w:after="0"/>
            </w:pPr>
            <w:r>
              <w:rPr>
                <w:sz w:val="19"/>
              </w:rPr>
              <w:t>Designing in repeated rounds: make a small version, test it, improve it, test again. Each round is short, so mistakes are found while they are cheap to fix.</w:t>
            </w:r>
          </w:p>
        </w:tc>
        <w:tc>
          <w:tcPr>
            <w:tcW w:type="dxa" w:w="2227"/>
          </w:tcPr>
          <w:p>
            <w:pPr>
              <w:spacing w:before="0" w:after="0"/>
            </w:pPr>
            <w:r>
              <w:rPr>
                <w:sz w:val="19"/>
              </w:rPr>
              <w:t>Three one-week rounds on the course start screen instead of one six-month build.</w:t>
            </w:r>
          </w:p>
        </w:tc>
        <w:tc>
          <w:tcPr>
            <w:tcW w:type="dxa" w:w="1979"/>
          </w:tcPr>
          <w:p>
            <w:pPr>
              <w:spacing w:before="0" w:after="0"/>
            </w:pPr>
            <w:r>
              <w:rPr>
                <w:sz w:val="19"/>
              </w:rPr>
              <w:t>ISO 9241-210</w:t>
            </w:r>
          </w:p>
        </w:tc>
      </w:tr>
      <w:tr>
        <w:trPr>
          <w:cantSplit/>
        </w:trPr>
        <w:tc>
          <w:tcPr>
            <w:tcW w:type="dxa" w:w="2280"/>
          </w:tcPr>
          <w:p>
            <w:pPr>
              <w:spacing w:before="0" w:after="0"/>
            </w:pPr>
            <w:r>
              <w:rPr>
                <w:b/>
                <w:sz w:val="19"/>
              </w:rPr>
              <w:t>KPI (key performance indicator)</w:t>
            </w:r>
          </w:p>
        </w:tc>
        <w:tc>
          <w:tcPr>
            <w:tcW w:type="dxa" w:w="3152"/>
          </w:tcPr>
          <w:p>
            <w:pPr>
              <w:spacing w:before="0" w:after="0"/>
            </w:pPr>
            <w:r>
              <w:rPr>
                <w:sz w:val="19"/>
              </w:rPr>
              <w:t>A number a team agrees to watch to judge whether something works, such as completion rate or time to finish a lesson. A good KPI has a baseline and a target.</w:t>
            </w:r>
          </w:p>
        </w:tc>
        <w:tc>
          <w:tcPr>
            <w:tcW w:type="dxa" w:w="2227"/>
          </w:tcPr>
          <w:p>
            <w:pPr>
              <w:spacing w:before="0" w:after="0"/>
            </w:pPr>
            <w:r>
              <w:rPr>
                <w:sz w:val="19"/>
              </w:rPr>
              <w:t>Completion rate of the first course: 58% today, goal 65% in six months.</w:t>
            </w:r>
          </w:p>
        </w:tc>
        <w:tc>
          <w:tcPr>
            <w:tcW w:type="dxa" w:w="1979"/>
          </w:tcPr>
          <w:p>
            <w:pPr>
              <w:spacing w:before="0" w:after="0"/>
            </w:pPr>
            <w:r>
              <w:rPr>
                <w:sz w:val="19"/>
              </w:rPr>
              <w:t>—</w:t>
            </w:r>
          </w:p>
        </w:tc>
      </w:tr>
      <w:tr>
        <w:trPr>
          <w:cantSplit/>
        </w:trPr>
        <w:tc>
          <w:tcPr>
            <w:tcW w:type="dxa" w:w="2280"/>
          </w:tcPr>
          <w:p>
            <w:pPr>
              <w:spacing w:before="0" w:after="0"/>
            </w:pPr>
            <w:r>
              <w:rPr>
                <w:b/>
                <w:sz w:val="19"/>
              </w:rPr>
              <w:t>Leaderboard</w:t>
            </w:r>
          </w:p>
        </w:tc>
        <w:tc>
          <w:tcPr>
            <w:tcW w:type="dxa" w:w="3152"/>
          </w:tcPr>
          <w:p>
            <w:pPr>
              <w:spacing w:before="0" w:after="0"/>
            </w:pPr>
            <w:r>
              <w:rPr>
                <w:sz w:val="19"/>
              </w:rPr>
              <w:t>A ranking of learners by points or activity. It rewards those who are already active and can discourage those at the bottom.</w:t>
            </w:r>
          </w:p>
        </w:tc>
        <w:tc>
          <w:tcPr>
            <w:tcW w:type="dxa" w:w="2227"/>
          </w:tcPr>
          <w:p>
            <w:pPr>
              <w:spacing w:before="0" w:after="0"/>
            </w:pPr>
            <w:r>
              <w:rPr>
                <w:sz w:val="19"/>
              </w:rPr>
              <w:t>A list of the ten most active learners this week.</w:t>
            </w:r>
          </w:p>
        </w:tc>
        <w:tc>
          <w:tcPr>
            <w:tcW w:type="dxa" w:w="1979"/>
          </w:tcPr>
          <w:p>
            <w:pPr>
              <w:spacing w:before="0" w:after="0"/>
            </w:pPr>
            <w:r>
              <w:rPr>
                <w:sz w:val="19"/>
              </w:rPr>
              <w:t>—</w:t>
            </w:r>
          </w:p>
        </w:tc>
      </w:tr>
      <w:tr>
        <w:trPr>
          <w:cantSplit/>
        </w:trPr>
        <w:tc>
          <w:tcPr>
            <w:tcW w:type="dxa" w:w="2280"/>
          </w:tcPr>
          <w:p>
            <w:pPr>
              <w:spacing w:before="0" w:after="0"/>
            </w:pPr>
            <w:r>
              <w:rPr>
                <w:b/>
                <w:sz w:val="19"/>
              </w:rPr>
              <w:t>Overjustification effect</w:t>
            </w:r>
          </w:p>
        </w:tc>
        <w:tc>
          <w:tcPr>
            <w:tcW w:type="dxa" w:w="3152"/>
          </w:tcPr>
          <w:p>
            <w:pPr>
              <w:spacing w:before="0" w:after="0"/>
            </w:pPr>
            <w:r>
              <w:rPr>
                <w:sz w:val="19"/>
              </w:rPr>
              <w:t>When a reward is expected for something a person already enjoys, the person may come to see the reward as the reason and lose interest once it stops.</w:t>
            </w:r>
          </w:p>
        </w:tc>
        <w:tc>
          <w:tcPr>
            <w:tcW w:type="dxa" w:w="2227"/>
          </w:tcPr>
          <w:p>
            <w:pPr>
              <w:spacing w:before="0" w:after="0"/>
            </w:pPr>
            <w:r>
              <w:rPr>
                <w:sz w:val="19"/>
              </w:rPr>
              <w:t>A learner who liked quizzes starts only for points and stops when the points end.</w:t>
            </w:r>
          </w:p>
        </w:tc>
        <w:tc>
          <w:tcPr>
            <w:tcW w:type="dxa" w:w="1979"/>
          </w:tcPr>
          <w:p>
            <w:pPr>
              <w:spacing w:before="0" w:after="0"/>
            </w:pPr>
            <w:r>
              <w:rPr>
                <w:sz w:val="19"/>
              </w:rPr>
              <w:t>Deci, Koestner &amp; Ryan 1999</w:t>
            </w:r>
          </w:p>
        </w:tc>
      </w:tr>
      <w:tr>
        <w:trPr>
          <w:cantSplit/>
        </w:trPr>
        <w:tc>
          <w:tcPr>
            <w:tcW w:type="dxa" w:w="2280"/>
          </w:tcPr>
          <w:p>
            <w:pPr>
              <w:spacing w:before="0" w:after="0"/>
            </w:pPr>
            <w:r>
              <w:rPr>
                <w:b/>
                <w:sz w:val="19"/>
              </w:rPr>
              <w:t>Perverse incentive</w:t>
            </w:r>
          </w:p>
        </w:tc>
        <w:tc>
          <w:tcPr>
            <w:tcW w:type="dxa" w:w="3152"/>
          </w:tcPr>
          <w:p>
            <w:pPr>
              <w:spacing w:before="0" w:after="0"/>
            </w:pPr>
            <w:r>
              <w:rPr>
                <w:sz w:val="19"/>
              </w:rPr>
              <w:t>An incentive that produces the opposite of what was intended: learners collect points by clicking quickly through lessons instead of learning.</w:t>
            </w:r>
          </w:p>
        </w:tc>
        <w:tc>
          <w:tcPr>
            <w:tcW w:type="dxa" w:w="2227"/>
          </w:tcPr>
          <w:p>
            <w:pPr>
              <w:spacing w:before="0" w:after="0"/>
            </w:pPr>
            <w:r>
              <w:rPr>
                <w:sz w:val="19"/>
              </w:rPr>
              <w:t>A badge for opening 10 lessons leads to opening lessons without reading them.</w:t>
            </w:r>
          </w:p>
        </w:tc>
        <w:tc>
          <w:tcPr>
            <w:tcW w:type="dxa" w:w="1979"/>
          </w:tcPr>
          <w:p>
            <w:pPr>
              <w:spacing w:before="0" w:after="0"/>
            </w:pPr>
            <w:r>
              <w:rPr>
                <w:sz w:val="19"/>
              </w:rPr>
              <w:t>—</w:t>
            </w:r>
          </w:p>
        </w:tc>
      </w:tr>
      <w:tr>
        <w:trPr>
          <w:cantSplit/>
        </w:trPr>
        <w:tc>
          <w:tcPr>
            <w:tcW w:type="dxa" w:w="2280"/>
          </w:tcPr>
          <w:p>
            <w:pPr>
              <w:spacing w:before="0" w:after="0"/>
            </w:pPr>
            <w:r>
              <w:rPr>
                <w:b/>
                <w:sz w:val="19"/>
              </w:rPr>
              <w:t>Progress indicator</w:t>
            </w:r>
          </w:p>
        </w:tc>
        <w:tc>
          <w:tcPr>
            <w:tcW w:type="dxa" w:w="3152"/>
          </w:tcPr>
          <w:p>
            <w:pPr>
              <w:spacing w:before="0" w:after="0"/>
            </w:pPr>
            <w:r>
              <w:rPr>
                <w:sz w:val="19"/>
              </w:rPr>
              <w:t>Something on screen that shows how far along the learner is, for example a bar and “3 of 8 lessons done”. It answers “where am I, and how much is left?”.</w:t>
            </w:r>
          </w:p>
        </w:tc>
        <w:tc>
          <w:tcPr>
            <w:tcW w:type="dxa" w:w="2227"/>
          </w:tcPr>
          <w:p>
            <w:pPr>
              <w:spacing w:before="0" w:after="0"/>
            </w:pPr>
            <w:r>
              <w:rPr>
                <w:sz w:val="19"/>
              </w:rPr>
              <w:t>—</w:t>
            </w:r>
          </w:p>
        </w:tc>
        <w:tc>
          <w:tcPr>
            <w:tcW w:type="dxa" w:w="1979"/>
          </w:tcPr>
          <w:p>
            <w:pPr>
              <w:spacing w:before="0" w:after="0"/>
            </w:pPr>
            <w:r>
              <w:rPr>
                <w:sz w:val="19"/>
              </w:rPr>
              <w:t>—</w:t>
            </w:r>
          </w:p>
        </w:tc>
      </w:tr>
      <w:tr>
        <w:trPr>
          <w:cantSplit/>
        </w:trPr>
        <w:tc>
          <w:tcPr>
            <w:tcW w:type="dxa" w:w="2280"/>
          </w:tcPr>
          <w:p>
            <w:pPr>
              <w:spacing w:before="0" w:after="0"/>
            </w:pPr>
            <w:r>
              <w:rPr>
                <w:b/>
                <w:sz w:val="19"/>
              </w:rPr>
              <w:t>Qualitative and quantitative data</w:t>
            </w:r>
          </w:p>
        </w:tc>
        <w:tc>
          <w:tcPr>
            <w:tcW w:type="dxa" w:w="3152"/>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227"/>
          </w:tcPr>
          <w:p>
            <w:pPr>
              <w:spacing w:before="0" w:after="0"/>
            </w:pPr>
            <w:r>
              <w:rPr>
                <w:sz w:val="19"/>
              </w:rPr>
              <w:t>Five learners say they miss a Next button (qualitative); 40% leave on lesson 3 (quantitative).</w:t>
            </w:r>
          </w:p>
        </w:tc>
        <w:tc>
          <w:tcPr>
            <w:tcW w:type="dxa" w:w="1979"/>
          </w:tcPr>
          <w:p>
            <w:pPr>
              <w:spacing w:before="0" w:after="0"/>
            </w:pPr>
            <w:r>
              <w:rPr>
                <w:sz w:val="19"/>
              </w:rPr>
              <w:t>—</w:t>
            </w:r>
          </w:p>
        </w:tc>
      </w:tr>
      <w:tr>
        <w:trPr>
          <w:cantSplit/>
        </w:trPr>
        <w:tc>
          <w:tcPr>
            <w:tcW w:type="dxa" w:w="2280"/>
          </w:tcPr>
          <w:p>
            <w:pPr>
              <w:spacing w:before="0" w:after="0"/>
            </w:pPr>
            <w:r>
              <w:rPr>
                <w:b/>
                <w:sz w:val="19"/>
              </w:rPr>
              <w:t>Retention</w:t>
            </w:r>
          </w:p>
        </w:tc>
        <w:tc>
          <w:tcPr>
            <w:tcW w:type="dxa" w:w="3152"/>
          </w:tcPr>
          <w:p>
            <w:pPr>
              <w:spacing w:before="0" w:after="0"/>
            </w:pPr>
            <w:r>
              <w:rPr>
                <w:sz w:val="19"/>
              </w:rPr>
              <w:t>How many learners come back after the first time, for the next lesson, the next course or the next year. A platform with good retention keeps its learners.</w:t>
            </w:r>
          </w:p>
        </w:tc>
        <w:tc>
          <w:tcPr>
            <w:tcW w:type="dxa" w:w="2227"/>
          </w:tcPr>
          <w:p>
            <w:pPr>
              <w:spacing w:before="0" w:after="0"/>
            </w:pPr>
            <w:r>
              <w:rPr>
                <w:sz w:val="19"/>
              </w:rPr>
              <w:t>—</w:t>
            </w:r>
          </w:p>
        </w:tc>
        <w:tc>
          <w:tcPr>
            <w:tcW w:type="dxa" w:w="1979"/>
          </w:tcPr>
          <w:p>
            <w:pPr>
              <w:spacing w:before="0" w:after="0"/>
            </w:pPr>
            <w:r>
              <w:rPr>
                <w:sz w:val="19"/>
              </w:rPr>
              <w:t>—</w:t>
            </w:r>
          </w:p>
        </w:tc>
      </w:tr>
      <w:tr>
        <w:trPr>
          <w:cantSplit/>
        </w:trPr>
        <w:tc>
          <w:tcPr>
            <w:tcW w:type="dxa" w:w="2280"/>
          </w:tcPr>
          <w:p>
            <w:pPr>
              <w:spacing w:before="0" w:after="0"/>
            </w:pPr>
            <w:r>
              <w:rPr>
                <w:b/>
                <w:sz w:val="19"/>
              </w:rPr>
              <w:t>Return rate</w:t>
            </w:r>
          </w:p>
        </w:tc>
        <w:tc>
          <w:tcPr>
            <w:tcW w:type="dxa" w:w="3152"/>
          </w:tcPr>
          <w:p>
            <w:pPr>
              <w:spacing w:before="0" w:after="0"/>
            </w:pPr>
            <w:r>
              <w:rPr>
                <w:sz w:val="19"/>
              </w:rPr>
              <w:t>The share of learners who come back within a set time, for example within seven days. It is a simple sign of retention.</w:t>
            </w:r>
          </w:p>
        </w:tc>
        <w:tc>
          <w:tcPr>
            <w:tcW w:type="dxa" w:w="2227"/>
          </w:tcPr>
          <w:p>
            <w:pPr>
              <w:spacing w:before="0" w:after="0"/>
            </w:pPr>
            <w:r>
              <w:rPr>
                <w:sz w:val="19"/>
              </w:rPr>
              <w:t>62 of 100 new learners return within a week.</w:t>
            </w:r>
          </w:p>
        </w:tc>
        <w:tc>
          <w:tcPr>
            <w:tcW w:type="dxa" w:w="1979"/>
          </w:tcPr>
          <w:p>
            <w:pPr>
              <w:spacing w:before="0" w:after="0"/>
            </w:pPr>
            <w:r>
              <w:rPr>
                <w:sz w:val="19"/>
              </w:rPr>
              <w:t>—</w:t>
            </w:r>
          </w:p>
        </w:tc>
      </w:tr>
      <w:tr>
        <w:trPr>
          <w:cantSplit/>
        </w:trPr>
        <w:tc>
          <w:tcPr>
            <w:tcW w:type="dxa" w:w="2280"/>
          </w:tcPr>
          <w:p>
            <w:pPr>
              <w:spacing w:before="0" w:after="0"/>
            </w:pPr>
            <w:r>
              <w:rPr>
                <w:b/>
                <w:sz w:val="19"/>
              </w:rPr>
              <w:t>Roadmap</w:t>
            </w:r>
          </w:p>
        </w:tc>
        <w:tc>
          <w:tcPr>
            <w:tcW w:type="dxa" w:w="3152"/>
          </w:tcPr>
          <w:p>
            <w:pPr>
              <w:spacing w:before="0" w:after="0"/>
            </w:pPr>
            <w:r>
              <w:rPr>
                <w:sz w:val="19"/>
              </w:rPr>
              <w:t>A plan that puts decisions in order over time: what is done first, next and later, and why in that order.</w:t>
            </w:r>
          </w:p>
        </w:tc>
        <w:tc>
          <w:tcPr>
            <w:tcW w:type="dxa" w:w="2227"/>
          </w:tcPr>
          <w:p>
            <w:pPr>
              <w:spacing w:before="0" w:after="0"/>
            </w:pPr>
            <w:r>
              <w:rPr>
                <w:sz w:val="19"/>
              </w:rPr>
              <w:t>—</w:t>
            </w:r>
          </w:p>
        </w:tc>
        <w:tc>
          <w:tcPr>
            <w:tcW w:type="dxa" w:w="1979"/>
          </w:tcPr>
          <w:p>
            <w:pPr>
              <w:spacing w:before="0" w:after="0"/>
            </w:pPr>
            <w:r>
              <w:rPr>
                <w:sz w:val="19"/>
              </w:rPr>
              <w:t>—</w:t>
            </w:r>
          </w:p>
        </w:tc>
      </w:tr>
      <w:tr>
        <w:trPr>
          <w:cantSplit/>
        </w:trPr>
        <w:tc>
          <w:tcPr>
            <w:tcW w:type="dxa" w:w="2280"/>
          </w:tcPr>
          <w:p>
            <w:pPr>
              <w:spacing w:before="0" w:after="0"/>
            </w:pPr>
            <w:r>
              <w:rPr>
                <w:b/>
                <w:sz w:val="19"/>
              </w:rPr>
              <w:t>Self-Determination Theory (SDT)</w:t>
            </w:r>
          </w:p>
        </w:tc>
        <w:tc>
          <w:tcPr>
            <w:tcW w:type="dxa" w:w="3152"/>
          </w:tcPr>
          <w:p>
            <w:pPr>
              <w:spacing w:before="0" w:after="0"/>
            </w:pPr>
            <w:r>
              <w:rPr>
                <w:sz w:val="19"/>
              </w:rPr>
              <w:t>A theory of motivation by Deci and Ryan. It says that people stay motivated when three needs are met: autonomy (I choose), competence (I can see I am getting better) and relatedness (I belong).</w:t>
            </w:r>
          </w:p>
        </w:tc>
        <w:tc>
          <w:tcPr>
            <w:tcW w:type="dxa" w:w="2227"/>
          </w:tcPr>
          <w:p>
            <w:pPr>
              <w:spacing w:before="0" w:after="0"/>
            </w:pPr>
            <w:r>
              <w:rPr>
                <w:sz w:val="19"/>
              </w:rPr>
              <w:t>A learner can pick the order of units (autonomy), sees skills gained (competence) and a study group (relatedness).</w:t>
            </w:r>
          </w:p>
        </w:tc>
        <w:tc>
          <w:tcPr>
            <w:tcW w:type="dxa" w:w="1979"/>
          </w:tcPr>
          <w:p>
            <w:pPr>
              <w:spacing w:before="0" w:after="0"/>
            </w:pPr>
            <w:r>
              <w:rPr>
                <w:sz w:val="19"/>
              </w:rPr>
              <w:t>Ryan &amp; Deci 2000</w:t>
            </w:r>
          </w:p>
        </w:tc>
      </w:tr>
      <w:tr>
        <w:trPr>
          <w:cantSplit/>
        </w:trPr>
        <w:tc>
          <w:tcPr>
            <w:tcW w:type="dxa" w:w="2280"/>
          </w:tcPr>
          <w:p>
            <w:pPr>
              <w:spacing w:before="0" w:after="0"/>
            </w:pPr>
            <w:r>
              <w:rPr>
                <w:b/>
                <w:sz w:val="19"/>
              </w:rPr>
              <w:t>Symptom and cause</w:t>
            </w:r>
          </w:p>
        </w:tc>
        <w:tc>
          <w:tcPr>
            <w:tcW w:type="dxa" w:w="3152"/>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227"/>
          </w:tcPr>
          <w:p>
            <w:pPr>
              <w:spacing w:before="0" w:after="0"/>
            </w:pPr>
            <w:r>
              <w:rPr>
                <w:sz w:val="19"/>
              </w:rPr>
              <w:t>40 of 100 learners leave is a symptom; "the course has no path" is a cause.</w:t>
            </w:r>
          </w:p>
        </w:tc>
        <w:tc>
          <w:tcPr>
            <w:tcW w:type="dxa" w:w="1979"/>
          </w:tcPr>
          <w:p>
            <w:pPr>
              <w:spacing w:before="0" w:after="0"/>
            </w:pPr>
            <w:r>
              <w:rPr>
                <w:sz w:val="19"/>
              </w:rPr>
              <w:t>—</w:t>
            </w:r>
          </w:p>
        </w:tc>
      </w:tr>
      <w:tr>
        <w:trPr>
          <w:cantSplit/>
        </w:trPr>
        <w:tc>
          <w:tcPr>
            <w:tcW w:type="dxa" w:w="2280"/>
          </w:tcPr>
          <w:p>
            <w:pPr>
              <w:spacing w:before="0" w:after="0"/>
            </w:pPr>
            <w:r>
              <w:rPr>
                <w:b/>
                <w:sz w:val="19"/>
              </w:rPr>
              <w:t>Usability test</w:t>
            </w:r>
          </w:p>
        </w:tc>
        <w:tc>
          <w:tcPr>
            <w:tcW w:type="dxa" w:w="3152"/>
          </w:tcPr>
          <w:p>
            <w:pPr>
              <w:spacing w:before="0" w:after="0"/>
            </w:pPr>
            <w:r>
              <w:rPr>
                <w:sz w:val="19"/>
              </w:rPr>
              <w:t>You watch real users try a task on the product while they think aloud, and note where they hesitate or fail. Five to ten people already show the main problems.</w:t>
            </w:r>
          </w:p>
        </w:tc>
        <w:tc>
          <w:tcPr>
            <w:tcW w:type="dxa" w:w="2227"/>
          </w:tcPr>
          <w:p>
            <w:pPr>
              <w:spacing w:before="0" w:after="0"/>
            </w:pPr>
            <w:r>
              <w:rPr>
                <w:sz w:val="19"/>
              </w:rPr>
              <w:t>—</w:t>
            </w:r>
          </w:p>
        </w:tc>
        <w:tc>
          <w:tcPr>
            <w:tcW w:type="dxa" w:w="1979"/>
          </w:tcPr>
          <w:p>
            <w:pPr>
              <w:spacing w:before="0" w:after="0"/>
            </w:pPr>
            <w:r>
              <w:rPr>
                <w:sz w:val="19"/>
              </w:rPr>
              <w:t>—</w:t>
            </w:r>
          </w:p>
        </w:tc>
      </w:tr>
      <w:tr>
        <w:trPr>
          <w:cantSplit/>
        </w:trPr>
        <w:tc>
          <w:tcPr>
            <w:tcW w:type="dxa" w:w="2280"/>
          </w:tcPr>
          <w:p>
            <w:pPr>
              <w:spacing w:before="0" w:after="0"/>
            </w:pPr>
            <w:r>
              <w:rPr>
                <w:b/>
                <w:sz w:val="19"/>
              </w:rPr>
              <w:t>User impact</w:t>
            </w:r>
          </w:p>
        </w:tc>
        <w:tc>
          <w:tcPr>
            <w:tcW w:type="dxa" w:w="3152"/>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227"/>
          </w:tcPr>
          <w:p>
            <w:pPr>
              <w:spacing w:before="0" w:after="0"/>
            </w:pPr>
            <w:r>
              <w:rPr>
                <w:sz w:val="19"/>
              </w:rPr>
              <w:t>—</w:t>
            </w:r>
          </w:p>
        </w:tc>
        <w:tc>
          <w:tcPr>
            <w:tcW w:type="dxa" w:w="1979"/>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4</w:t>
            </w:r>
          </w:p>
        </w:tc>
        <w:tc>
          <w:tcPr>
            <w:tcW w:type="dxa" w:w="6608"/>
          </w:tcPr>
          <w:p>
            <w:pPr>
              <w:spacing w:before="0" w:after="0"/>
            </w:pPr>
            <w:r>
              <w:rPr>
                <w:sz w:val="20"/>
              </w:rPr>
              <w:t>https://aion-dl.vercel.app/day/4/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4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Motivation and engagement through design</dc:title>
  <dc:subject>DAY 4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