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6 · TRAINER DOCUMENT · COACHING, FEEDBACK AND MODEL SOLUTIONS · NOT FOR PARTICIPANTS</w:t>
      </w:r>
    </w:p>
    <w:p>
      <w:pPr>
        <w:spacing w:before="0" w:after="80" w:line="240" w:lineRule="auto"/>
      </w:pPr>
      <w:r>
        <w:rPr>
          <w:b/>
          <w:sz w:val="52"/>
        </w:rPr>
        <w:t>EduPath: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6 · Module 3 (day 2 of 3): Developing personas for learners and teachers, and mapping user journeys in the learning context</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EduPath, a platform on which different users fail in different ways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From User Image to Decision Basis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6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799"/>
        <w:gridCol w:w="3300"/>
        <w:gridCol w:w="1500"/>
        <w:gridCol w:w="1847"/>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799"/>
            <w:shd w:val="clear" w:color="auto" w:fill="E6ECF4"/>
          </w:tcPr>
          <w:p>
            <w:pPr>
              <w:spacing w:before="0" w:after="0"/>
            </w:pPr>
            <w:r>
              <w:rPr>
                <w:b/>
                <w:sz w:val="19"/>
              </w:rPr>
              <w:t>Plan item</w:t>
            </w:r>
          </w:p>
        </w:tc>
        <w:tc>
          <w:tcPr>
            <w:tcW w:type="dxa" w:w="3300"/>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7"/>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799"/>
          </w:tcPr>
          <w:p>
            <w:pPr>
              <w:spacing w:before="0" w:after="0"/>
            </w:pPr>
            <w:r>
              <w:rPr>
                <w:sz w:val="19"/>
              </w:rPr>
              <w:t>Knowledge transfer · Level 1</w:t>
            </w:r>
          </w:p>
        </w:tc>
        <w:tc>
          <w:tcPr>
            <w:tcW w:type="dxa" w:w="3300"/>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0"/>
          </w:tcPr>
          <w:p>
            <w:pPr>
              <w:spacing w:before="0" w:after="0"/>
            </w:pPr>
            <w:r>
              <w:rPr>
                <w:sz w:val="19"/>
              </w:rPr>
              <w:t>Materi A (Route 1)</w:t>
            </w:r>
          </w:p>
        </w:tc>
        <w:tc>
          <w:tcPr>
            <w:tcW w:type="dxa" w:w="1847"/>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799"/>
          </w:tcPr>
          <w:p>
            <w:pPr>
              <w:spacing w:before="0" w:after="0"/>
            </w:pPr>
            <w:r>
              <w:rPr>
                <w:sz w:val="19"/>
              </w:rPr>
              <w:t>Level 1 · Task 1</w:t>
            </w:r>
          </w:p>
        </w:tc>
        <w:tc>
          <w:tcPr>
            <w:tcW w:type="dxa" w:w="3300"/>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7"/>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799"/>
          </w:tcPr>
          <w:p>
            <w:pPr>
              <w:spacing w:before="0" w:after="0"/>
            </w:pPr>
            <w:r>
              <w:rPr>
                <w:sz w:val="19"/>
              </w:rPr>
              <w:t>Level 1 · Task 2</w:t>
            </w:r>
          </w:p>
        </w:tc>
        <w:tc>
          <w:tcPr>
            <w:tcW w:type="dxa" w:w="3300"/>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7"/>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799"/>
          </w:tcPr>
          <w:p>
            <w:pPr>
              <w:spacing w:before="0" w:after="0"/>
            </w:pPr>
            <w:r>
              <w:rPr>
                <w:sz w:val="19"/>
              </w:rPr>
              <w:t>Coaching · transition from Level 1 to Level 2</w:t>
            </w:r>
          </w:p>
        </w:tc>
        <w:tc>
          <w:tcPr>
            <w:tcW w:type="dxa" w:w="3300"/>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7"/>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799"/>
          </w:tcPr>
          <w:p>
            <w:pPr>
              <w:spacing w:before="0" w:after="0"/>
            </w:pPr>
            <w:r>
              <w:rPr>
                <w:sz w:val="19"/>
              </w:rPr>
              <w:t>Level 2 · Case study EduPath (</w:t>
            </w:r>
            <w:r>
              <w:rPr>
                <w:b/>
                <w:sz w:val="19"/>
              </w:rPr>
              <w:t>2 UE</w:t>
            </w:r>
            <w:r>
              <w:rPr>
                <w:sz w:val="19"/>
              </w:rPr>
              <w:t>) incl. model solution</w:t>
            </w:r>
          </w:p>
        </w:tc>
        <w:tc>
          <w:tcPr>
            <w:tcW w:type="dxa" w:w="3300"/>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7"/>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799"/>
          </w:tcPr>
          <w:p>
            <w:pPr>
              <w:spacing w:before="0" w:after="0"/>
            </w:pPr>
            <w:r>
              <w:rPr>
                <w:sz w:val="19"/>
              </w:rPr>
              <w:t>Level 2 + 3 · Feedback round with a management perspective</w:t>
            </w:r>
          </w:p>
        </w:tc>
        <w:tc>
          <w:tcPr>
            <w:tcW w:type="dxa" w:w="3300"/>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7"/>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799"/>
          </w:tcPr>
          <w:p>
            <w:pPr>
              <w:spacing w:before="0" w:after="0"/>
            </w:pPr>
            <w:r>
              <w:rPr>
                <w:sz w:val="19"/>
              </w:rPr>
              <w:t>Level 3 · Transfer project, Head of UX Strategy (</w:t>
            </w:r>
            <w:r>
              <w:rPr>
                <w:b/>
                <w:sz w:val="19"/>
              </w:rPr>
              <w:t>3 UE</w:t>
            </w:r>
            <w:r>
              <w:rPr>
                <w:sz w:val="19"/>
              </w:rPr>
              <w:t>: UE8–10)</w:t>
            </w:r>
          </w:p>
        </w:tc>
        <w:tc>
          <w:tcPr>
            <w:tcW w:type="dxa" w:w="3300"/>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7"/>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799"/>
          </w:tcPr>
          <w:p>
            <w:pPr>
              <w:spacing w:before="0" w:after="0"/>
            </w:pPr>
            <w:r>
              <w:rPr>
                <w:sz w:val="19"/>
              </w:rPr>
              <w:t>Level 3 · Transfer project</w:t>
            </w:r>
          </w:p>
        </w:tc>
        <w:tc>
          <w:tcPr>
            <w:tcW w:type="dxa" w:w="3300"/>
          </w:tcPr>
          <w:p>
            <w:pPr>
              <w:spacing w:before="0" w:after="0"/>
            </w:pPr>
            <w:r>
              <w:rPr>
                <w:sz w:val="19"/>
              </w:rPr>
              <w:t>Individual work or in pairs on Block 3.1 (Core, about 9 min).</w:t>
            </w:r>
          </w:p>
        </w:tc>
        <w:tc>
          <w:tcPr>
            <w:tcW w:type="dxa" w:w="1500"/>
          </w:tcPr>
          <w:p>
            <w:pPr>
              <w:spacing w:before="0" w:after="0"/>
            </w:pPr>
            <w:r>
              <w:rPr>
                <w:sz w:val="19"/>
              </w:rPr>
              <w:t>Task 2 · Block 3.1</w:t>
            </w:r>
          </w:p>
        </w:tc>
        <w:tc>
          <w:tcPr>
            <w:tcW w:type="dxa" w:w="1847"/>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799"/>
          </w:tcPr>
          <w:p>
            <w:pPr>
              <w:spacing w:before="0" w:after="0"/>
            </w:pPr>
            <w:r>
              <w:rPr>
                <w:sz w:val="19"/>
              </w:rPr>
              <w:t>Level 3 · Transfer project</w:t>
            </w:r>
          </w:p>
        </w:tc>
        <w:tc>
          <w:tcPr>
            <w:tcW w:type="dxa" w:w="3300"/>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7"/>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75"/>
        <w:gridCol w:w="1027"/>
        <w:gridCol w:w="1473"/>
        <w:gridCol w:w="2527"/>
        <w:gridCol w:w="2336"/>
      </w:tblGrid>
      <w:tr>
        <w:trPr>
          <w:cantSplit/>
          <w:tblHeader/>
        </w:trPr>
        <w:tc>
          <w:tcPr>
            <w:tcW w:type="dxa" w:w="2275"/>
            <w:shd w:val="clear" w:color="auto" w:fill="E6ECF4"/>
          </w:tcPr>
          <w:p>
            <w:pPr>
              <w:spacing w:before="0" w:after="0"/>
            </w:pPr>
            <w:r>
              <w:rPr>
                <w:b/>
                <w:sz w:val="19"/>
              </w:rPr>
              <w:t>Component</w:t>
            </w:r>
          </w:p>
        </w:tc>
        <w:tc>
          <w:tcPr>
            <w:tcW w:type="dxa" w:w="1027"/>
            <w:shd w:val="clear" w:color="auto" w:fill="E6ECF4"/>
          </w:tcPr>
          <w:p>
            <w:pPr>
              <w:spacing w:before="0" w:after="0"/>
            </w:pPr>
            <w:r>
              <w:rPr>
                <w:b/>
                <w:sz w:val="19"/>
              </w:rPr>
              <w:t>UE</w:t>
            </w:r>
          </w:p>
        </w:tc>
        <w:tc>
          <w:tcPr>
            <w:tcW w:type="dxa" w:w="1473"/>
            <w:shd w:val="clear" w:color="auto" w:fill="E6ECF4"/>
          </w:tcPr>
          <w:p>
            <w:pPr>
              <w:spacing w:before="0" w:after="0"/>
            </w:pPr>
            <w:r>
              <w:rPr>
                <w:b/>
                <w:sz w:val="19"/>
              </w:rPr>
              <w:t>Duration</w:t>
            </w:r>
          </w:p>
        </w:tc>
        <w:tc>
          <w:tcPr>
            <w:tcW w:type="dxa" w:w="2527"/>
            <w:shd w:val="clear" w:color="auto" w:fill="E6ECF4"/>
          </w:tcPr>
          <w:p>
            <w:pPr>
              <w:spacing w:before="0" w:after="0"/>
            </w:pPr>
            <w:r>
              <w:rPr>
                <w:b/>
                <w:sz w:val="19"/>
              </w:rPr>
              <w:t>Participants work in</w:t>
            </w:r>
          </w:p>
        </w:tc>
        <w:tc>
          <w:tcPr>
            <w:tcW w:type="dxa" w:w="2336"/>
            <w:shd w:val="clear" w:color="auto" w:fill="E6ECF4"/>
          </w:tcPr>
          <w:p>
            <w:pPr>
              <w:spacing w:before="0" w:after="0"/>
            </w:pPr>
            <w:r>
              <w:rPr>
                <w:b/>
                <w:sz w:val="19"/>
              </w:rPr>
              <w:t>Model solution in</w:t>
            </w:r>
          </w:p>
        </w:tc>
      </w:tr>
      <w:tr>
        <w:trPr>
          <w:cantSplit/>
        </w:trPr>
        <w:tc>
          <w:tcPr>
            <w:tcW w:type="dxa" w:w="2275"/>
          </w:tcPr>
          <w:p>
            <w:pPr>
              <w:spacing w:before="0" w:after="0"/>
            </w:pPr>
            <w:r>
              <w:rPr>
                <w:b/>
                <w:sz w:val="19"/>
              </w:rPr>
              <w:t>Level 2 case study</w:t>
            </w:r>
            <w:r>
              <w:rPr>
                <w:sz w:val="19"/>
              </w:rPr>
              <w:t xml:space="preserve"> (EduPath)</w:t>
            </w:r>
          </w:p>
        </w:tc>
        <w:tc>
          <w:tcPr>
            <w:tcW w:type="dxa" w:w="1027"/>
          </w:tcPr>
          <w:p>
            <w:pPr>
              <w:spacing w:before="0" w:after="0"/>
            </w:pPr>
            <w:r>
              <w:rPr>
                <w:sz w:val="19"/>
              </w:rPr>
              <w:t>UE5–6</w:t>
            </w:r>
          </w:p>
        </w:tc>
        <w:tc>
          <w:tcPr>
            <w:tcW w:type="dxa" w:w="1473"/>
          </w:tcPr>
          <w:p>
            <w:pPr>
              <w:spacing w:before="0" w:after="0"/>
            </w:pPr>
            <w:r>
              <w:rPr>
                <w:b/>
                <w:sz w:val="19"/>
              </w:rPr>
              <w:t>2 UE</w:t>
            </w:r>
            <w:r>
              <w:rPr>
                <w:sz w:val="19"/>
              </w:rPr>
              <w:t xml:space="preserve"> · 90 min</w:t>
            </w:r>
          </w:p>
        </w:tc>
        <w:tc>
          <w:tcPr>
            <w:tcW w:type="dxa" w:w="2527"/>
          </w:tcPr>
          <w:p>
            <w:pPr>
              <w:spacing w:before="0" w:after="0"/>
            </w:pPr>
            <w:r>
              <w:rPr>
                <w:sz w:val="19"/>
              </w:rPr>
              <w:t>Task 1 · Part 2 (Blocks 2.1, 2.2)</w:t>
            </w:r>
          </w:p>
        </w:tc>
        <w:tc>
          <w:tcPr>
            <w:tcW w:type="dxa" w:w="2336"/>
          </w:tcPr>
          <w:p>
            <w:pPr>
              <w:spacing w:before="0" w:after="0"/>
            </w:pPr>
            <w:r>
              <w:rPr>
                <w:sz w:val="19"/>
              </w:rPr>
              <w:t>Trainer document, section Case study</w:t>
            </w:r>
          </w:p>
        </w:tc>
      </w:tr>
      <w:tr>
        <w:trPr>
          <w:cantSplit/>
        </w:trPr>
        <w:tc>
          <w:tcPr>
            <w:tcW w:type="dxa" w:w="2275"/>
          </w:tcPr>
          <w:p>
            <w:pPr>
              <w:spacing w:before="0" w:after="0"/>
            </w:pPr>
            <w:r>
              <w:rPr>
                <w:b/>
                <w:sz w:val="19"/>
              </w:rPr>
              <w:t>Level 3 transfer project</w:t>
            </w:r>
            <w:r>
              <w:rPr>
                <w:sz w:val="19"/>
              </w:rPr>
              <w:t xml:space="preserve"> (Head of UX Strategy)</w:t>
            </w:r>
          </w:p>
        </w:tc>
        <w:tc>
          <w:tcPr>
            <w:tcW w:type="dxa" w:w="1027"/>
          </w:tcPr>
          <w:p>
            <w:pPr>
              <w:spacing w:before="0" w:after="0"/>
            </w:pPr>
            <w:r>
              <w:rPr>
                <w:sz w:val="19"/>
              </w:rPr>
              <w:t>UE8–10</w:t>
            </w:r>
          </w:p>
        </w:tc>
        <w:tc>
          <w:tcPr>
            <w:tcW w:type="dxa" w:w="1473"/>
          </w:tcPr>
          <w:p>
            <w:pPr>
              <w:spacing w:before="0" w:after="0"/>
            </w:pPr>
            <w:r>
              <w:rPr>
                <w:b/>
                <w:sz w:val="19"/>
              </w:rPr>
              <w:t>3 UE</w:t>
            </w:r>
            <w:r>
              <w:rPr>
                <w:sz w:val="19"/>
              </w:rPr>
              <w:t xml:space="preserve"> · 135 min</w:t>
            </w:r>
          </w:p>
        </w:tc>
        <w:tc>
          <w:tcPr>
            <w:tcW w:type="dxa" w:w="2527"/>
          </w:tcPr>
          <w:p>
            <w:pPr>
              <w:spacing w:before="0" w:after="0"/>
            </w:pPr>
            <w:r>
              <w:rPr>
                <w:sz w:val="19"/>
              </w:rPr>
              <w:t>Materi B and Task 2 (Blocks 3.1, 3.2)</w:t>
            </w:r>
          </w:p>
        </w:tc>
        <w:tc>
          <w:tcPr>
            <w:tcW w:type="dxa" w:w="233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research notes and a learner persona · Core · about 13 min.</w:t>
      </w:r>
    </w:p>
    <w:p>
      <w:pPr>
        <w:pStyle w:val="Heading3"/>
      </w:pPr>
      <w:r>
        <w:rPr/>
        <w:t>Reference: Eight research notes into three persona fields</w:t>
      </w:r>
    </w:p>
    <w:p>
      <w:pPr>
        <w:spacing w:before="0" w:after="100"/>
      </w:pPr>
      <w:r>
        <w:rPr>
          <w:b/>
        </w:rPr>
        <w:t>Reference answer.</w:t>
      </w:r>
      <w:r>
        <w:rPr/>
        <w:t xml:space="preserve"> Goal: note 2, note 5 · Problem or frustration: note 3, note 6, note 7 · Context of use: note 1, note 4, note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52"/>
        <w:gridCol w:w="5886"/>
      </w:tblGrid>
      <w:tr>
        <w:trPr>
          <w:cantSplit/>
          <w:tblHeader/>
        </w:trPr>
        <w:tc>
          <w:tcPr>
            <w:tcW w:type="dxa" w:w="3752"/>
            <w:shd w:val="clear" w:color="auto" w:fill="E6ECF4"/>
          </w:tcPr>
          <w:p>
            <w:pPr>
              <w:spacing w:before="0" w:after="0"/>
            </w:pPr>
            <w:r>
              <w:rPr>
                <w:b/>
                <w:sz w:val="20"/>
              </w:rPr>
              <w:t>Item</w:t>
            </w:r>
          </w:p>
        </w:tc>
        <w:tc>
          <w:tcPr>
            <w:tcW w:type="dxa" w:w="5886"/>
            <w:shd w:val="clear" w:color="auto" w:fill="E6ECF4"/>
          </w:tcPr>
          <w:p>
            <w:pPr>
              <w:spacing w:before="0" w:after="0"/>
            </w:pPr>
            <w:r>
              <w:rPr>
                <w:b/>
                <w:sz w:val="20"/>
              </w:rPr>
              <w:t>Reference reading</w:t>
            </w:r>
          </w:p>
        </w:tc>
      </w:tr>
      <w:tr>
        <w:trPr>
          <w:cantSplit/>
        </w:trPr>
        <w:tc>
          <w:tcPr>
            <w:tcW w:type="dxa" w:w="3752"/>
          </w:tcPr>
          <w:p>
            <w:pPr>
              <w:spacing w:before="0" w:after="0"/>
            </w:pPr>
            <w:r>
              <w:rPr>
                <w:sz w:val="20"/>
              </w:rPr>
              <w:t>Note 1 · Studies around 21:00 for 20 minutes on a phone</w:t>
            </w:r>
          </w:p>
        </w:tc>
        <w:tc>
          <w:tcPr>
            <w:tcW w:type="dxa" w:w="5886"/>
          </w:tcPr>
          <w:p>
            <w:pPr>
              <w:spacing w:before="0" w:after="0"/>
            </w:pPr>
            <w:r>
              <w:rPr>
                <w:sz w:val="20"/>
              </w:rPr>
              <w:t>Context of use. It says when, for how long and on which device: the context of use.</w:t>
            </w:r>
          </w:p>
        </w:tc>
      </w:tr>
      <w:tr>
        <w:trPr>
          <w:cantSplit/>
        </w:trPr>
        <w:tc>
          <w:tcPr>
            <w:tcW w:type="dxa" w:w="3752"/>
          </w:tcPr>
          <w:p>
            <w:pPr>
              <w:spacing w:before="0" w:after="0"/>
            </w:pPr>
            <w:r>
              <w:rPr>
                <w:sz w:val="20"/>
              </w:rPr>
              <w:t>Note 2 · Needs the certificate for a team-lead role</w:t>
            </w:r>
          </w:p>
        </w:tc>
        <w:tc>
          <w:tcPr>
            <w:tcW w:type="dxa" w:w="5886"/>
          </w:tcPr>
          <w:p>
            <w:pPr>
              <w:spacing w:before="0" w:after="0"/>
            </w:pPr>
            <w:r>
              <w:rPr>
                <w:sz w:val="20"/>
              </w:rPr>
              <w:t>Goal. It is a reason in her life, a role she wants to reach: a goal.</w:t>
            </w:r>
          </w:p>
        </w:tc>
      </w:tr>
      <w:tr>
        <w:trPr>
          <w:cantSplit/>
        </w:trPr>
        <w:tc>
          <w:tcPr>
            <w:tcW w:type="dxa" w:w="3752"/>
          </w:tcPr>
          <w:p>
            <w:pPr>
              <w:spacing w:before="0" w:after="0"/>
            </w:pPr>
            <w:r>
              <w:rPr>
                <w:sz w:val="20"/>
              </w:rPr>
              <w:t>Note 3 · After three days she does not know where she stopped</w:t>
            </w:r>
          </w:p>
        </w:tc>
        <w:tc>
          <w:tcPr>
            <w:tcW w:type="dxa" w:w="5886"/>
          </w:tcPr>
          <w:p>
            <w:pPr>
              <w:spacing w:before="0" w:after="0"/>
            </w:pPr>
            <w:r>
              <w:rPr>
                <w:sz w:val="20"/>
              </w:rPr>
              <w:t>Problem or frustration. A situation where something goes wrong: she loses her place. A problem.</w:t>
            </w:r>
          </w:p>
        </w:tc>
      </w:tr>
      <w:tr>
        <w:trPr>
          <w:cantSplit/>
        </w:trPr>
        <w:tc>
          <w:tcPr>
            <w:tcW w:type="dxa" w:w="3752"/>
          </w:tcPr>
          <w:p>
            <w:pPr>
              <w:spacing w:before="0" w:after="0"/>
            </w:pPr>
            <w:r>
              <w:rPr>
                <w:sz w:val="20"/>
              </w:rPr>
              <w:t>Note 4 · Median session 14 minutes, 71% on a phone</w:t>
            </w:r>
          </w:p>
        </w:tc>
        <w:tc>
          <w:tcPr>
            <w:tcW w:type="dxa" w:w="5886"/>
          </w:tcPr>
          <w:p>
            <w:pPr>
              <w:spacing w:before="0" w:after="0"/>
            </w:pPr>
            <w:r>
              <w:rPr>
                <w:sz w:val="20"/>
              </w:rPr>
              <w:t>Context of use. It describes how long and on which device people use the platform: the context of use.</w:t>
            </w:r>
          </w:p>
        </w:tc>
      </w:tr>
      <w:tr>
        <w:trPr>
          <w:cantSplit/>
        </w:trPr>
        <w:tc>
          <w:tcPr>
            <w:tcW w:type="dxa" w:w="3752"/>
          </w:tcPr>
          <w:p>
            <w:pPr>
              <w:spacing w:before="0" w:after="0"/>
            </w:pPr>
            <w:r>
              <w:rPr>
                <w:sz w:val="20"/>
              </w:rPr>
              <w:t>Note 5 · Wants to use it in her project next week</w:t>
            </w:r>
          </w:p>
        </w:tc>
        <w:tc>
          <w:tcPr>
            <w:tcW w:type="dxa" w:w="5886"/>
          </w:tcPr>
          <w:p>
            <w:pPr>
              <w:spacing w:before="0" w:after="0"/>
            </w:pPr>
            <w:r>
              <w:rPr>
                <w:sz w:val="20"/>
              </w:rPr>
              <w:t>Goal. It is what she wants to be able to do: a goal tied to her work.</w:t>
            </w:r>
          </w:p>
        </w:tc>
      </w:tr>
      <w:tr>
        <w:trPr>
          <w:cantSplit/>
        </w:trPr>
        <w:tc>
          <w:tcPr>
            <w:tcW w:type="dxa" w:w="3752"/>
          </w:tcPr>
          <w:p>
            <w:pPr>
              <w:spacing w:before="0" w:after="0"/>
            </w:pPr>
            <w:r>
              <w:rPr>
                <w:sz w:val="20"/>
              </w:rPr>
              <w:t>Note 6 · A lesson needs 40 minutes in one sitting</w:t>
            </w:r>
          </w:p>
        </w:tc>
        <w:tc>
          <w:tcPr>
            <w:tcW w:type="dxa" w:w="5886"/>
          </w:tcPr>
          <w:p>
            <w:pPr>
              <w:spacing w:before="0" w:after="0"/>
            </w:pPr>
            <w:r>
              <w:rPr>
                <w:sz w:val="20"/>
              </w:rPr>
              <w:t>Problem or frustration. A 40-minute lesson against 20 minutes of time: something gets in her way. A problem.</w:t>
            </w:r>
          </w:p>
        </w:tc>
      </w:tr>
      <w:tr>
        <w:trPr>
          <w:cantSplit/>
        </w:trPr>
        <w:tc>
          <w:tcPr>
            <w:tcW w:type="dxa" w:w="3752"/>
          </w:tcPr>
          <w:p>
            <w:pPr>
              <w:spacing w:before="0" w:after="0"/>
            </w:pPr>
            <w:r>
              <w:rPr>
                <w:sz w:val="20"/>
              </w:rPr>
              <w:t>Note 7 · The reminder arrives at 08:00, at work</w:t>
            </w:r>
          </w:p>
        </w:tc>
        <w:tc>
          <w:tcPr>
            <w:tcW w:type="dxa" w:w="5886"/>
          </w:tcPr>
          <w:p>
            <w:pPr>
              <w:spacing w:before="0" w:after="0"/>
            </w:pPr>
            <w:r>
              <w:rPr>
                <w:sz w:val="20"/>
              </w:rPr>
              <w:t>Problem or frustration. The reminder comes when she cannot use it, so she ignores it: something goes wrong. A problem, even though it names a time.</w:t>
            </w:r>
          </w:p>
        </w:tc>
      </w:tr>
      <w:tr>
        <w:trPr>
          <w:cantSplit/>
        </w:trPr>
        <w:tc>
          <w:tcPr>
            <w:tcW w:type="dxa" w:w="3752"/>
          </w:tcPr>
          <w:p>
            <w:pPr>
              <w:spacing w:before="0" w:after="0"/>
            </w:pPr>
            <w:r>
              <w:rPr>
                <w:sz w:val="20"/>
              </w:rPr>
              <w:t>Note 8 · The employer pays and the manager wants to see progress</w:t>
            </w:r>
          </w:p>
        </w:tc>
        <w:tc>
          <w:tcPr>
            <w:tcW w:type="dxa" w:w="5886"/>
          </w:tcPr>
          <w:p>
            <w:pPr>
              <w:spacing w:before="0" w:after="0"/>
            </w:pPr>
            <w:r>
              <w:rPr>
                <w:sz w:val="20"/>
              </w:rPr>
              <w:t>Context of use. It says why she is on the platform (the employer pays and checks): the motivation part of the context of use.</w:t>
            </w:r>
          </w:p>
        </w:tc>
      </w:tr>
    </w:tbl>
    <w:p>
      <w:pPr>
        <w:spacing w:before="0" w:after="80"/>
      </w:pPr>
    </w:p>
    <w:p>
      <w:pPr>
        <w:spacing w:before="0" w:after="100"/>
      </w:pPr>
      <w:r>
        <w:rPr>
          <w:i/>
        </w:rPr>
        <w:t>Trainer note.</w:t>
      </w:r>
      <w:r>
        <w:rPr/>
        <w:t xml:space="preserve"> The sort is objective: a note goes where its sentence points. Two edges: note 7 (the reminder arrives at 08:00) names a time, but the time is the trouble, so it is a Problem and not Context of use; note 8 (the employer pays, the manager wants progress) could be read as a goal, but it says why she is on the platform and who is watching, so it is Context of use (motivation). The persona and the frustrations are judged: any persona defends if it names a goal as a reason in a life, problems as situations, a context with time and device, and cites the note numbers. Plan: Arbeitsauftrag 1, describe a persona (goals, problems, usage situation), the expectations and possible frustrations.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The learner persona</w:t>
            </w:r>
          </w:p>
          <w:p>
            <w:pPr>
              <w:spacing w:before="0" w:after="100"/>
            </w:pPr>
            <w:r>
              <w:rPr>
                <w:b/>
              </w:rPr>
              <w:t>Model answer (an example).</w:t>
            </w:r>
            <w:r>
              <w:rPr/>
              <w:t xml:space="preserve"> Anja Weber, 36, a project manager with two children. She wants the certificate to apply for a team-lead role next year (note 2) and to use what she learns in her project next week (note 5). After three days away she does not know where she stopped (note 3), a lesson needs 40 minutes in one sitting and cannot be paused (note 6), and the reminder arrives at 08:00 while she is at work (note 7). She studies after 21:00 for about 20 minutes on her phone (notes 1 and 4). Her employer pays and her manager wants to see progress (note 8). She expects to land on the exact place where she stopped, a lesson she can finish in 20 minutes, and a sign of progress she can show her manager.</w:t>
            </w:r>
          </w:p>
          <w:p>
            <w:pPr>
              <w:spacing w:before="0" w:after="100"/>
            </w:pPr>
            <w:r>
              <w:rPr>
                <w:b/>
              </w:rPr>
              <w:t>Why.</w:t>
            </w:r>
            <w:r>
              <w:rPr/>
              <w:t xml:space="preserve"> Materi A1: a persona has goals, problems and the context of use, each stated as a situation, not a verdict, and each with a source. A statement without a source is a hypothesis.</w:t>
            </w:r>
          </w:p>
          <w:p>
            <w:pPr>
              <w:spacing w:before="0" w:after="100"/>
            </w:pPr>
            <w:r>
              <w:rPr>
                <w:b/>
              </w:rPr>
              <w:t>Look for.</w:t>
            </w:r>
          </w:p>
          <w:p>
            <w:pPr>
              <w:pStyle w:val="ListBullet"/>
              <w:spacing w:before="0" w:after="40"/>
            </w:pPr>
            <w:r>
              <w:rPr/>
              <w:t>Goals as reasons in a life, not feature wishes.</w:t>
            </w:r>
          </w:p>
          <w:p>
            <w:pPr>
              <w:pStyle w:val="ListBullet"/>
              <w:spacing w:before="0" w:after="40"/>
            </w:pPr>
            <w:r>
              <w:rPr/>
              <w:t>Problems as situations, not “the platform is bad”.</w:t>
            </w:r>
          </w:p>
          <w:p>
            <w:pPr>
              <w:pStyle w:val="ListBullet"/>
              <w:spacing w:before="0" w:after="40"/>
            </w:pPr>
            <w:r>
              <w:rPr/>
              <w:t>A context with time, device and motivation.</w:t>
            </w:r>
          </w:p>
          <w:p>
            <w:pPr>
              <w:pStyle w:val="ListBullet"/>
              <w:spacing w:before="0" w:after="40"/>
            </w:pPr>
            <w:r>
              <w:rPr/>
              <w:t>Cites note numbers.</w:t>
            </w:r>
          </w:p>
          <w:p>
            <w:pPr>
              <w:pStyle w:val="ListBullet"/>
              <w:spacing w:before="0" w:after="100"/>
            </w:pPr>
            <w:r>
              <w:rPr/>
              <w:t>A persona, not a list of notes.</w:t>
            </w:r>
          </w:p>
          <w:p>
            <w:pPr>
              <w:spacing w:before="0" w:after="100"/>
            </w:pPr>
            <w:r>
              <w:rPr>
                <w:b/>
              </w:rPr>
              <w:t>Typical mistakes.</w:t>
            </w:r>
          </w:p>
          <w:p>
            <w:pPr>
              <w:pStyle w:val="ListBullet"/>
              <w:spacing w:before="0" w:after="40"/>
            </w:pPr>
            <w:r>
              <w:rPr/>
              <w:t>A cliché (“tech-savvy, loves apps”).</w:t>
            </w:r>
          </w:p>
          <w:p>
            <w:pPr>
              <w:pStyle w:val="ListBullet"/>
              <w:spacing w:before="0" w:after="100"/>
            </w:pPr>
            <w:r>
              <w:rPr/>
              <w:t>Mixing the teacher into the learner persona.</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Frustrations and the decision the persona supports</w:t>
            </w:r>
          </w:p>
          <w:p>
            <w:pPr>
              <w:spacing w:before="0" w:after="100"/>
            </w:pPr>
            <w:r>
              <w:rPr>
                <w:b/>
              </w:rPr>
              <w:t>Model answer (an example).</w:t>
            </w:r>
            <w:r>
              <w:rPr/>
              <w:t xml:space="preserve"> Because of this persona a team could decide to put a resume button on every screen and to cut lessons into pieces of five minutes.</w:t>
            </w:r>
          </w:p>
          <w:p>
            <w:pPr>
              <w:spacing w:before="0" w:after="100"/>
            </w:pPr>
            <w:r>
              <w:rPr>
                <w:b/>
              </w:rPr>
              <w:t>Why.</w:t>
            </w:r>
            <w:r>
              <w:rPr/>
              <w:t xml:space="preserve"> The plan asks for possible frustrations, and the coaching point says a persona is a decision tool. A good answer names a situation and one decision that would change because of the persona (Materi A1, A2).</w:t>
            </w:r>
          </w:p>
          <w:p>
            <w:pPr>
              <w:spacing w:before="0" w:after="100"/>
            </w:pPr>
            <w:r>
              <w:rPr>
                <w:b/>
              </w:rPr>
              <w:t>Look for.</w:t>
            </w:r>
          </w:p>
          <w:p>
            <w:pPr>
              <w:pStyle w:val="ListBullet"/>
              <w:spacing w:before="0" w:after="40"/>
            </w:pPr>
            <w:r>
              <w:rPr/>
              <w:t>Names a situation, not a verdict.</w:t>
            </w:r>
          </w:p>
          <w:p>
            <w:pPr>
              <w:pStyle w:val="ListBullet"/>
              <w:spacing w:before="0" w:after="40"/>
            </w:pPr>
            <w:r>
              <w:rPr/>
              <w:t>Names one decision a team could take because of the persona.</w:t>
            </w:r>
          </w:p>
          <w:p>
            <w:pPr>
              <w:pStyle w:val="ListBullet"/>
              <w:spacing w:before="0" w:after="100"/>
            </w:pPr>
            <w:r>
              <w:rPr/>
              <w:t>Fits the persona's goals and context.</w:t>
            </w:r>
          </w:p>
        </w:tc>
      </w:tr>
    </w:tbl>
    <w:p>
      <w:pPr>
        <w:spacing w:before="0" w:after="80"/>
      </w:pPr>
    </w:p>
    <w:p>
      <w:pPr>
        <w:pStyle w:val="Heading2"/>
      </w:pPr>
      <w:r>
        <w:rPr/>
        <w:t>Block 1.2 · model answers (UE3)</w:t>
      </w:r>
    </w:p>
    <w:p>
      <w:pPr>
        <w:spacing w:before="0" w:after="100"/>
      </w:pPr>
      <w:r>
        <w:rPr>
          <w:i/>
        </w:rPr>
        <w:t>Block 1.2: A journey that ends in drop-out · Optional · about 8 min.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(Optional) · Four possible problems that lead to the drop-out</w:t>
            </w:r>
          </w:p>
          <w:p>
            <w:pPr>
              <w:spacing w:before="0" w:after="100"/>
            </w:pPr>
            <w:r>
              <w:rPr>
                <w:b/>
              </w:rPr>
              <w:t>Model answer (an example).</w:t>
            </w:r>
            <w:r>
              <w:rPr/>
              <w:t xml:space="preserve"> 1. A lesson needs 40 minutes in one sitting. 2. It cannot be paused and resumed. 3. The reminder arrives when she is at work. 4. She cannot find where she stopped.</w:t>
            </w:r>
          </w:p>
          <w:p>
            <w:pPr>
              <w:spacing w:before="0" w:after="100"/>
            </w:pPr>
            <w:r>
              <w:rPr>
                <w:b/>
              </w:rPr>
              <w:t>Why.</w:t>
            </w:r>
            <w:r>
              <w:rPr/>
              <w:t xml:space="preserve"> The plan asks for four possible problems, not the right four. A good list names situations along the path, one per line.</w:t>
            </w:r>
          </w:p>
          <w:p>
            <w:pPr>
              <w:spacing w:before="0" w:after="100"/>
            </w:pPr>
            <w:r>
              <w:rPr>
                <w:b/>
              </w:rPr>
              <w:t>Look for.</w:t>
            </w:r>
          </w:p>
          <w:p>
            <w:pPr>
              <w:pStyle w:val="ListBullet"/>
              <w:spacing w:before="0" w:after="40"/>
            </w:pPr>
            <w:r>
              <w:rPr/>
              <w:t>Four lines.</w:t>
            </w:r>
          </w:p>
          <w:p>
            <w:pPr>
              <w:pStyle w:val="ListBullet"/>
              <w:spacing w:before="0" w:after="40"/>
            </w:pPr>
            <w:r>
              <w:rPr/>
              <w:t>Situations, not verdicts.</w:t>
            </w:r>
          </w:p>
          <w:p>
            <w:pPr>
              <w:pStyle w:val="ListBullet"/>
              <w:spacing w:before="0" w:after="100"/>
            </w:pPr>
            <w:r>
              <w:rPr/>
              <w:t>Spread over the phases.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(Optional) · Why that phase is critical</w:t>
            </w:r>
          </w:p>
          <w:p>
            <w:pPr>
              <w:spacing w:before="0" w:after="100"/>
            </w:pPr>
            <w:r>
              <w:rPr>
                <w:b/>
              </w:rPr>
              <w:t>Model answer (an example).</w:t>
            </w:r>
          </w:p>
          <w:p>
            <w:pPr>
              <w:spacing w:before="0" w:after="100"/>
            </w:pPr>
            <w:r>
              <w:rPr>
                <w:b/>
              </w:rPr>
              <w:t>Why.</w:t>
            </w:r>
            <w:r>
              <w:rPr/>
              <w:t xml:space="preserve"> Materi A3: mark a phase as critical where the emotion is lowest or where the person stops, and say what happens to the emotion and what the person does next. Another phase defends if the sentence says so.</w:t>
            </w:r>
          </w:p>
          <w:p>
            <w:pPr>
              <w:spacing w:before="0" w:after="100"/>
            </w:pPr>
            <w:r>
              <w:rPr>
                <w:b/>
              </w:rPr>
              <w:t>Look for.</w:t>
            </w:r>
          </w:p>
          <w:p>
            <w:pPr>
              <w:pStyle w:val="ListBullet"/>
              <w:spacing w:before="0" w:after="40"/>
            </w:pPr>
            <w:r>
              <w:rPr/>
              <w:t>Names the phase.</w:t>
            </w:r>
          </w:p>
          <w:p>
            <w:pPr>
              <w:pStyle w:val="ListBullet"/>
              <w:spacing w:before="0" w:after="40"/>
            </w:pPr>
            <w:r>
              <w:rPr/>
              <w:t>Says what happens to the emotion.</w:t>
            </w:r>
          </w:p>
          <w:p>
            <w:pPr>
              <w:pStyle w:val="ListBullet"/>
              <w:spacing w:before="0" w:after="100"/>
            </w:pPr>
            <w:r>
              <w:rPr/>
              <w:t>Says what the person does next.</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From User Image to Decision Basis (UE4)</w:t>
      </w:r>
    </w:p>
    <w:p>
      <w:pPr>
        <w:spacing w:before="0" w:after="100"/>
      </w:pPr>
      <w:r>
        <w:rPr>
          <w:b/>
        </w:rPr>
        <w:t>The plan's coaching points.</w:t>
      </w:r>
    </w:p>
    <w:p>
      <w:pPr>
        <w:pStyle w:val="ListBullet"/>
        <w:spacing w:before="0" w:after="40"/>
      </w:pPr>
      <w:r>
        <w:rPr/>
        <w:t>Personas are not profiles – they are decision tools</w:t>
      </w:r>
    </w:p>
    <w:p>
      <w:pPr>
        <w:pStyle w:val="ListBullet"/>
        <w:spacing w:before="0" w:after="40"/>
      </w:pPr>
      <w:r>
        <w:rPr/>
        <w:t>Why many personas remain ineffective</w:t>
      </w:r>
    </w:p>
    <w:p>
      <w:pPr>
        <w:pStyle w:val="ListBullet"/>
        <w:spacing w:before="0" w:after="40"/>
      </w:pPr>
      <w:r>
        <w:rPr/>
        <w:t>User journeys reveal systemic problems, not individual errors</w:t>
      </w:r>
    </w:p>
    <w:p>
      <w:pPr>
        <w:pStyle w:val="ListBullet"/>
        <w:spacing w:before="0" w:after="100"/>
      </w:pPr>
      <w:r>
        <w:rPr/>
        <w:t>Thinking in processes instead of screens</w:t>
      </w:r>
    </w:p>
    <w:p>
      <w:pPr>
        <w:spacing w:before="0" w:after="100"/>
      </w:pPr>
      <w:r>
        <w:rPr>
          <w:b/>
        </w:rPr>
        <w:t>Reflection questions.</w:t>
      </w:r>
    </w:p>
    <w:p>
      <w:pPr>
        <w:pStyle w:val="ListBullet"/>
        <w:spacing w:before="0" w:after="40"/>
      </w:pPr>
      <w:r>
        <w:rPr/>
        <w:t>Who are we really designing for?</w:t>
      </w:r>
    </w:p>
    <w:p>
      <w:pPr>
        <w:pStyle w:val="ListBullet"/>
        <w:spacing w:before="0" w:after="40"/>
      </w:pPr>
      <w:r>
        <w:rPr/>
        <w:t>Which persona is strategically relevant?</w:t>
      </w:r>
    </w:p>
    <w:p>
      <w:pPr>
        <w:pStyle w:val="ListBullet"/>
        <w:spacing w:before="0" w:after="100"/>
      </w:pPr>
      <w:r>
        <w:rPr/>
        <w:t>Where does the user get lost in the process?</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4"/>
        <w:gridCol w:w="1188"/>
        <w:gridCol w:w="7586"/>
      </w:tblGrid>
      <w:tr>
        <w:trPr>
          <w:cantSplit/>
          <w:tblHeader/>
        </w:trPr>
        <w:tc>
          <w:tcPr>
            <w:tcW w:type="dxa" w:w="864"/>
            <w:shd w:val="clear" w:color="auto" w:fill="E6ECF4"/>
          </w:tcPr>
          <w:p>
            <w:pPr>
              <w:spacing w:before="0" w:after="0"/>
            </w:pPr>
            <w:r>
              <w:rPr>
                <w:b/>
                <w:sz w:val="20"/>
              </w:rPr>
              <w:t>Step</w:t>
            </w:r>
          </w:p>
        </w:tc>
        <w:tc>
          <w:tcPr>
            <w:tcW w:type="dxa" w:w="1188"/>
            <w:shd w:val="clear" w:color="auto" w:fill="E6ECF4"/>
          </w:tcPr>
          <w:p>
            <w:pPr>
              <w:spacing w:before="0" w:after="0"/>
            </w:pPr>
            <w:r>
              <w:rPr>
                <w:b/>
                <w:sz w:val="20"/>
              </w:rPr>
              <w:t>Minutes</w:t>
            </w:r>
          </w:p>
        </w:tc>
        <w:tc>
          <w:tcPr>
            <w:tcW w:type="dxa" w:w="7586"/>
            <w:shd w:val="clear" w:color="auto" w:fill="E6ECF4"/>
          </w:tcPr>
          <w:p>
            <w:pPr>
              <w:spacing w:before="0" w:after="0"/>
            </w:pPr>
            <w:r>
              <w:rPr>
                <w:b/>
                <w:sz w:val="20"/>
              </w:rPr>
              <w:t>What you do</w:t>
            </w:r>
          </w:p>
        </w:tc>
      </w:tr>
      <w:tr>
        <w:trPr>
          <w:cantSplit/>
        </w:trPr>
        <w:tc>
          <w:tcPr>
            <w:tcW w:type="dxa" w:w="864"/>
          </w:tcPr>
          <w:p>
            <w:pPr>
              <w:spacing w:before="0" w:after="0"/>
            </w:pPr>
            <w:r>
              <w:rPr>
                <w:sz w:val="20"/>
              </w:rPr>
              <w:t>1</w:t>
            </w:r>
          </w:p>
        </w:tc>
        <w:tc>
          <w:tcPr>
            <w:tcW w:type="dxa" w:w="1188"/>
          </w:tcPr>
          <w:p>
            <w:pPr>
              <w:spacing w:before="0" w:after="0"/>
            </w:pPr>
            <w:r>
              <w:rPr>
                <w:sz w:val="20"/>
              </w:rPr>
              <w:t>5</w:t>
            </w:r>
          </w:p>
        </w:tc>
        <w:tc>
          <w:tcPr>
            <w:tcW w:type="dxa" w:w="7586"/>
          </w:tcPr>
          <w:p>
            <w:pPr>
              <w:spacing w:before="0" w:after="0"/>
            </w:pPr>
            <w:r>
              <w:rPr>
                <w:sz w:val="20"/>
              </w:rPr>
              <w:t>Say the coaching focus in one sentence: “From User Image to Decision Basis.” Say that in the next unit they will not describe, they will decide.</w:t>
            </w:r>
          </w:p>
        </w:tc>
      </w:tr>
      <w:tr>
        <w:trPr>
          <w:cantSplit/>
        </w:trPr>
        <w:tc>
          <w:tcPr>
            <w:tcW w:type="dxa" w:w="864"/>
          </w:tcPr>
          <w:p>
            <w:pPr>
              <w:spacing w:before="0" w:after="0"/>
            </w:pPr>
            <w:r>
              <w:rPr>
                <w:sz w:val="20"/>
              </w:rPr>
              <w:t>2</w:t>
            </w:r>
          </w:p>
        </w:tc>
        <w:tc>
          <w:tcPr>
            <w:tcW w:type="dxa" w:w="1188"/>
          </w:tcPr>
          <w:p>
            <w:pPr>
              <w:spacing w:before="0" w:after="0"/>
            </w:pPr>
            <w:r>
              <w:rPr>
                <w:sz w:val="20"/>
              </w:rPr>
              <w:t>10</w:t>
            </w:r>
          </w:p>
        </w:tc>
        <w:tc>
          <w:tcPr>
            <w:tcW w:type="dxa" w:w="7586"/>
          </w:tcPr>
          <w:p>
            <w:pPr>
              <w:spacing w:before="0" w:after="0"/>
            </w:pPr>
            <w:r>
              <w:rPr>
                <w:sz w:val="20"/>
              </w:rPr>
              <w:t>Pairs talk through the reflection questions; the notes go into Block 1.3 (never scored).</w:t>
            </w:r>
          </w:p>
        </w:tc>
      </w:tr>
      <w:tr>
        <w:trPr>
          <w:cantSplit/>
        </w:trPr>
        <w:tc>
          <w:tcPr>
            <w:tcW w:type="dxa" w:w="864"/>
          </w:tcPr>
          <w:p>
            <w:pPr>
              <w:spacing w:before="0" w:after="0"/>
            </w:pPr>
            <w:r>
              <w:rPr>
                <w:sz w:val="20"/>
              </w:rPr>
              <w:t>3</w:t>
            </w:r>
          </w:p>
        </w:tc>
        <w:tc>
          <w:tcPr>
            <w:tcW w:type="dxa" w:w="1188"/>
          </w:tcPr>
          <w:p>
            <w:pPr>
              <w:spacing w:before="0" w:after="0"/>
            </w:pPr>
            <w:r>
              <w:rPr>
                <w:sz w:val="20"/>
              </w:rPr>
              <w:t>15</w:t>
            </w:r>
          </w:p>
        </w:tc>
        <w:tc>
          <w:tcPr>
            <w:tcW w:type="dxa" w:w="7586"/>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4"/>
          </w:tcPr>
          <w:p>
            <w:pPr>
              <w:spacing w:before="0" w:after="0"/>
            </w:pPr>
            <w:r>
              <w:rPr>
                <w:sz w:val="20"/>
              </w:rPr>
              <w:t>4</w:t>
            </w:r>
          </w:p>
        </w:tc>
        <w:tc>
          <w:tcPr>
            <w:tcW w:type="dxa" w:w="1188"/>
          </w:tcPr>
          <w:p>
            <w:pPr>
              <w:spacing w:before="0" w:after="0"/>
            </w:pPr>
            <w:r>
              <w:rPr>
                <w:sz w:val="20"/>
              </w:rPr>
              <w:t>10</w:t>
            </w:r>
          </w:p>
        </w:tc>
        <w:tc>
          <w:tcPr>
            <w:tcW w:type="dxa" w:w="7586"/>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4"/>
          </w:tcPr>
          <w:p>
            <w:pPr>
              <w:spacing w:before="0" w:after="0"/>
            </w:pPr>
            <w:r>
              <w:rPr>
                <w:sz w:val="20"/>
              </w:rPr>
              <w:t>5</w:t>
            </w:r>
          </w:p>
        </w:tc>
        <w:tc>
          <w:tcPr>
            <w:tcW w:type="dxa" w:w="1188"/>
          </w:tcPr>
          <w:p>
            <w:pPr>
              <w:spacing w:before="0" w:after="0"/>
            </w:pPr>
            <w:r>
              <w:rPr>
                <w:sz w:val="20"/>
              </w:rPr>
              <w:t>5</w:t>
            </w:r>
          </w:p>
        </w:tc>
        <w:tc>
          <w:tcPr>
            <w:tcW w:type="dxa" w:w="7586"/>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(Optional) · Coaching reflection</w:t>
            </w:r>
          </w:p>
          <w:p>
            <w:pPr>
              <w:spacing w:before="0" w:after="100"/>
            </w:pPr>
            <w:r>
              <w:rPr>
                <w:b/>
              </w:rPr>
              <w:t>Model answer (an example).</w:t>
            </w:r>
            <w:r>
              <w:rPr/>
              <w:t xml:space="preserve"> For the working professional who studies in twenty minutes at night, not for “the learner” in general. The time-poor learner, because she is the largest group, and the organisation that pays decides on renewals through her usage. At the moment she returns after a break: nothing shows where she stopped.</w:t>
            </w:r>
          </w:p>
          <w:p>
            <w:pPr>
              <w:spacing w:before="0" w:after="100"/>
            </w:pPr>
            <w:r>
              <w:rPr>
                <w:b/>
              </w:rPr>
              <w:t>Why.</w:t>
            </w:r>
            <w:r>
              <w:rPr/>
              <w:t xml:space="preserve"> Reflection is never scored. The plan's coaching points: a persona is a decision tool, not a profile; many personas stay ineffective; a journey reveals systemic problems, not single errors.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Measures (as the plan lists them):</w:t>
      </w:r>
    </w:p>
    <w:p>
      <w:pPr>
        <w:pStyle w:val="ListBullet"/>
        <w:spacing w:before="0" w:after="40"/>
      </w:pPr>
      <w:r>
        <w:rPr/>
        <w:t>Different needs → different problems</w:t>
      </w:r>
    </w:p>
    <w:p>
      <w:pPr>
        <w:pStyle w:val="ListBullet"/>
        <w:spacing w:before="0" w:after="40"/>
      </w:pPr>
      <w:r>
        <w:rPr/>
        <w:t>Simplification for teachers</w:t>
      </w:r>
    </w:p>
    <w:p>
      <w:pPr>
        <w:pStyle w:val="ListBullet"/>
        <w:spacing w:before="0" w:after="40"/>
      </w:pPr>
      <w:r>
        <w:rPr/>
        <w:t>flexible learning formats for learners</w:t>
      </w:r>
    </w:p>
    <w:p>
      <w:pPr>
        <w:pStyle w:val="ListBullet"/>
        <w:spacing w:before="0" w:after="100"/>
      </w:pPr>
      <w:r>
        <w:rPr/>
        <w:t>clear structure for both</w:t>
      </w:r>
    </w:p>
    <w:p>
      <w:pPr>
        <w:spacing w:before="0" w:after="100"/>
      </w:pPr>
      <w:r>
        <w:rPr>
          <w:b/>
        </w:rPr>
        <w:t>Rationale (plan):</w:t>
      </w:r>
      <w:r>
        <w:rPr/>
        <w:t xml:space="preserve"> Segmentation = better UX decisions</w:t>
      </w:r>
    </w:p>
    <w:p>
      <w:pPr>
        <w:pStyle w:val="Heading2"/>
      </w:pPr>
      <w:r>
        <w:rPr/>
        <w:t>Block 2.1 · model answers (UE5–6)</w:t>
      </w:r>
    </w:p>
    <w:p>
      <w:pPr>
        <w:spacing w:before="0" w:after="100"/>
      </w:pPr>
      <w:r>
        <w:rPr>
          <w:i/>
        </w:rPr>
        <w:t>Block 2.1: The teacher persona and two journeys · Optional · about 7 min.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(Optional) · The teacher persona</w:t>
            </w:r>
          </w:p>
          <w:p>
            <w:pPr>
              <w:spacing w:before="0" w:after="100"/>
            </w:pPr>
            <w:r>
              <w:rPr>
                <w:b/>
              </w:rPr>
              <w:t>Model answer (an example).</w:t>
            </w:r>
            <w:r>
              <w:rPr/>
              <w:t xml:space="preserve"> Markus Feld, 44, a freelance trainer who builds courses. He wants to build and run courses with little effort and to reuse a unit in a second course (notes T1, T6). Uploading one unit takes three hours (T1), the editor has nine tabs and he uses two (T2), and he cannot see which learners are stuck (T3). He builds courses on Sunday evening at his desk (T1), unpaid time next to his own work.</w:t>
            </w:r>
          </w:p>
          <w:p>
            <w:pPr>
              <w:spacing w:before="0" w:after="100"/>
            </w:pPr>
            <w:r>
              <w:rPr>
                <w:b/>
              </w:rPr>
              <w:t>Why.</w:t>
            </w:r>
            <w:r>
              <w:rPr/>
              <w:t xml:space="preserve"> Materi A4: the teacher wants to build and run a course with little effort and to see how learners are doing; a different persona from the learner.</w:t>
            </w:r>
          </w:p>
          <w:p>
            <w:pPr>
              <w:spacing w:before="0" w:after="100"/>
            </w:pPr>
            <w:r>
              <w:rPr>
                <w:b/>
              </w:rPr>
              <w:t>Look for.</w:t>
            </w:r>
          </w:p>
          <w:p>
            <w:pPr>
              <w:pStyle w:val="ListBullet"/>
              <w:spacing w:before="0" w:after="40"/>
            </w:pPr>
            <w:r>
              <w:rPr/>
              <w:t>A teacher's goal, not a learner's.</w:t>
            </w:r>
          </w:p>
          <w:p>
            <w:pPr>
              <w:pStyle w:val="ListBullet"/>
              <w:spacing w:before="0" w:after="40"/>
            </w:pPr>
            <w:r>
              <w:rPr/>
              <w:t>Cites T-notes.</w:t>
            </w:r>
          </w:p>
          <w:p>
            <w:pPr>
              <w:pStyle w:val="ListBullet"/>
              <w:spacing w:before="0" w:after="100"/>
            </w:pPr>
            <w:r>
              <w:rPr/>
              <w:t>A context of use.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(Optional) · A pain point that appears for two groups</w:t>
            </w:r>
          </w:p>
          <w:p>
            <w:pPr>
              <w:spacing w:before="0" w:after="100"/>
            </w:pPr>
            <w:r>
              <w:rPr>
                <w:b/>
              </w:rPr>
              <w:t>Model answer (an example).</w:t>
            </w:r>
            <w:r>
              <w:rPr/>
              <w:t xml:space="preserve"> Both the learner and the teacher cannot see where someone is: she does not know where she stopped, he does not know who is stuck. That suggests the cause is the missing view of the course path, not two separate screens.</w:t>
            </w:r>
          </w:p>
          <w:p>
            <w:pPr>
              <w:spacing w:before="0" w:after="100"/>
            </w:pPr>
            <w:r>
              <w:rPr>
                <w:b/>
              </w:rPr>
              <w:t>Why.</w:t>
            </w:r>
            <w:r>
              <w:rPr/>
              <w:t xml:space="preserve"> Materi A3: look for a pain point that recurs across personas; it points to a systemic cause that one fix can remove.</w:t>
            </w:r>
          </w:p>
          <w:p>
            <w:pPr>
              <w:spacing w:before="0" w:after="100"/>
            </w:pPr>
            <w:r>
              <w:rPr>
                <w:b/>
              </w:rPr>
              <w:t>Look for.</w:t>
            </w:r>
          </w:p>
          <w:p>
            <w:pPr>
              <w:pStyle w:val="ListBullet"/>
              <w:spacing w:before="0" w:after="40"/>
            </w:pPr>
            <w:r>
              <w:rPr/>
              <w:t>Names a pain point for two groups.</w:t>
            </w:r>
          </w:p>
          <w:p>
            <w:pPr>
              <w:pStyle w:val="ListBullet"/>
              <w:spacing w:before="0" w:after="100"/>
            </w:pPr>
            <w:r>
              <w:rPr/>
              <w:t>Names a cause in the process, not a single screen.</w:t>
            </w:r>
          </w:p>
        </w:tc>
      </w:tr>
    </w:tbl>
    <w:p>
      <w:pPr>
        <w:spacing w:before="0" w:after="80"/>
      </w:pPr>
    </w:p>
    <w:p>
      <w:pPr>
        <w:pStyle w:val="Heading2"/>
      </w:pPr>
      <w:r>
        <w:rPr/>
        <w:t>Block 2.2 · model answers (UE5–6)</w:t>
      </w:r>
    </w:p>
    <w:p>
      <w:pPr>
        <w:spacing w:before="0" w:after="100"/>
      </w:pPr>
      <w:r>
        <w:rPr>
          <w:i/>
        </w:rPr>
        <w:t>Block 2.2: Four measures, rated and ordered · Core · about 17 min.</w:t>
      </w:r>
    </w:p>
    <w:p>
      <w:pPr>
        <w:pStyle w:val="Heading3"/>
      </w:pPr>
      <w:r>
        <w:rPr/>
        <w:t>Reference: Choose four measures, rate them, name the pain point, order them</w:t>
      </w:r>
    </w:p>
    <w:p>
      <w:pPr>
        <w:spacing w:before="0" w:after="100"/>
      </w:pPr>
      <w:r>
        <w:rPr>
          <w:b/>
        </w:rPr>
        <w:t>Reference answer.</w:t>
      </w:r>
      <w:r>
        <w:rPr/>
        <w:t xml:space="preserve"> “Where I stopped”; Flexible learning formats; One clear course structure; A view of stuck learners. Total €45,000 of €45,000, longest 6 weeks of 13.</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38"/>
        <w:gridCol w:w="1352"/>
        <w:gridCol w:w="6148"/>
      </w:tblGrid>
      <w:tr>
        <w:trPr>
          <w:cantSplit/>
          <w:tblHeader/>
        </w:trPr>
        <w:tc>
          <w:tcPr>
            <w:tcW w:type="dxa" w:w="2138"/>
            <w:shd w:val="clear" w:color="auto" w:fill="E6ECF4"/>
          </w:tcPr>
          <w:p>
            <w:pPr>
              <w:spacing w:before="0" w:after="0"/>
            </w:pPr>
            <w:r>
              <w:rPr>
                <w:b/>
                <w:sz w:val="20"/>
              </w:rPr>
              <w:t>Option</w:t>
            </w:r>
          </w:p>
        </w:tc>
        <w:tc>
          <w:tcPr>
            <w:tcW w:type="dxa" w:w="1352"/>
            <w:shd w:val="clear" w:color="auto" w:fill="E6ECF4"/>
          </w:tcPr>
          <w:p>
            <w:pPr>
              <w:spacing w:before="0" w:after="0"/>
            </w:pPr>
            <w:r>
              <w:rPr>
                <w:b/>
                <w:sz w:val="20"/>
              </w:rPr>
              <w:t>In the reference answer?</w:t>
            </w:r>
          </w:p>
        </w:tc>
        <w:tc>
          <w:tcPr>
            <w:tcW w:type="dxa" w:w="6148"/>
            <w:shd w:val="clear" w:color="auto" w:fill="E6ECF4"/>
          </w:tcPr>
          <w:p>
            <w:pPr>
              <w:spacing w:before="0" w:after="0"/>
            </w:pPr>
            <w:r>
              <w:rPr>
                <w:b/>
                <w:sz w:val="20"/>
              </w:rPr>
              <w:t>Why</w:t>
            </w:r>
          </w:p>
        </w:tc>
      </w:tr>
      <w:tr>
        <w:trPr>
          <w:cantSplit/>
        </w:trPr>
        <w:tc>
          <w:tcPr>
            <w:tcW w:type="dxa" w:w="2138"/>
          </w:tcPr>
          <w:p>
            <w:pPr>
              <w:spacing w:before="0" w:after="0"/>
            </w:pPr>
            <w:r>
              <w:rPr>
                <w:sz w:val="20"/>
              </w:rPr>
              <w:t>M1 · Flexible learning formats</w:t>
            </w:r>
          </w:p>
        </w:tc>
        <w:tc>
          <w:tcPr>
            <w:tcW w:type="dxa" w:w="1352"/>
          </w:tcPr>
          <w:p>
            <w:pPr>
              <w:spacing w:before="0" w:after="0"/>
            </w:pPr>
            <w:r>
              <w:rPr>
                <w:sz w:val="20"/>
              </w:rPr>
              <w:t>Yes</w:t>
            </w:r>
          </w:p>
        </w:tc>
        <w:tc>
          <w:tcPr>
            <w:tcW w:type="dxa" w:w="6148"/>
          </w:tcPr>
          <w:p>
            <w:pPr>
              <w:spacing w:before="0" w:after="0"/>
            </w:pPr>
            <w:r>
              <w:rPr>
                <w:sz w:val="20"/>
              </w:rPr>
              <w:t>Reference measure (learners). Effort High by the printed cost €16,000. Reference ratings: user impact High, risk Mid.</w:t>
            </w:r>
          </w:p>
        </w:tc>
      </w:tr>
      <w:tr>
        <w:trPr>
          <w:cantSplit/>
        </w:trPr>
        <w:tc>
          <w:tcPr>
            <w:tcW w:type="dxa" w:w="2138"/>
          </w:tcPr>
          <w:p>
            <w:pPr>
              <w:spacing w:before="0" w:after="0"/>
            </w:pPr>
            <w:r>
              <w:rPr>
                <w:sz w:val="20"/>
              </w:rPr>
              <w:t>M2 · “Where I stopped”</w:t>
            </w:r>
          </w:p>
        </w:tc>
        <w:tc>
          <w:tcPr>
            <w:tcW w:type="dxa" w:w="1352"/>
          </w:tcPr>
          <w:p>
            <w:pPr>
              <w:spacing w:before="0" w:after="0"/>
            </w:pPr>
            <w:r>
              <w:rPr>
                <w:sz w:val="20"/>
              </w:rPr>
              <w:t>Yes</w:t>
            </w:r>
          </w:p>
        </w:tc>
        <w:tc>
          <w:tcPr>
            <w:tcW w:type="dxa" w:w="6148"/>
          </w:tcPr>
          <w:p>
            <w:pPr>
              <w:spacing w:before="0" w:after="0"/>
            </w:pPr>
            <w:r>
              <w:rPr>
                <w:sz w:val="20"/>
              </w:rPr>
              <w:t>Reference measure (learners). Effort Low by the printed cost €6,000. Reference ratings: user impact High, risk Low.</w:t>
            </w:r>
          </w:p>
        </w:tc>
      </w:tr>
      <w:tr>
        <w:trPr>
          <w:cantSplit/>
        </w:trPr>
        <w:tc>
          <w:tcPr>
            <w:tcW w:type="dxa" w:w="2138"/>
          </w:tcPr>
          <w:p>
            <w:pPr>
              <w:spacing w:before="0" w:after="0"/>
            </w:pPr>
            <w:r>
              <w:rPr>
                <w:sz w:val="20"/>
              </w:rPr>
              <w:t>M3 · A simpler course editor</w:t>
            </w:r>
          </w:p>
        </w:tc>
        <w:tc>
          <w:tcPr>
            <w:tcW w:type="dxa" w:w="1352"/>
          </w:tcPr>
          <w:p>
            <w:pPr>
              <w:spacing w:before="0" w:after="0"/>
            </w:pPr>
            <w:r>
              <w:rPr>
                <w:sz w:val="20"/>
              </w:rPr>
              <w:t>No</w:t>
            </w:r>
          </w:p>
        </w:tc>
        <w:tc>
          <w:tcPr>
            <w:tcW w:type="dxa" w:w="6148"/>
          </w:tcPr>
          <w:p>
            <w:pPr>
              <w:spacing w:before="0" w:after="0"/>
            </w:pPr>
            <w:r>
              <w:rPr>
                <w:sz w:val="20"/>
              </w:rPr>
              <w:t>Defendable: it answers T2 for the teachers. A learner who takes it instead of the stuck-learners view stays on the teacher side and should say which teacher pain point it answers.</w:t>
            </w:r>
          </w:p>
        </w:tc>
      </w:tr>
      <w:tr>
        <w:trPr>
          <w:cantSplit/>
        </w:trPr>
        <w:tc>
          <w:tcPr>
            <w:tcW w:type="dxa" w:w="2138"/>
          </w:tcPr>
          <w:p>
            <w:pPr>
              <w:spacing w:before="0" w:after="0"/>
            </w:pPr>
            <w:r>
              <w:rPr>
                <w:sz w:val="20"/>
              </w:rPr>
              <w:t>M4 · A view of stuck learners</w:t>
            </w:r>
          </w:p>
        </w:tc>
        <w:tc>
          <w:tcPr>
            <w:tcW w:type="dxa" w:w="1352"/>
          </w:tcPr>
          <w:p>
            <w:pPr>
              <w:spacing w:before="0" w:after="0"/>
            </w:pPr>
            <w:r>
              <w:rPr>
                <w:sz w:val="20"/>
              </w:rPr>
              <w:t>Yes</w:t>
            </w:r>
          </w:p>
        </w:tc>
        <w:tc>
          <w:tcPr>
            <w:tcW w:type="dxa" w:w="6148"/>
          </w:tcPr>
          <w:p>
            <w:pPr>
              <w:spacing w:before="0" w:after="0"/>
            </w:pPr>
            <w:r>
              <w:rPr>
                <w:sz w:val="20"/>
              </w:rPr>
              <w:t>Reference measure (teachers). Effort Mid by the printed cost €12,000. Reference ratings: user impact Mid, risk Low.</w:t>
            </w:r>
          </w:p>
        </w:tc>
      </w:tr>
      <w:tr>
        <w:trPr>
          <w:cantSplit/>
        </w:trPr>
        <w:tc>
          <w:tcPr>
            <w:tcW w:type="dxa" w:w="2138"/>
          </w:tcPr>
          <w:p>
            <w:pPr>
              <w:spacing w:before="0" w:after="0"/>
            </w:pPr>
            <w:r>
              <w:rPr>
                <w:sz w:val="20"/>
              </w:rPr>
              <w:t>M5 · Reusable units</w:t>
            </w:r>
          </w:p>
        </w:tc>
        <w:tc>
          <w:tcPr>
            <w:tcW w:type="dxa" w:w="1352"/>
          </w:tcPr>
          <w:p>
            <w:pPr>
              <w:spacing w:before="0" w:after="0"/>
            </w:pPr>
            <w:r>
              <w:rPr>
                <w:sz w:val="20"/>
              </w:rPr>
              <w:t>No</w:t>
            </w:r>
          </w:p>
        </w:tc>
        <w:tc>
          <w:tcPr>
            <w:tcW w:type="dxa" w:w="6148"/>
          </w:tcPr>
          <w:p>
            <w:pPr>
              <w:spacing w:before="0" w:after="0"/>
            </w:pPr>
            <w:r>
              <w:rPr>
                <w:sz w:val="20"/>
              </w:rPr>
              <w:t>Defendable and cheap (€9,000): it answers T6. Strong if the learner says how many teachers it reaches.</w:t>
            </w:r>
          </w:p>
        </w:tc>
      </w:tr>
      <w:tr>
        <w:trPr>
          <w:cantSplit/>
        </w:trPr>
        <w:tc>
          <w:tcPr>
            <w:tcW w:type="dxa" w:w="2138"/>
          </w:tcPr>
          <w:p>
            <w:pPr>
              <w:spacing w:before="0" w:after="0"/>
            </w:pPr>
            <w:r>
              <w:rPr>
                <w:sz w:val="20"/>
              </w:rPr>
              <w:t>M6 · One clear course structure</w:t>
            </w:r>
          </w:p>
        </w:tc>
        <w:tc>
          <w:tcPr>
            <w:tcW w:type="dxa" w:w="1352"/>
          </w:tcPr>
          <w:p>
            <w:pPr>
              <w:spacing w:before="0" w:after="0"/>
            </w:pPr>
            <w:r>
              <w:rPr>
                <w:sz w:val="20"/>
              </w:rPr>
              <w:t>Yes</w:t>
            </w:r>
          </w:p>
        </w:tc>
        <w:tc>
          <w:tcPr>
            <w:tcW w:type="dxa" w:w="6148"/>
          </w:tcPr>
          <w:p>
            <w:pPr>
              <w:spacing w:before="0" w:after="0"/>
            </w:pPr>
            <w:r>
              <w:rPr>
                <w:sz w:val="20"/>
              </w:rPr>
              <w:t>Reference measure (both). Effort Mid by the printed cost €11,000. Reference ratings: user impact Mid, risk Low.</w:t>
            </w:r>
          </w:p>
        </w:tc>
      </w:tr>
      <w:tr>
        <w:trPr>
          <w:cantSplit/>
        </w:trPr>
        <w:tc>
          <w:tcPr>
            <w:tcW w:type="dxa" w:w="2138"/>
          </w:tcPr>
          <w:p>
            <w:pPr>
              <w:spacing w:before="0" w:after="0"/>
            </w:pPr>
            <w:r>
              <w:rPr>
                <w:sz w:val="20"/>
              </w:rPr>
              <w:t>M7 · An automatic monthly report</w:t>
            </w:r>
          </w:p>
        </w:tc>
        <w:tc>
          <w:tcPr>
            <w:tcW w:type="dxa" w:w="1352"/>
          </w:tcPr>
          <w:p>
            <w:pPr>
              <w:spacing w:before="0" w:after="0"/>
            </w:pPr>
            <w:r>
              <w:rPr>
                <w:sz w:val="20"/>
              </w:rPr>
              <w:t>No</w:t>
            </w:r>
          </w:p>
        </w:tc>
        <w:tc>
          <w:tcPr>
            <w:tcW w:type="dxa" w:w="6148"/>
          </w:tcPr>
          <w:p>
            <w:pPr>
              <w:spacing w:before="0" w:after="0"/>
            </w:pPr>
            <w:r>
              <w:rPr>
                <w:sz w:val="20"/>
              </w:rPr>
              <w:t>Defendable: €7,000 for the training managers, who decide renewals (T5). It is the cheapest way to reach the third group; as one of four it leaves a learner measure out.</w:t>
            </w:r>
          </w:p>
        </w:tc>
      </w:tr>
      <w:tr>
        <w:trPr>
          <w:cantSplit/>
        </w:trPr>
        <w:tc>
          <w:tcPr>
            <w:tcW w:type="dxa" w:w="2138"/>
          </w:tcPr>
          <w:p>
            <w:pPr>
              <w:spacing w:before="0" w:after="0"/>
            </w:pPr>
            <w:r>
              <w:rPr>
                <w:sz w:val="20"/>
              </w:rPr>
              <w:t>M8 · Badges for all users</w:t>
            </w:r>
          </w:p>
        </w:tc>
        <w:tc>
          <w:tcPr>
            <w:tcW w:type="dxa" w:w="1352"/>
          </w:tcPr>
          <w:p>
            <w:pPr>
              <w:spacing w:before="0" w:after="0"/>
            </w:pPr>
            <w:r>
              <w:rPr>
                <w:sz w:val="20"/>
              </w:rPr>
              <w:t>No</w:t>
            </w:r>
          </w:p>
        </w:tc>
        <w:tc>
          <w:tcPr>
            <w:tcW w:type="dxa" w:w="6148"/>
          </w:tcPr>
          <w:p>
            <w:pPr>
              <w:spacing w:before="0" w:after="0"/>
            </w:pPr>
            <w:r>
              <w:rPr>
                <w:sz w:val="20"/>
              </w:rPr>
              <w:t>Rejected: €18,000 for badges that answer no pain point in the notes; it is the typical decoration (Materi A5).</w:t>
            </w:r>
          </w:p>
        </w:tc>
      </w:tr>
      <w:tr>
        <w:trPr>
          <w:cantSplit/>
        </w:trPr>
        <w:tc>
          <w:tcPr>
            <w:tcW w:type="dxa" w:w="2138"/>
          </w:tcPr>
          <w:p>
            <w:pPr>
              <w:spacing w:before="0" w:after="0"/>
            </w:pPr>
            <w:r>
              <w:rPr>
                <w:sz w:val="20"/>
              </w:rPr>
              <w:t>M9 · A new brand look</w:t>
            </w:r>
          </w:p>
        </w:tc>
        <w:tc>
          <w:tcPr>
            <w:tcW w:type="dxa" w:w="1352"/>
          </w:tcPr>
          <w:p>
            <w:pPr>
              <w:spacing w:before="0" w:after="0"/>
            </w:pPr>
            <w:r>
              <w:rPr>
                <w:sz w:val="20"/>
              </w:rPr>
              <w:t>No</w:t>
            </w:r>
          </w:p>
        </w:tc>
        <w:tc>
          <w:tcPr>
            <w:tcW w:type="dxa" w:w="6148"/>
          </w:tcPr>
          <w:p>
            <w:pPr>
              <w:spacing w:before="0" w:after="0"/>
            </w:pPr>
            <w:r>
              <w:rPr>
                <w:sz w:val="20"/>
              </w:rPr>
              <w:t>Rejected: €25,000 for a new look that touches no pain point of any persona; impact on every persona is Low.</w:t>
            </w:r>
          </w:p>
        </w:tc>
      </w:tr>
    </w:tbl>
    <w:p>
      <w:pPr>
        <w:spacing w:before="0" w:after="80"/>
      </w:pPr>
    </w:p>
    <w:p>
      <w:pPr>
        <w:spacing w:before="0" w:after="100"/>
      </w:pPr>
      <w:r>
        <w:rPr>
          <w:i/>
        </w:rPr>
        <w:t>Trainer note.</w:t>
      </w:r>
      <w:r>
        <w:rPr/>
        <w:t xml:space="preserve"> The reference four measures cover learners (M1, M2), both groups (M6) and teachers (M4) and cost exactly the case's €45,000 (a Case assumption). The organisations' complaint is answered through learners who finish. The pain point each measure answers must name a persona and a phase.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“Where I stopped” goes first: it answers the learner's lowest point, costs the least (€6,000, two weeks) and is done before the larger measures start. Flexible formats follow because they need the longest.</w:t>
            </w:r>
          </w:p>
          <w:p>
            <w:pPr>
              <w:spacing w:before="0" w:after="100"/>
            </w:pPr>
            <w:r>
              <w:rPr>
                <w:b/>
              </w:rPr>
              <w:t>Why.</w:t>
            </w:r>
            <w:r>
              <w:rPr/>
              <w:t xml:space="preserve"> A reason for position one: the persona and the pain point it answers, the cost, or what the others depend on. Segmentation helps: name the group you give most weight.</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Names the group it weighs most.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whether learners leave because the lesson is too long or because they cannot find their place. I would interview five learners who stopped and look at where in the lesson they left.</w:t>
            </w:r>
          </w:p>
          <w:p>
            <w:pPr>
              <w:spacing w:before="0" w:after="100"/>
            </w:pPr>
            <w:r>
              <w:rPr>
                <w:b/>
              </w:rPr>
              <w:t>Why.</w:t>
            </w:r>
            <w:r>
              <w:rPr/>
              <w:t xml:space="preserve"> The plan asks it outright. A good answer names a specific unknown that would change the decision, and a way to find it out.</w:t>
            </w:r>
          </w:p>
          <w:p>
            <w:pPr>
              <w:spacing w:before="0" w:after="100"/>
            </w:pPr>
            <w:r>
              <w:rPr>
                <w:b/>
              </w:rPr>
              <w:t>Look for.</w:t>
            </w:r>
          </w:p>
          <w:p>
            <w:pPr>
              <w:pStyle w:val="ListBullet"/>
              <w:spacing w:before="0" w:after="40"/>
            </w:pPr>
            <w:r>
              <w:rPr/>
              <w:t>Names a specific unknown, not “more data”.</w:t>
            </w:r>
          </w:p>
          <w:p>
            <w:pPr>
              <w:pStyle w:val="ListBullet"/>
              <w:spacing w:before="0" w:after="100"/>
            </w:pPr>
            <w:r>
              <w:rPr/>
              <w:t>Says how it could be found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83"/>
        <w:gridCol w:w="1207"/>
        <w:gridCol w:w="7548"/>
      </w:tblGrid>
      <w:tr>
        <w:trPr>
          <w:cantSplit/>
          <w:tblHeader/>
        </w:trPr>
        <w:tc>
          <w:tcPr>
            <w:tcW w:type="dxa" w:w="883"/>
            <w:shd w:val="clear" w:color="auto" w:fill="E6ECF4"/>
          </w:tcPr>
          <w:p>
            <w:pPr>
              <w:spacing w:before="0" w:after="0"/>
            </w:pPr>
            <w:r>
              <w:rPr>
                <w:b/>
                <w:sz w:val="20"/>
              </w:rPr>
              <w:t>Step</w:t>
            </w:r>
          </w:p>
        </w:tc>
        <w:tc>
          <w:tcPr>
            <w:tcW w:type="dxa" w:w="1207"/>
            <w:shd w:val="clear" w:color="auto" w:fill="E6ECF4"/>
          </w:tcPr>
          <w:p>
            <w:pPr>
              <w:spacing w:before="0" w:after="0"/>
            </w:pPr>
            <w:r>
              <w:rPr>
                <w:b/>
                <w:sz w:val="20"/>
              </w:rPr>
              <w:t>Minutes</w:t>
            </w:r>
          </w:p>
        </w:tc>
        <w:tc>
          <w:tcPr>
            <w:tcW w:type="dxa" w:w="7548"/>
            <w:shd w:val="clear" w:color="auto" w:fill="E6ECF4"/>
          </w:tcPr>
          <w:p>
            <w:pPr>
              <w:spacing w:before="0" w:after="0"/>
            </w:pPr>
            <w:r>
              <w:rPr>
                <w:b/>
                <w:sz w:val="20"/>
              </w:rPr>
              <w:t>What you do</w:t>
            </w:r>
          </w:p>
        </w:tc>
      </w:tr>
      <w:tr>
        <w:trPr>
          <w:cantSplit/>
        </w:trPr>
        <w:tc>
          <w:tcPr>
            <w:tcW w:type="dxa" w:w="883"/>
          </w:tcPr>
          <w:p>
            <w:pPr>
              <w:spacing w:before="0" w:after="0"/>
            </w:pPr>
            <w:r>
              <w:rPr>
                <w:sz w:val="20"/>
              </w:rPr>
              <w:t>1</w:t>
            </w:r>
          </w:p>
        </w:tc>
        <w:tc>
          <w:tcPr>
            <w:tcW w:type="dxa" w:w="1207"/>
          </w:tcPr>
          <w:p>
            <w:pPr>
              <w:spacing w:before="0" w:after="0"/>
            </w:pPr>
            <w:r>
              <w:rPr>
                <w:sz w:val="20"/>
              </w:rPr>
              <w:t>15</w:t>
            </w:r>
          </w:p>
        </w:tc>
        <w:tc>
          <w:tcPr>
            <w:tcW w:type="dxa" w:w="7548"/>
          </w:tcPr>
          <w:p>
            <w:pPr>
              <w:spacing w:before="0" w:after="0"/>
            </w:pPr>
            <w:r>
              <w:rPr>
                <w:sz w:val="20"/>
              </w:rPr>
              <w:t>Groups of three or four compare their four measures and their order. They name where they differ and why.</w:t>
            </w:r>
          </w:p>
        </w:tc>
      </w:tr>
      <w:tr>
        <w:trPr>
          <w:cantSplit/>
        </w:trPr>
        <w:tc>
          <w:tcPr>
            <w:tcW w:type="dxa" w:w="883"/>
          </w:tcPr>
          <w:p>
            <w:pPr>
              <w:spacing w:before="0" w:after="0"/>
            </w:pPr>
            <w:r>
              <w:rPr>
                <w:sz w:val="20"/>
              </w:rPr>
              <w:t>2</w:t>
            </w:r>
          </w:p>
        </w:tc>
        <w:tc>
          <w:tcPr>
            <w:tcW w:type="dxa" w:w="1207"/>
          </w:tcPr>
          <w:p>
            <w:pPr>
              <w:spacing w:before="0" w:after="0"/>
            </w:pPr>
            <w:r>
              <w:rPr>
                <w:sz w:val="20"/>
              </w:rPr>
              <w:t>15</w:t>
            </w:r>
          </w:p>
        </w:tc>
        <w:tc>
          <w:tcPr>
            <w:tcW w:type="dxa" w:w="7548"/>
          </w:tcPr>
          <w:p>
            <w:pPr>
              <w:spacing w:before="0" w:after="0"/>
            </w:pPr>
            <w:r>
              <w:rPr>
                <w:sz w:val="20"/>
              </w:rPr>
              <w:t>Each group gives the reason for its first priority in one sentence. Write the reasons on a board; do not write the measures.</w:t>
            </w:r>
          </w:p>
        </w:tc>
      </w:tr>
      <w:tr>
        <w:trPr>
          <w:cantSplit/>
        </w:trPr>
        <w:tc>
          <w:tcPr>
            <w:tcW w:type="dxa" w:w="883"/>
          </w:tcPr>
          <w:p>
            <w:pPr>
              <w:spacing w:before="0" w:after="0"/>
            </w:pPr>
            <w:r>
              <w:rPr>
                <w:sz w:val="20"/>
              </w:rPr>
              <w:t>3</w:t>
            </w:r>
          </w:p>
        </w:tc>
        <w:tc>
          <w:tcPr>
            <w:tcW w:type="dxa" w:w="1207"/>
          </w:tcPr>
          <w:p>
            <w:pPr>
              <w:spacing w:before="0" w:after="0"/>
            </w:pPr>
            <w:r>
              <w:rPr>
                <w:sz w:val="20"/>
              </w:rPr>
              <w:t>10</w:t>
            </w:r>
          </w:p>
        </w:tc>
        <w:tc>
          <w:tcPr>
            <w:tcW w:type="dxa" w:w="7548"/>
          </w:tcPr>
          <w:p>
            <w:pPr>
              <w:spacing w:before="0" w:after="0"/>
            </w:pPr>
            <w:r>
              <w:rPr>
                <w:sz w:val="20"/>
              </w:rPr>
              <w:t>Show the plan's core logic and the rationale line (“Segmentation = better UX decisions”). Ask: where does a different order still defend?</w:t>
            </w:r>
          </w:p>
        </w:tc>
      </w:tr>
      <w:tr>
        <w:trPr>
          <w:cantSplit/>
        </w:trPr>
        <w:tc>
          <w:tcPr>
            <w:tcW w:type="dxa" w:w="883"/>
          </w:tcPr>
          <w:p>
            <w:pPr>
              <w:spacing w:before="0" w:after="0"/>
            </w:pPr>
            <w:r>
              <w:rPr>
                <w:sz w:val="20"/>
              </w:rPr>
              <w:t>4</w:t>
            </w:r>
          </w:p>
        </w:tc>
        <w:tc>
          <w:tcPr>
            <w:tcW w:type="dxa" w:w="1207"/>
          </w:tcPr>
          <w:p>
            <w:pPr>
              <w:spacing w:before="0" w:after="0"/>
            </w:pPr>
            <w:r>
              <w:rPr>
                <w:sz w:val="20"/>
              </w:rPr>
              <w:t>5</w:t>
            </w:r>
          </w:p>
        </w:tc>
        <w:tc>
          <w:tcPr>
            <w:tcW w:type="dxa" w:w="7548"/>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personas &amp; journeys</w:t>
      </w:r>
    </w:p>
    <w:p>
      <w:pPr>
        <w:spacing w:before="0" w:after="100"/>
      </w:pPr>
      <w:r>
        <w:rPr>
          <w:b/>
        </w:rPr>
        <w:t>Level 3 input: ask these questions.</w:t>
      </w:r>
    </w:p>
    <w:p>
      <w:pPr>
        <w:pStyle w:val="ListBullet"/>
        <w:spacing w:before="0" w:after="40"/>
      </w:pPr>
      <w:r>
        <w:rPr/>
        <w:t>Which persona is business-critical?</w:t>
      </w:r>
    </w:p>
    <w:p>
      <w:pPr>
        <w:pStyle w:val="ListBullet"/>
        <w:spacing w:before="0" w:after="40"/>
      </w:pPr>
      <w:r>
        <w:rPr/>
        <w:t>Which journey causes the most problems?</w:t>
      </w:r>
    </w:p>
    <w:p>
      <w:pPr>
        <w:pStyle w:val="ListBullet"/>
        <w:spacing w:before="0" w:after="100"/>
      </w:pPr>
      <w:r>
        <w:rPr/>
        <w:t>Where does optimization pay off the most?</w:t>
      </w:r>
    </w:p>
    <w:p>
      <w:pPr>
        <w:spacing w:before="0" w:after="100"/>
      </w:pPr>
      <w:r>
        <w:rPr>
          <w:b/>
        </w:rPr>
        <w:t>Discussion.</w:t>
      </w:r>
    </w:p>
    <w:p>
      <w:pPr>
        <w:pStyle w:val="ListBullet"/>
        <w:spacing w:before="0" w:after="40"/>
      </w:pPr>
      <w:r>
        <w:rPr/>
        <w:t>Prioritization of user groups</w:t>
      </w:r>
    </w:p>
    <w:p>
      <w:pPr>
        <w:pStyle w:val="ListBullet"/>
        <w:spacing w:before="0" w:after="100"/>
      </w:pPr>
      <w:r>
        <w:rPr/>
        <w:t>UX as steering of user flows</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segments with conflicting needs</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Head of UX Strategy.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046"/>
        <w:gridCol w:w="4592"/>
      </w:tblGrid>
      <w:tr>
        <w:trPr>
          <w:cantSplit/>
          <w:tblHeader/>
        </w:trPr>
        <w:tc>
          <w:tcPr>
            <w:tcW w:type="dxa" w:w="5046"/>
            <w:shd w:val="clear" w:color="auto" w:fill="E6ECF4"/>
          </w:tcPr>
          <w:p>
            <w:pPr>
              <w:spacing w:before="0" w:after="0"/>
            </w:pPr>
            <w:r>
              <w:rPr>
                <w:b/>
                <w:sz w:val="20"/>
              </w:rPr>
              <w:t>Plan item</w:t>
            </w:r>
          </w:p>
        </w:tc>
        <w:tc>
          <w:tcPr>
            <w:tcW w:type="dxa" w:w="4592"/>
            <w:shd w:val="clear" w:color="auto" w:fill="E6ECF4"/>
          </w:tcPr>
          <w:p>
            <w:pPr>
              <w:spacing w:before="0" w:after="0"/>
            </w:pPr>
            <w:r>
              <w:rPr>
                <w:b/>
                <w:sz w:val="20"/>
              </w:rPr>
              <w:t>Where the worksheet answers it</w:t>
            </w:r>
          </w:p>
        </w:tc>
      </w:tr>
      <w:tr>
        <w:trPr>
          <w:cantSplit/>
        </w:trPr>
        <w:tc>
          <w:tcPr>
            <w:tcW w:type="dxa" w:w="5046"/>
          </w:tcPr>
          <w:p>
            <w:pPr>
              <w:spacing w:before="0" w:after="0"/>
            </w:pPr>
            <w:r>
              <w:rPr>
                <w:sz w:val="20"/>
              </w:rPr>
              <w:t>1. Definition of 2–3 strategic personas</w:t>
            </w:r>
          </w:p>
        </w:tc>
        <w:tc>
          <w:tcPr>
            <w:tcW w:type="dxa" w:w="4592"/>
          </w:tcPr>
          <w:p>
            <w:pPr>
              <w:spacing w:before="0" w:after="0"/>
            </w:pPr>
            <w:r>
              <w:rPr>
                <w:sz w:val="20"/>
              </w:rPr>
              <w:t>Block 3.1 (strategic personas)</w:t>
            </w:r>
          </w:p>
        </w:tc>
      </w:tr>
      <w:tr>
        <w:trPr>
          <w:cantSplit/>
        </w:trPr>
        <w:tc>
          <w:tcPr>
            <w:tcW w:type="dxa" w:w="5046"/>
          </w:tcPr>
          <w:p>
            <w:pPr>
              <w:spacing w:before="0" w:after="0"/>
            </w:pPr>
            <w:r>
              <w:rPr>
                <w:sz w:val="20"/>
              </w:rPr>
              <w:t>2. Selection of the most important target group</w:t>
            </w:r>
          </w:p>
        </w:tc>
        <w:tc>
          <w:tcPr>
            <w:tcW w:type="dxa" w:w="4592"/>
          </w:tcPr>
          <w:p>
            <w:pPr>
              <w:spacing w:before="0" w:after="0"/>
            </w:pPr>
            <w:r>
              <w:rPr>
                <w:sz w:val="20"/>
              </w:rPr>
              <w:t>Block 3.1 (the target group and why)</w:t>
            </w:r>
          </w:p>
        </w:tc>
      </w:tr>
      <w:tr>
        <w:trPr>
          <w:cantSplit/>
        </w:trPr>
        <w:tc>
          <w:tcPr>
            <w:tcW w:type="dxa" w:w="5046"/>
          </w:tcPr>
          <w:p>
            <w:pPr>
              <w:spacing w:before="0" w:after="0"/>
            </w:pPr>
            <w:r>
              <w:rPr>
                <w:sz w:val="20"/>
              </w:rPr>
              <w:t>3. Mapping of the most critical user journey</w:t>
            </w:r>
          </w:p>
        </w:tc>
        <w:tc>
          <w:tcPr>
            <w:tcW w:type="dxa" w:w="4592"/>
          </w:tcPr>
          <w:p>
            <w:pPr>
              <w:spacing w:before="0" w:after="0"/>
            </w:pPr>
            <w:r>
              <w:rPr>
                <w:sz w:val="20"/>
              </w:rPr>
              <w:t>Block 3.2 (the critical journey)</w:t>
            </w:r>
          </w:p>
        </w:tc>
      </w:tr>
      <w:tr>
        <w:trPr>
          <w:cantSplit/>
        </w:trPr>
        <w:tc>
          <w:tcPr>
            <w:tcW w:type="dxa" w:w="5046"/>
          </w:tcPr>
          <w:p>
            <w:pPr>
              <w:spacing w:before="0" w:after="0"/>
            </w:pPr>
            <w:r>
              <w:rPr>
                <w:sz w:val="20"/>
              </w:rPr>
              <w:t>4. Identification of the 3 biggest problems</w:t>
            </w:r>
          </w:p>
        </w:tc>
        <w:tc>
          <w:tcPr>
            <w:tcW w:type="dxa" w:w="4592"/>
          </w:tcPr>
          <w:p>
            <w:pPr>
              <w:spacing w:before="0" w:after="0"/>
            </w:pPr>
            <w:r>
              <w:rPr>
                <w:sz w:val="20"/>
              </w:rPr>
              <w:t>Block 3.1 (the three biggest problems)</w:t>
            </w:r>
          </w:p>
        </w:tc>
      </w:tr>
      <w:tr>
        <w:trPr>
          <w:cantSplit/>
        </w:trPr>
        <w:tc>
          <w:tcPr>
            <w:tcW w:type="dxa" w:w="5046"/>
          </w:tcPr>
          <w:p>
            <w:pPr>
              <w:spacing w:before="0" w:after="0"/>
            </w:pPr>
            <w:r>
              <w:rPr>
                <w:sz w:val="20"/>
              </w:rPr>
              <w:t>5. Prioritized UX optimization strategy</w:t>
            </w:r>
          </w:p>
        </w:tc>
        <w:tc>
          <w:tcPr>
            <w:tcW w:type="dxa" w:w="4592"/>
          </w:tcPr>
          <w:p>
            <w:pPr>
              <w:spacing w:before="0" w:after="0"/>
            </w:pPr>
            <w:r>
              <w:rPr>
                <w:sz w:val="20"/>
              </w:rPr>
              <w:t>Block 3.2 (three decisions, in order)</w:t>
            </w:r>
          </w:p>
        </w:tc>
      </w:tr>
      <w:tr>
        <w:trPr>
          <w:cantSplit/>
        </w:trPr>
        <w:tc>
          <w:tcPr>
            <w:tcW w:type="dxa" w:w="5046"/>
          </w:tcPr>
          <w:p>
            <w:pPr>
              <w:spacing w:before="0" w:after="0"/>
            </w:pPr>
            <w:r>
              <w:rPr>
                <w:sz w:val="20"/>
              </w:rPr>
              <w:t>Additional: Make a decision under uncertainty (e.g. which persona is prioritized).</w:t>
            </w:r>
          </w:p>
        </w:tc>
        <w:tc>
          <w:tcPr>
            <w:tcW w:type="dxa" w:w="4592"/>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Use user segmentation strategically</w:t>
      </w:r>
    </w:p>
    <w:p>
      <w:pPr>
        <w:pStyle w:val="ListBullet"/>
        <w:spacing w:before="0" w:after="40"/>
      </w:pPr>
      <w:r>
        <w:rPr/>
        <w:t>Justify decisions</w:t>
      </w:r>
    </w:p>
    <w:p>
      <w:pPr>
        <w:pStyle w:val="ListBullet"/>
        <w:spacing w:before="0" w:after="100"/>
      </w:pPr>
      <w:r>
        <w:rPr/>
        <w:t>Think like a UX manager instead of an analyst</w:t>
      </w:r>
    </w:p>
    <w:p>
      <w:pPr>
        <w:pStyle w:val="Heading2"/>
      </w:pPr>
      <w:r>
        <w:rPr/>
        <w:t>Block 3.1 · model answers (UE9)</w:t>
      </w:r>
    </w:p>
    <w:p>
      <w:pPr>
        <w:spacing w:before="0" w:after="100"/>
      </w:pPr>
      <w:r>
        <w:rPr>
          <w:i/>
        </w:rPr>
        <w:t>Block 3.1: Strategic personas, target group and the three biggest problems · Core · about 9 min.</w:t>
      </w:r>
    </w:p>
    <w:p>
      <w:pPr>
        <w:pStyle w:val="Heading3"/>
      </w:pPr>
      <w:r>
        <w:rPr/>
        <w:t>Reference: Strategic personas and the target group</w:t>
      </w:r>
    </w:p>
    <w:p>
      <w:pPr>
        <w:spacing w:before="0" w:after="100"/>
      </w:pPr>
      <w:r>
        <w:rPr>
          <w:b/>
        </w:rPr>
        <w:t>Reference answer.</w:t>
      </w:r>
      <w:r>
        <w:rPr/>
        <w:t xml:space="preserve"> Personas: Time-poor learners; Teachers who build courses; Training managers at client companies. Target group: Time-poor learners.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41"/>
        <w:gridCol w:w="1334"/>
        <w:gridCol w:w="6263"/>
      </w:tblGrid>
      <w:tr>
        <w:trPr>
          <w:cantSplit/>
          <w:tblHeader/>
        </w:trPr>
        <w:tc>
          <w:tcPr>
            <w:tcW w:type="dxa" w:w="2041"/>
            <w:shd w:val="clear" w:color="auto" w:fill="E6ECF4"/>
          </w:tcPr>
          <w:p>
            <w:pPr>
              <w:spacing w:before="0" w:after="0"/>
            </w:pPr>
            <w:r>
              <w:rPr>
                <w:b/>
                <w:sz w:val="20"/>
              </w:rPr>
              <w:t>Option</w:t>
            </w:r>
          </w:p>
        </w:tc>
        <w:tc>
          <w:tcPr>
            <w:tcW w:type="dxa" w:w="1334"/>
            <w:shd w:val="clear" w:color="auto" w:fill="E6ECF4"/>
          </w:tcPr>
          <w:p>
            <w:pPr>
              <w:spacing w:before="0" w:after="0"/>
            </w:pPr>
            <w:r>
              <w:rPr>
                <w:b/>
                <w:sz w:val="20"/>
              </w:rPr>
              <w:t>In the reference answer?</w:t>
            </w:r>
          </w:p>
        </w:tc>
        <w:tc>
          <w:tcPr>
            <w:tcW w:type="dxa" w:w="6263"/>
            <w:shd w:val="clear" w:color="auto" w:fill="E6ECF4"/>
          </w:tcPr>
          <w:p>
            <w:pPr>
              <w:spacing w:before="0" w:after="0"/>
            </w:pPr>
            <w:r>
              <w:rPr>
                <w:b/>
                <w:sz w:val="20"/>
              </w:rPr>
              <w:t>Why</w:t>
            </w:r>
          </w:p>
        </w:tc>
      </w:tr>
      <w:tr>
        <w:trPr>
          <w:cantSplit/>
        </w:trPr>
        <w:tc>
          <w:tcPr>
            <w:tcW w:type="dxa" w:w="2041"/>
          </w:tcPr>
          <w:p>
            <w:pPr>
              <w:spacing w:before="0" w:after="0"/>
            </w:pPr>
            <w:r>
              <w:rPr>
                <w:sz w:val="20"/>
              </w:rPr>
              <w:t>S1 · Time-poor learners</w:t>
            </w:r>
          </w:p>
        </w:tc>
        <w:tc>
          <w:tcPr>
            <w:tcW w:type="dxa" w:w="1334"/>
          </w:tcPr>
          <w:p>
            <w:pPr>
              <w:spacing w:before="0" w:after="0"/>
            </w:pPr>
            <w:r>
              <w:rPr>
                <w:sz w:val="20"/>
              </w:rPr>
              <w:t>Yes</w:t>
            </w:r>
          </w:p>
        </w:tc>
        <w:tc>
          <w:tcPr>
            <w:tcW w:type="dxa" w:w="6263"/>
          </w:tcPr>
          <w:p>
            <w:pPr>
              <w:spacing w:before="0" w:after="0"/>
            </w:pPr>
            <w:r>
              <w:rPr>
                <w:sz w:val="20"/>
              </w:rPr>
              <w:t>Reference persona and target group: the largest segment (45%), its return rate is falling, and its usage is what S4 measures, so one fix serves two segments (Materi B1).</w:t>
            </w:r>
          </w:p>
        </w:tc>
      </w:tr>
      <w:tr>
        <w:trPr>
          <w:cantSplit/>
        </w:trPr>
        <w:tc>
          <w:tcPr>
            <w:tcW w:type="dxa" w:w="2041"/>
          </w:tcPr>
          <w:p>
            <w:pPr>
              <w:spacing w:before="0" w:after="0"/>
            </w:pPr>
            <w:r>
              <w:rPr>
                <w:sz w:val="20"/>
              </w:rPr>
              <w:t>S2 · Exam preparers</w:t>
            </w:r>
          </w:p>
        </w:tc>
        <w:tc>
          <w:tcPr>
            <w:tcW w:type="dxa" w:w="1334"/>
          </w:tcPr>
          <w:p>
            <w:pPr>
              <w:spacing w:before="0" w:after="0"/>
            </w:pPr>
            <w:r>
              <w:rPr>
                <w:sz w:val="20"/>
              </w:rPr>
              <w:t>No</w:t>
            </w:r>
          </w:p>
        </w:tc>
        <w:tc>
          <w:tcPr>
            <w:tcW w:type="dxa" w:w="6263"/>
          </w:tcPr>
          <w:p>
            <w:pPr>
              <w:spacing w:before="0" w:after="0"/>
            </w:pPr>
            <w:r>
              <w:rPr>
                <w:sz w:val="20"/>
              </w:rPr>
              <w:t>Defendable as a persona (15%, high satisfaction), but nothing in the notes says its journey breaks; a weak candidate for first.</w:t>
            </w:r>
          </w:p>
        </w:tc>
      </w:tr>
      <w:tr>
        <w:trPr>
          <w:cantSplit/>
        </w:trPr>
        <w:tc>
          <w:tcPr>
            <w:tcW w:type="dxa" w:w="2041"/>
          </w:tcPr>
          <w:p>
            <w:pPr>
              <w:spacing w:before="0" w:after="0"/>
            </w:pPr>
            <w:r>
              <w:rPr>
                <w:sz w:val="20"/>
              </w:rPr>
              <w:t>S3 · Teachers who build courses</w:t>
            </w:r>
          </w:p>
        </w:tc>
        <w:tc>
          <w:tcPr>
            <w:tcW w:type="dxa" w:w="1334"/>
          </w:tcPr>
          <w:p>
            <w:pPr>
              <w:spacing w:before="0" w:after="0"/>
            </w:pPr>
            <w:r>
              <w:rPr>
                <w:sz w:val="20"/>
              </w:rPr>
              <w:t>Yes</w:t>
            </w:r>
          </w:p>
        </w:tc>
        <w:tc>
          <w:tcPr>
            <w:tcW w:type="dxa" w:w="6263"/>
          </w:tcPr>
          <w:p>
            <w:pPr>
              <w:spacing w:before="0" w:after="0"/>
            </w:pPr>
            <w:r>
              <w:rPr>
                <w:sz w:val="20"/>
              </w:rPr>
              <w:t>Reference persona: 120 teachers supply all content, and 4 of 6 say the editor is too complicated; small but critical (Materi B1).</w:t>
            </w:r>
          </w:p>
        </w:tc>
      </w:tr>
      <w:tr>
        <w:trPr>
          <w:cantSplit/>
        </w:trPr>
        <w:tc>
          <w:tcPr>
            <w:tcW w:type="dxa" w:w="2041"/>
          </w:tcPr>
          <w:p>
            <w:pPr>
              <w:spacing w:before="0" w:after="0"/>
            </w:pPr>
            <w:r>
              <w:rPr>
                <w:sz w:val="20"/>
              </w:rPr>
              <w:t>S4 · Training managers at client companies</w:t>
            </w:r>
          </w:p>
        </w:tc>
        <w:tc>
          <w:tcPr>
            <w:tcW w:type="dxa" w:w="1334"/>
          </w:tcPr>
          <w:p>
            <w:pPr>
              <w:spacing w:before="0" w:after="0"/>
            </w:pPr>
            <w:r>
              <w:rPr>
                <w:sz w:val="20"/>
              </w:rPr>
              <w:t>Yes</w:t>
            </w:r>
          </w:p>
        </w:tc>
        <w:tc>
          <w:tcPr>
            <w:tcW w:type="dxa" w:w="6263"/>
          </w:tcPr>
          <w:p>
            <w:pPr>
              <w:spacing w:before="0" w:after="0"/>
            </w:pPr>
            <w:r>
              <w:rPr>
                <w:sz w:val="20"/>
              </w:rPr>
              <w:t>Reference persona: 60 accounts decide renewals; small and business-critical (Materi B1). A defendable target group: it decides the money.</w:t>
            </w:r>
          </w:p>
        </w:tc>
      </w:tr>
      <w:tr>
        <w:trPr>
          <w:cantSplit/>
        </w:trPr>
        <w:tc>
          <w:tcPr>
            <w:tcW w:type="dxa" w:w="2041"/>
          </w:tcPr>
          <w:p>
            <w:pPr>
              <w:spacing w:before="0" w:after="0"/>
            </w:pPr>
            <w:r>
              <w:rPr>
                <w:sz w:val="20"/>
              </w:rPr>
              <w:t>S5 · Casual browsers</w:t>
            </w:r>
          </w:p>
        </w:tc>
        <w:tc>
          <w:tcPr>
            <w:tcW w:type="dxa" w:w="1334"/>
          </w:tcPr>
          <w:p>
            <w:pPr>
              <w:spacing w:before="0" w:after="0"/>
            </w:pPr>
            <w:r>
              <w:rPr>
                <w:sz w:val="20"/>
              </w:rPr>
              <w:t>No</w:t>
            </w:r>
          </w:p>
        </w:tc>
        <w:tc>
          <w:tcPr>
            <w:tcW w:type="dxa" w:w="6263"/>
          </w:tcPr>
          <w:p>
            <w:pPr>
              <w:spacing w:before="0" w:after="0"/>
            </w:pPr>
            <w:r>
              <w:rPr>
                <w:sz w:val="20"/>
              </w:rPr>
              <w:t>Rejected as a strategic persona: rarely finish, no payment link; no decision changes because of this group (Materi A2).</w:t>
            </w:r>
          </w:p>
        </w:tc>
      </w:tr>
    </w:tbl>
    <w:p>
      <w:pPr>
        <w:spacing w:before="0" w:after="80"/>
      </w:pPr>
    </w:p>
    <w:p>
      <w:pPr>
        <w:spacing w:before="0" w:after="100"/>
      </w:pPr>
      <w:r>
        <w:rPr>
          <w:i/>
        </w:rPr>
        <w:t>Trainer note.</w:t>
      </w:r>
      <w:r>
        <w:rPr/>
        <w:t xml:space="preserve"> S4 is a good alternative target group: the training managers decide renewals, and an answer that picks S4 and says which test decided (business value) and what the learners get instead defends. A target group that is not among the chosen personas is a gap worth a question. Any of the five defends as target group if the reason names the test (size, value, where the journey breaks) and what the others get.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A strategic persona, in one or two sentences</w:t>
            </w:r>
          </w:p>
          <w:p>
            <w:pPr>
              <w:spacing w:before="0" w:after="100"/>
            </w:pPr>
            <w:r>
              <w:rPr>
                <w:b/>
              </w:rPr>
              <w:t>Model answer (an example).</w:t>
            </w:r>
            <w:r>
              <w:rPr/>
              <w:t xml:space="preserve"> Anja, a project manager, wants to finish the course in twenty-minute evening slots on her phone, but loses her place after a break (S1: 45% of learners, return rate falling). / Markus, a trainer, wants to build courses with little effort, but the editor has nine tabs and uploading takes hours (S3: 120 teachers who supply all content, 4 of 6 say it is too complicated). / Petra, a training manager, wants to show management that staff finish, but only 31% logged in and she formats the report by hand (S4: 60 accounts that decide renewals).</w:t>
            </w:r>
          </w:p>
          <w:p>
            <w:pPr>
              <w:spacing w:before="0" w:after="100"/>
            </w:pPr>
            <w:r>
              <w:rPr>
                <w:b/>
              </w:rPr>
              <w:t>Why.</w:t>
            </w:r>
            <w:r>
              <w:rPr/>
              <w:t xml:space="preserve"> Materi B1: a persona is strategic if a decision would change because of it. One or two sentences with the goal, the problem and situation, and the evidence in the segment's facts.</w:t>
            </w:r>
          </w:p>
          <w:p>
            <w:pPr>
              <w:spacing w:before="0" w:after="100"/>
            </w:pPr>
            <w:r>
              <w:rPr>
                <w:b/>
              </w:rPr>
              <w:t>Look for.</w:t>
            </w:r>
          </w:p>
          <w:p>
            <w:pPr>
              <w:pStyle w:val="ListBullet"/>
              <w:spacing w:before="0" w:after="40"/>
            </w:pPr>
            <w:r>
              <w:rPr/>
              <w:t>A goal and a problem.</w:t>
            </w:r>
          </w:p>
          <w:p>
            <w:pPr>
              <w:pStyle w:val="ListBullet"/>
              <w:spacing w:before="0" w:after="40"/>
            </w:pPr>
            <w:r>
              <w:rPr/>
              <w:t>Cites the segment's printed facts.</w:t>
            </w:r>
          </w:p>
          <w:p>
            <w:pPr>
              <w:pStyle w:val="ListBullet"/>
              <w:spacing w:before="0" w:after="100"/>
            </w:pPr>
            <w:r>
              <w:rPr/>
              <w:t>A decision would change because of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this group first</w:t>
            </w:r>
          </w:p>
          <w:p>
            <w:pPr>
              <w:spacing w:before="0" w:after="100"/>
            </w:pPr>
            <w:r>
              <w:rPr>
                <w:b/>
              </w:rPr>
              <w:t>Model answer (an example).</w:t>
            </w:r>
            <w:r>
              <w:rPr/>
              <w:t xml:space="preserve"> Time-poor learners go first: they are the largest segment (45%), their return rate is falling, and their usage is what the training managers measure when they decide on renewals, so one fix helps two segments. Teachers and training managers get a smaller fix later.</w:t>
            </w:r>
          </w:p>
          <w:p>
            <w:pPr>
              <w:spacing w:before="0" w:after="100"/>
            </w:pPr>
            <w:r>
              <w:rPr>
                <w:b/>
              </w:rPr>
              <w:t>Why.</w:t>
            </w:r>
            <w:r>
              <w:rPr/>
              <w:t xml:space="preserve"> Materi B1: say which test decided (size, business value, where the journey breaks) and what the other groups get. The largest group is not always the most important.</w:t>
            </w:r>
          </w:p>
          <w:p>
            <w:pPr>
              <w:spacing w:before="0" w:after="100"/>
            </w:pPr>
            <w:r>
              <w:rPr>
                <w:b/>
              </w:rPr>
              <w:t>Look for.</w:t>
            </w:r>
          </w:p>
          <w:p>
            <w:pPr>
              <w:pStyle w:val="ListBullet"/>
              <w:spacing w:before="0" w:after="40"/>
            </w:pPr>
            <w:r>
              <w:rPr/>
              <w:t>Names the test.</w:t>
            </w:r>
          </w:p>
          <w:p>
            <w:pPr>
              <w:pStyle w:val="ListBullet"/>
              <w:spacing w:before="0" w:after="40"/>
            </w:pPr>
            <w:r>
              <w:rPr/>
              <w:t>Says what the other groups get.</w:t>
            </w:r>
          </w:p>
          <w:p>
            <w:pPr>
              <w:pStyle w:val="ListBullet"/>
              <w:spacing w:before="0" w:after="100"/>
            </w:pPr>
            <w:r>
              <w:rPr/>
              <w:t>Uses the printed figures.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The three biggest problems of the target group</w:t>
            </w:r>
          </w:p>
          <w:p>
            <w:pPr>
              <w:spacing w:before="0" w:after="100"/>
            </w:pPr>
            <w:r>
              <w:rPr>
                <w:b/>
              </w:rPr>
              <w:t>Model answer (an example).</w:t>
            </w:r>
            <w:r>
              <w:rPr/>
              <w:t xml:space="preserve"> 1. In the learning phase she meets a 40-minute lesson that cannot be paused. 2. After a break she cannot find where she stopped. 3. The reminder arrives at 08:00, when she is at work, so she ignores it.</w:t>
            </w:r>
          </w:p>
          <w:p>
            <w:pPr>
              <w:spacing w:before="0" w:after="100"/>
            </w:pPr>
            <w:r>
              <w:rPr>
                <w:b/>
              </w:rPr>
              <w:t>Why.</w:t>
            </w:r>
            <w:r>
              <w:rPr/>
              <w:t xml:space="preserve"> The plan asks for the three biggest problems of the target group. Each names the situation and the phase of the journey.</w:t>
            </w:r>
          </w:p>
          <w:p>
            <w:pPr>
              <w:spacing w:before="0" w:after="100"/>
            </w:pPr>
            <w:r>
              <w:rPr>
                <w:b/>
              </w:rPr>
              <w:t>Look for.</w:t>
            </w:r>
          </w:p>
          <w:p>
            <w:pPr>
              <w:pStyle w:val="ListBullet"/>
              <w:spacing w:before="0" w:after="40"/>
            </w:pPr>
            <w:r>
              <w:rPr/>
              <w:t>Three lines.</w:t>
            </w:r>
          </w:p>
          <w:p>
            <w:pPr>
              <w:pStyle w:val="ListBullet"/>
              <w:spacing w:before="0" w:after="40"/>
            </w:pPr>
            <w:r>
              <w:rPr/>
              <w:t>Each names a phase.</w:t>
            </w:r>
          </w:p>
          <w:p>
            <w:pPr>
              <w:pStyle w:val="ListBullet"/>
              <w:spacing w:before="0" w:after="100"/>
            </w:pPr>
            <w:r>
              <w:rPr/>
              <w:t>Situations, not verdicts.</w:t>
            </w:r>
          </w:p>
        </w:tc>
      </w:tr>
    </w:tbl>
    <w:p>
      <w:pPr>
        <w:spacing w:before="0" w:after="80"/>
      </w:pPr>
    </w:p>
    <w:p>
      <w:pPr>
        <w:pStyle w:val="Heading2"/>
      </w:pPr>
      <w:r>
        <w:rPr/>
        <w:t>Block 3.2 · model answers (UE10)</w:t>
      </w:r>
    </w:p>
    <w:p>
      <w:pPr>
        <w:spacing w:before="0" w:after="100"/>
      </w:pPr>
      <w:r>
        <w:rPr>
          <w:i/>
        </w:rPr>
        <w:t>Block 3.2: The critical journey, the strategy, a decision under uncertainty, and what you give up · Core · about 11 min.</w:t>
      </w:r>
    </w:p>
    <w:p>
      <w:pPr>
        <w:pStyle w:val="Heading3"/>
      </w:pPr>
      <w:r>
        <w:rPr/>
        <w:t>Reference: Three decisions for the strategy</w:t>
      </w:r>
    </w:p>
    <w:p>
      <w:pPr>
        <w:spacing w:before="0" w:after="100"/>
      </w:pPr>
      <w:r>
        <w:rPr>
          <w:b/>
        </w:rPr>
        <w:t>Reference answer.</w:t>
      </w:r>
      <w:r>
        <w:rPr/>
        <w:t xml:space="preserve"> Flexible five-minute learning formats; Client reporting; A persona research programme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15"/>
        <w:gridCol w:w="1328"/>
        <w:gridCol w:w="4795"/>
      </w:tblGrid>
      <w:tr>
        <w:trPr>
          <w:cantSplit/>
          <w:tblHeader/>
        </w:trPr>
        <w:tc>
          <w:tcPr>
            <w:tcW w:type="dxa" w:w="3515"/>
            <w:shd w:val="clear" w:color="auto" w:fill="E6ECF4"/>
          </w:tcPr>
          <w:p>
            <w:pPr>
              <w:spacing w:before="0" w:after="0"/>
            </w:pPr>
            <w:r>
              <w:rPr>
                <w:b/>
                <w:sz w:val="20"/>
              </w:rPr>
              <w:t>Option</w:t>
            </w:r>
          </w:p>
        </w:tc>
        <w:tc>
          <w:tcPr>
            <w:tcW w:type="dxa" w:w="1328"/>
            <w:shd w:val="clear" w:color="auto" w:fill="E6ECF4"/>
          </w:tcPr>
          <w:p>
            <w:pPr>
              <w:spacing w:before="0" w:after="0"/>
            </w:pPr>
            <w:r>
              <w:rPr>
                <w:b/>
                <w:sz w:val="20"/>
              </w:rPr>
              <w:t>In the reference answer?</w:t>
            </w:r>
          </w:p>
        </w:tc>
        <w:tc>
          <w:tcPr>
            <w:tcW w:type="dxa" w:w="4795"/>
            <w:shd w:val="clear" w:color="auto" w:fill="E6ECF4"/>
          </w:tcPr>
          <w:p>
            <w:pPr>
              <w:spacing w:before="0" w:after="0"/>
            </w:pPr>
            <w:r>
              <w:rPr>
                <w:b/>
                <w:sz w:val="20"/>
              </w:rPr>
              <w:t>Why</w:t>
            </w:r>
          </w:p>
        </w:tc>
      </w:tr>
      <w:tr>
        <w:trPr>
          <w:cantSplit/>
        </w:trPr>
        <w:tc>
          <w:tcPr>
            <w:tcW w:type="dxa" w:w="3515"/>
          </w:tcPr>
          <w:p>
            <w:pPr>
              <w:spacing w:before="0" w:after="0"/>
            </w:pPr>
            <w:r>
              <w:rPr>
                <w:sz w:val="20"/>
              </w:rPr>
              <w:t>D1 · Flexible five-minute learning formats (€70,000, 20 weeks)</w:t>
            </w:r>
          </w:p>
        </w:tc>
        <w:tc>
          <w:tcPr>
            <w:tcW w:type="dxa" w:w="1328"/>
          </w:tcPr>
          <w:p>
            <w:pPr>
              <w:spacing w:before="0" w:after="0"/>
            </w:pPr>
            <w:r>
              <w:rPr>
                <w:sz w:val="20"/>
              </w:rPr>
              <w:t>Yes</w:t>
            </w:r>
          </w:p>
        </w:tc>
        <w:tc>
          <w:tcPr>
            <w:tcW w:type="dxa" w:w="4795"/>
          </w:tcPr>
          <w:p>
            <w:pPr>
              <w:spacing w:before="0" w:after="0"/>
            </w:pPr>
            <w:r>
              <w:rPr>
                <w:sz w:val="20"/>
              </w:rPr>
              <w:t>Reference pick: it fixes the critical phase of the largest segment (Materi B1).</w:t>
            </w:r>
          </w:p>
        </w:tc>
      </w:tr>
      <w:tr>
        <w:trPr>
          <w:cantSplit/>
        </w:trPr>
        <w:tc>
          <w:tcPr>
            <w:tcW w:type="dxa" w:w="3515"/>
          </w:tcPr>
          <w:p>
            <w:pPr>
              <w:spacing w:before="0" w:after="0"/>
            </w:pPr>
            <w:r>
              <w:rPr>
                <w:sz w:val="20"/>
              </w:rPr>
              <w:t>D2 · A simpler teacher workspace (€60,000, 22 weeks)</w:t>
            </w:r>
          </w:p>
        </w:tc>
        <w:tc>
          <w:tcPr>
            <w:tcW w:type="dxa" w:w="1328"/>
          </w:tcPr>
          <w:p>
            <w:pPr>
              <w:spacing w:before="0" w:after="0"/>
            </w:pPr>
            <w:r>
              <w:rPr>
                <w:sz w:val="20"/>
              </w:rPr>
              <w:t>No</w:t>
            </w:r>
          </w:p>
        </w:tc>
        <w:tc>
          <w:tcPr>
            <w:tcW w:type="dxa" w:w="4795"/>
          </w:tcPr>
          <w:p>
            <w:pPr>
              <w:spacing w:before="0" w:after="0"/>
            </w:pPr>
            <w:r>
              <w:rPr>
                <w:sz w:val="20"/>
              </w:rPr>
              <w:t>Defendable: it serves the teachers who supply all content, but at €60,000 and 22 weeks it is a large project for the second segment.</w:t>
            </w:r>
          </w:p>
        </w:tc>
      </w:tr>
      <w:tr>
        <w:trPr>
          <w:cantSplit/>
        </w:trPr>
        <w:tc>
          <w:tcPr>
            <w:tcW w:type="dxa" w:w="3515"/>
          </w:tcPr>
          <w:p>
            <w:pPr>
              <w:spacing w:before="0" w:after="0"/>
            </w:pPr>
            <w:r>
              <w:rPr>
                <w:sz w:val="20"/>
              </w:rPr>
              <w:t>D3 · An onboarding path by role (€35,000, 12 weeks)</w:t>
            </w:r>
          </w:p>
        </w:tc>
        <w:tc>
          <w:tcPr>
            <w:tcW w:type="dxa" w:w="1328"/>
          </w:tcPr>
          <w:p>
            <w:pPr>
              <w:spacing w:before="0" w:after="0"/>
            </w:pPr>
            <w:r>
              <w:rPr>
                <w:sz w:val="20"/>
              </w:rPr>
              <w:t>No</w:t>
            </w:r>
          </w:p>
        </w:tc>
        <w:tc>
          <w:tcPr>
            <w:tcW w:type="dxa" w:w="4795"/>
          </w:tcPr>
          <w:p>
            <w:pPr>
              <w:spacing w:before="0" w:after="0"/>
            </w:pPr>
            <w:r>
              <w:rPr>
                <w:sz w:val="20"/>
              </w:rPr>
              <w:t>Defendable and cheap for what it covers, but it changes the first steps only; the learners' critical phase is in the learning phase.</w:t>
            </w:r>
          </w:p>
        </w:tc>
      </w:tr>
      <w:tr>
        <w:trPr>
          <w:cantSplit/>
        </w:trPr>
        <w:tc>
          <w:tcPr>
            <w:tcW w:type="dxa" w:w="3515"/>
          </w:tcPr>
          <w:p>
            <w:pPr>
              <w:spacing w:before="0" w:after="0"/>
            </w:pPr>
            <w:r>
              <w:rPr>
                <w:sz w:val="20"/>
              </w:rPr>
              <w:t>D4 · Client reporting (€30,000, 12 weeks)</w:t>
            </w:r>
          </w:p>
        </w:tc>
        <w:tc>
          <w:tcPr>
            <w:tcW w:type="dxa" w:w="1328"/>
          </w:tcPr>
          <w:p>
            <w:pPr>
              <w:spacing w:before="0" w:after="0"/>
            </w:pPr>
            <w:r>
              <w:rPr>
                <w:sz w:val="20"/>
              </w:rPr>
              <w:t>Yes</w:t>
            </w:r>
          </w:p>
        </w:tc>
        <w:tc>
          <w:tcPr>
            <w:tcW w:type="dxa" w:w="4795"/>
          </w:tcPr>
          <w:p>
            <w:pPr>
              <w:spacing w:before="0" w:after="0"/>
            </w:pPr>
            <w:r>
              <w:rPr>
                <w:sz w:val="20"/>
              </w:rPr>
              <w:t>Reference pick: it serves the small but critical training managers cheaply (Materi B1, B2).</w:t>
            </w:r>
          </w:p>
        </w:tc>
      </w:tr>
      <w:tr>
        <w:trPr>
          <w:cantSplit/>
        </w:trPr>
        <w:tc>
          <w:tcPr>
            <w:tcW w:type="dxa" w:w="3515"/>
          </w:tcPr>
          <w:p>
            <w:pPr>
              <w:spacing w:before="0" w:after="0"/>
            </w:pPr>
            <w:r>
              <w:rPr>
                <w:sz w:val="20"/>
              </w:rPr>
              <w:t>D5 · An exam-preparation mode (€55,000, 18 weeks)</w:t>
            </w:r>
          </w:p>
        </w:tc>
        <w:tc>
          <w:tcPr>
            <w:tcW w:type="dxa" w:w="1328"/>
          </w:tcPr>
          <w:p>
            <w:pPr>
              <w:spacing w:before="0" w:after="0"/>
            </w:pPr>
            <w:r>
              <w:rPr>
                <w:sz w:val="20"/>
              </w:rPr>
              <w:t>No</w:t>
            </w:r>
          </w:p>
        </w:tc>
        <w:tc>
          <w:tcPr>
            <w:tcW w:type="dxa" w:w="4795"/>
          </w:tcPr>
          <w:p>
            <w:pPr>
              <w:spacing w:before="0" w:after="0"/>
            </w:pPr>
            <w:r>
              <w:rPr>
                <w:sz w:val="20"/>
              </w:rPr>
              <w:t>Defendable for exam preparers, but nothing in the evidence says they are the problem (high satisfaction).</w:t>
            </w:r>
          </w:p>
        </w:tc>
      </w:tr>
      <w:tr>
        <w:trPr>
          <w:cantSplit/>
        </w:trPr>
        <w:tc>
          <w:tcPr>
            <w:tcW w:type="dxa" w:w="3515"/>
          </w:tcPr>
          <w:p>
            <w:pPr>
              <w:spacing w:before="0" w:after="0"/>
            </w:pPr>
            <w:r>
              <w:rPr>
                <w:sz w:val="20"/>
              </w:rPr>
              <w:t>D6 · A persona research programme (€25,000, 52 weeks)</w:t>
            </w:r>
          </w:p>
        </w:tc>
        <w:tc>
          <w:tcPr>
            <w:tcW w:type="dxa" w:w="1328"/>
          </w:tcPr>
          <w:p>
            <w:pPr>
              <w:spacing w:before="0" w:after="0"/>
            </w:pPr>
            <w:r>
              <w:rPr>
                <w:sz w:val="20"/>
              </w:rPr>
              <w:t>Yes</w:t>
            </w:r>
          </w:p>
        </w:tc>
        <w:tc>
          <w:tcPr>
            <w:tcW w:type="dxa" w:w="4795"/>
          </w:tcPr>
          <w:p>
            <w:pPr>
              <w:spacing w:before="0" w:after="0"/>
            </w:pPr>
            <w:r>
              <w:rPr>
                <w:sz w:val="20"/>
              </w:rPr>
              <w:t>Reference pick: the data is thin (12 and 6 interviews), so the research programme tests the personas as hypotheses (Materi B3).</w:t>
            </w:r>
          </w:p>
        </w:tc>
      </w:tr>
      <w:tr>
        <w:trPr>
          <w:cantSplit/>
        </w:trPr>
        <w:tc>
          <w:tcPr>
            <w:tcW w:type="dxa" w:w="3515"/>
          </w:tcPr>
          <w:p>
            <w:pPr>
              <w:spacing w:before="0" w:after="0"/>
            </w:pPr>
            <w:r>
              <w:rPr>
                <w:sz w:val="20"/>
              </w:rPr>
              <w:t>D7 · A redesign of the public marketing site (€40,000, 10 weeks)</w:t>
            </w:r>
          </w:p>
        </w:tc>
        <w:tc>
          <w:tcPr>
            <w:tcW w:type="dxa" w:w="1328"/>
          </w:tcPr>
          <w:p>
            <w:pPr>
              <w:spacing w:before="0" w:after="0"/>
            </w:pPr>
            <w:r>
              <w:rPr>
                <w:sz w:val="20"/>
              </w:rPr>
              <w:t>No</w:t>
            </w:r>
          </w:p>
        </w:tc>
        <w:tc>
          <w:tcPr>
            <w:tcW w:type="dxa" w:w="4795"/>
          </w:tcPr>
          <w:p>
            <w:pPr>
              <w:spacing w:before="0" w:after="0"/>
            </w:pPr>
            <w:r>
              <w:rPr>
                <w:sz w:val="20"/>
              </w:rPr>
              <w:t>Rejected: €40,000 for a look that serves none of the pain points.</w:t>
            </w:r>
          </w:p>
        </w:tc>
      </w:tr>
    </w:tbl>
    <w:p>
      <w:pPr>
        <w:spacing w:before="0" w:after="80"/>
      </w:pPr>
    </w:p>
    <w:p>
      <w:pPr>
        <w:spacing w:before="0" w:after="100"/>
      </w:pPr>
      <w:r>
        <w:rPr>
          <w:i/>
        </w:rPr>
        <w:t>Trainer note.</w:t>
      </w:r>
      <w:r>
        <w:rPr/>
        <w:t xml:space="preserve"> A different set of three defends if the reason is written and it follows from the target group.</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critical journey of the target group</w:t>
            </w:r>
          </w:p>
          <w:p>
            <w:pPr>
              <w:spacing w:before="0" w:after="100"/>
            </w:pPr>
            <w:r>
              <w:rPr>
                <w:b/>
              </w:rPr>
              <w:t>Model answer (an example).</w:t>
            </w:r>
            <w:r>
              <w:rPr/>
              <w:t xml:space="preserve"> entry: Signs up and picks her course. / A start page that does not say how long a lesson takes. / An onboarding step that shows the length of each unit. / work: Starts a lesson at 21:00 on her phone. / 40 minutes in one sitting; no pause. / D1: five-minute formats that can be paused anywhere. / progress: Returns after three days and wants to finish. / She cannot see where she stopped or how far she is. / D1 resumes at the exact place; D4 shows her manager the progress.</w:t>
            </w:r>
          </w:p>
          <w:p>
            <w:pPr>
              <w:spacing w:before="0" w:after="100"/>
            </w:pPr>
            <w:r>
              <w:rPr>
                <w:b/>
              </w:rPr>
              <w:t>Why.</w:t>
            </w:r>
            <w:r>
              <w:rPr/>
              <w:t xml:space="preserve"> Materi A3 and B2: map the persona through the three phases; where the emotion is lowest the strategy must act, and the last row names where.</w:t>
            </w:r>
          </w:p>
          <w:p>
            <w:pPr>
              <w:spacing w:before="0" w:after="100"/>
            </w:pPr>
            <w:r>
              <w:rPr>
                <w:b/>
              </w:rPr>
              <w:t>Look for.</w:t>
            </w:r>
          </w:p>
          <w:p>
            <w:pPr>
              <w:pStyle w:val="ListBullet"/>
              <w:spacing w:before="0" w:after="40"/>
            </w:pPr>
            <w:r>
              <w:rPr/>
              <w:t>A persona named.</w:t>
            </w:r>
          </w:p>
          <w:p>
            <w:pPr>
              <w:pStyle w:val="ListBullet"/>
              <w:spacing w:before="0" w:after="40"/>
            </w:pPr>
            <w:r>
              <w:rPr/>
              <w:t>Emotion rated for each phase.</w:t>
            </w:r>
          </w:p>
          <w:p>
            <w:pPr>
              <w:pStyle w:val="ListBullet"/>
              <w:spacing w:before="0" w:after="100"/>
            </w:pPr>
            <w:r>
              <w:rPr/>
              <w:t>A pain point and a point of action in each phase.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the first decision goes first</w:t>
            </w:r>
          </w:p>
          <w:p>
            <w:pPr>
              <w:spacing w:before="0" w:after="100"/>
            </w:pPr>
            <w:r>
              <w:rPr>
                <w:b/>
              </w:rPr>
              <w:t>Model answer (an example).</w:t>
            </w:r>
            <w:r>
              <w:rPr/>
              <w:t xml:space="preserve"> Flexible five-minute formats go first: they fix the learner's critical phase and carry the largest segment, so the first figure (the return rate) moves within twenty weeks. Client reporting follows because it keeps the training managers informed, and the research programme runs beside both.</w:t>
            </w:r>
          </w:p>
          <w:p>
            <w:pPr>
              <w:spacing w:before="0" w:after="100"/>
            </w:pPr>
            <w:r>
              <w:rPr>
                <w:b/>
              </w:rPr>
              <w:t>Why.</w:t>
            </w:r>
            <w:r>
              <w:rPr/>
              <w:t xml:space="preserve"> The strategy is an order with a reason. A different order defends if the reason is concrete.</w:t>
            </w:r>
          </w:p>
          <w:p>
            <w:pPr>
              <w:spacing w:before="0" w:after="100"/>
            </w:pPr>
            <w:r>
              <w:rPr>
                <w:b/>
              </w:rPr>
              <w:t>Look for.</w:t>
            </w:r>
          </w:p>
          <w:p>
            <w:pPr>
              <w:pStyle w:val="ListBullet"/>
              <w:spacing w:before="0" w:after="40"/>
            </w:pPr>
            <w:r>
              <w:rPr/>
              <w:t>Gives a reason for position one.</w:t>
            </w:r>
          </w:p>
          <w:p>
            <w:pPr>
              <w:pStyle w:val="ListBullet"/>
              <w:spacing w:before="0" w:after="100"/>
            </w:pPr>
            <w:r>
              <w:rPr/>
              <w:t>Says what it does for the target group.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decision under uncertainty: which persona is prioritised</w:t>
            </w:r>
          </w:p>
          <w:p>
            <w:pPr>
              <w:spacing w:before="0" w:after="100"/>
            </w:pPr>
            <w:r>
              <w:rPr>
                <w:b/>
              </w:rPr>
              <w:t>Model answer (an example).</w:t>
            </w:r>
            <w:r>
              <w:rPr/>
              <w:t xml:space="preserve"> I decide that time-poor learners (S1) are the prioritised persona for the next two quarters. I do not know whether their falling return rate is caused by the lesson length or by the missing place marker, and the personas rest on only 12 interviews. I reverse if the seven-day return rate of S1 is not up eight points after ten weeks, or if the training managers' renewals of S4 show a drop.</w:t>
            </w:r>
          </w:p>
          <w:p>
            <w:pPr>
              <w:spacing w:before="0" w:after="100"/>
            </w:pPr>
            <w:r>
              <w:rPr>
                <w:b/>
              </w:rPr>
              <w:t>Why.</w:t>
            </w:r>
            <w:r>
              <w:rPr/>
              <w:t xml:space="preserve"> The frame of Materi B3: what I decide, what I do not know, what would make me reverse and by when. A checkable reversal condition has a figure and a time.</w:t>
            </w:r>
          </w:p>
          <w:p>
            <w:pPr>
              <w:spacing w:before="0" w:after="100"/>
            </w:pPr>
            <w:r>
              <w:rPr>
                <w:b/>
              </w:rPr>
              <w:t>Look for.</w:t>
            </w:r>
          </w:p>
          <w:p>
            <w:pPr>
              <w:pStyle w:val="ListBullet"/>
              <w:spacing w:before="0" w:after="40"/>
            </w:pPr>
            <w:r>
              <w:rPr/>
              <w:t>States the decision.</w:t>
            </w:r>
          </w:p>
          <w:p>
            <w:pPr>
              <w:pStyle w:val="ListBullet"/>
              <w:spacing w:before="0" w:after="40"/>
            </w:pPr>
            <w:r>
              <w:rPr/>
              <w:t>States what is not known.</w:t>
            </w:r>
          </w:p>
          <w:p>
            <w:pPr>
              <w:pStyle w:val="ListBullet"/>
              <w:spacing w:before="0" w:after="100"/>
            </w:pPr>
            <w:r>
              <w:rPr/>
              <w:t>A reversal condition with a figure and a time.</w:t>
            </w:r>
          </w:p>
          <w:p>
            <w:pPr>
              <w:spacing w:before="0" w:after="100"/>
            </w:pPr>
            <w:r>
              <w:rPr>
                <w:b/>
              </w:rPr>
              <w:t>Typical mistakes.</w:t>
            </w:r>
          </w:p>
          <w:p>
            <w:pPr>
              <w:pStyle w:val="ListBullet"/>
              <w:spacing w:before="0" w:after="100"/>
            </w:pPr>
            <w:r>
              <w:rPr/>
              <w:t>A reversal condition no one could check (“if it does not work”).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give up and when that segment gets its turn</w:t>
            </w:r>
          </w:p>
          <w:p>
            <w:pPr>
              <w:spacing w:before="0" w:after="100"/>
            </w:pPr>
            <w:r>
              <w:rPr>
                <w:b/>
              </w:rPr>
              <w:t>Model answer (an example).</w:t>
            </w:r>
            <w:r>
              <w:rPr/>
              <w:t xml:space="preserve"> I give up the simpler teacher workspace (D2) and the exam-preparation mode (D5) for the first two quarters; the teachers get their turn in the third quarter, and I will tell them the date.</w:t>
            </w:r>
          </w:p>
          <w:p>
            <w:pPr>
              <w:spacing w:before="0" w:after="100"/>
            </w:pPr>
            <w:r>
              <w:rPr>
                <w:b/>
              </w:rPr>
              <w:t>Why.</w:t>
            </w:r>
            <w:r>
              <w:rPr/>
              <w:t xml:space="preserve"> The skill of Level 3: a decision that gives up nothing has not decided. The answer names a segment that waits and when it is revisited (Materi B2, B3).</w:t>
            </w:r>
          </w:p>
          <w:p>
            <w:pPr>
              <w:spacing w:before="0" w:after="100"/>
            </w:pPr>
            <w:r>
              <w:rPr>
                <w:b/>
              </w:rPr>
              <w:t>Look for.</w:t>
            </w:r>
          </w:p>
          <w:p>
            <w:pPr>
              <w:pStyle w:val="ListBullet"/>
              <w:spacing w:before="0" w:after="40"/>
            </w:pPr>
            <w:r>
              <w:rPr/>
              <w:t>Names a real segment or decision that waits.</w:t>
            </w:r>
          </w:p>
          <w:p>
            <w:pPr>
              <w:pStyle w:val="ListBullet"/>
              <w:spacing w:before="0" w:after="100"/>
            </w:pPr>
            <w:r>
              <w:rPr/>
              <w:t>Names when it gets its turn.</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18"/>
        <w:gridCol w:w="2620"/>
      </w:tblGrid>
      <w:tr>
        <w:trPr>
          <w:cantSplit/>
          <w:tblHeader/>
        </w:trPr>
        <w:tc>
          <w:tcPr>
            <w:tcW w:type="dxa" w:w="7018"/>
            <w:shd w:val="clear" w:color="auto" w:fill="E6ECF4"/>
          </w:tcPr>
          <w:p>
            <w:pPr>
              <w:spacing w:before="0" w:after="0"/>
            </w:pPr>
            <w:r>
              <w:rPr>
                <w:b/>
                <w:sz w:val="20"/>
              </w:rPr>
              <w:t>Section</w:t>
            </w:r>
          </w:p>
        </w:tc>
        <w:tc>
          <w:tcPr>
            <w:tcW w:type="dxa" w:w="2620"/>
            <w:shd w:val="clear" w:color="auto" w:fill="E6ECF4"/>
          </w:tcPr>
          <w:p>
            <w:pPr>
              <w:spacing w:before="0" w:after="0"/>
            </w:pPr>
            <w:r>
              <w:rPr>
                <w:b/>
                <w:sz w:val="20"/>
              </w:rPr>
              <w:t>Shown to participants?</w:t>
            </w:r>
          </w:p>
        </w:tc>
      </w:tr>
      <w:tr>
        <w:trPr>
          <w:cantSplit/>
        </w:trPr>
        <w:tc>
          <w:tcPr>
            <w:tcW w:type="dxa" w:w="7018"/>
          </w:tcPr>
          <w:p>
            <w:pPr>
              <w:spacing w:before="0" w:after="0"/>
            </w:pPr>
            <w:r>
              <w:rPr>
                <w:sz w:val="20"/>
              </w:rPr>
              <w:t>How to use this document</w:t>
            </w:r>
          </w:p>
        </w:tc>
        <w:tc>
          <w:tcPr>
            <w:tcW w:type="dxa" w:w="2620"/>
          </w:tcPr>
          <w:p>
            <w:pPr>
              <w:spacing w:before="0" w:after="0"/>
            </w:pPr>
            <w:r>
              <w:rPr>
                <w:sz w:val="20"/>
              </w:rPr>
              <w:t>No</w:t>
            </w:r>
          </w:p>
        </w:tc>
      </w:tr>
      <w:tr>
        <w:trPr>
          <w:cantSplit/>
        </w:trPr>
        <w:tc>
          <w:tcPr>
            <w:tcW w:type="dxa" w:w="7018"/>
          </w:tcPr>
          <w:p>
            <w:pPr>
              <w:spacing w:before="0" w:after="0"/>
            </w:pPr>
            <w:r>
              <w:rPr>
                <w:sz w:val="20"/>
              </w:rPr>
              <w:t>Assessment criteria (Bewertungskriterien)</w:t>
            </w:r>
          </w:p>
        </w:tc>
        <w:tc>
          <w:tcPr>
            <w:tcW w:type="dxa" w:w="2620"/>
          </w:tcPr>
          <w:p>
            <w:pPr>
              <w:spacing w:before="0" w:after="0"/>
            </w:pPr>
            <w:r>
              <w:rPr>
                <w:sz w:val="20"/>
              </w:rPr>
              <w:t>No</w:t>
            </w:r>
          </w:p>
        </w:tc>
      </w:tr>
      <w:tr>
        <w:trPr>
          <w:cantSplit/>
        </w:trPr>
        <w:tc>
          <w:tcPr>
            <w:tcW w:type="dxa" w:w="7018"/>
          </w:tcPr>
          <w:p>
            <w:pPr>
              <w:spacing w:before="0" w:after="0"/>
            </w:pPr>
            <w:r>
              <w:rPr>
                <w:sz w:val="20"/>
              </w:rPr>
              <w:t>Block 1.1 · model answers (UE2)</w:t>
            </w:r>
          </w:p>
        </w:tc>
        <w:tc>
          <w:tcPr>
            <w:tcW w:type="dxa" w:w="2620"/>
          </w:tcPr>
          <w:p>
            <w:pPr>
              <w:spacing w:before="0" w:after="0"/>
            </w:pPr>
            <w:r>
              <w:rPr>
                <w:sz w:val="20"/>
              </w:rPr>
              <w:t>No</w:t>
            </w:r>
          </w:p>
        </w:tc>
      </w:tr>
      <w:tr>
        <w:trPr>
          <w:cantSplit/>
        </w:trPr>
        <w:tc>
          <w:tcPr>
            <w:tcW w:type="dxa" w:w="7018"/>
          </w:tcPr>
          <w:p>
            <w:pPr>
              <w:spacing w:before="0" w:after="0"/>
            </w:pPr>
            <w:r>
              <w:rPr>
                <w:sz w:val="20"/>
              </w:rPr>
              <w:t>Block 1.2 · model answers (UE3)</w:t>
            </w:r>
          </w:p>
        </w:tc>
        <w:tc>
          <w:tcPr>
            <w:tcW w:type="dxa" w:w="2620"/>
          </w:tcPr>
          <w:p>
            <w:pPr>
              <w:spacing w:before="0" w:after="0"/>
            </w:pPr>
            <w:r>
              <w:rPr>
                <w:sz w:val="20"/>
              </w:rPr>
              <w:t>No</w:t>
            </w:r>
          </w:p>
        </w:tc>
      </w:tr>
      <w:tr>
        <w:trPr>
          <w:cantSplit/>
        </w:trPr>
        <w:tc>
          <w:tcPr>
            <w:tcW w:type="dxa" w:w="7018"/>
          </w:tcPr>
          <w:p>
            <w:pPr>
              <w:spacing w:before="0" w:after="0"/>
            </w:pPr>
            <w:r>
              <w:rPr>
                <w:sz w:val="20"/>
              </w:rPr>
              <w:t>Coaching Focus: From User Image to Decision Basis (UE4)</w:t>
            </w:r>
          </w:p>
        </w:tc>
        <w:tc>
          <w:tcPr>
            <w:tcW w:type="dxa" w:w="2620"/>
          </w:tcPr>
          <w:p>
            <w:pPr>
              <w:spacing w:before="0" w:after="0"/>
            </w:pPr>
            <w:r>
              <w:rPr>
                <w:sz w:val="20"/>
              </w:rPr>
              <w:t>No</w:t>
            </w:r>
          </w:p>
        </w:tc>
      </w:tr>
      <w:tr>
        <w:trPr>
          <w:cantSplit/>
        </w:trPr>
        <w:tc>
          <w:tcPr>
            <w:tcW w:type="dxa" w:w="7018"/>
          </w:tcPr>
          <w:p>
            <w:pPr>
              <w:spacing w:before="0" w:after="0"/>
            </w:pPr>
            <w:r>
              <w:rPr>
                <w:sz w:val="20"/>
              </w:rPr>
              <w:t>Block 1.3 · model answers (UE4)</w:t>
            </w:r>
          </w:p>
        </w:tc>
        <w:tc>
          <w:tcPr>
            <w:tcW w:type="dxa" w:w="2620"/>
          </w:tcPr>
          <w:p>
            <w:pPr>
              <w:spacing w:before="0" w:after="0"/>
            </w:pPr>
            <w:r>
              <w:rPr>
                <w:sz w:val="20"/>
              </w:rPr>
              <w:t>No</w:t>
            </w:r>
          </w:p>
        </w:tc>
      </w:tr>
      <w:tr>
        <w:trPr>
          <w:cantSplit/>
        </w:trPr>
        <w:tc>
          <w:tcPr>
            <w:tcW w:type="dxa" w:w="7018"/>
          </w:tcPr>
          <w:p>
            <w:pPr>
              <w:spacing w:before="0" w:after="0"/>
            </w:pPr>
            <w:r>
              <w:rPr>
                <w:sz w:val="20"/>
              </w:rPr>
              <w:t>The plan's model solution: core logic (UE5–6)</w:t>
            </w:r>
          </w:p>
        </w:tc>
        <w:tc>
          <w:tcPr>
            <w:tcW w:type="dxa" w:w="2620"/>
          </w:tcPr>
          <w:p>
            <w:pPr>
              <w:spacing w:before="0" w:after="0"/>
            </w:pPr>
            <w:r>
              <w:rPr>
                <w:sz w:val="20"/>
              </w:rPr>
              <w:t>Only after the work, in the debrief</w:t>
            </w:r>
          </w:p>
        </w:tc>
      </w:tr>
      <w:tr>
        <w:trPr>
          <w:cantSplit/>
        </w:trPr>
        <w:tc>
          <w:tcPr>
            <w:tcW w:type="dxa" w:w="7018"/>
          </w:tcPr>
          <w:p>
            <w:pPr>
              <w:spacing w:before="0" w:after="0"/>
            </w:pPr>
            <w:r>
              <w:rPr>
                <w:sz w:val="20"/>
              </w:rPr>
              <w:t>Block 2.1 · model answers (UE5–6)</w:t>
            </w:r>
          </w:p>
        </w:tc>
        <w:tc>
          <w:tcPr>
            <w:tcW w:type="dxa" w:w="2620"/>
          </w:tcPr>
          <w:p>
            <w:pPr>
              <w:spacing w:before="0" w:after="0"/>
            </w:pPr>
            <w:r>
              <w:rPr>
                <w:sz w:val="20"/>
              </w:rPr>
              <w:t>No</w:t>
            </w:r>
          </w:p>
        </w:tc>
      </w:tr>
      <w:tr>
        <w:trPr>
          <w:cantSplit/>
        </w:trPr>
        <w:tc>
          <w:tcPr>
            <w:tcW w:type="dxa" w:w="7018"/>
          </w:tcPr>
          <w:p>
            <w:pPr>
              <w:spacing w:before="0" w:after="0"/>
            </w:pPr>
            <w:r>
              <w:rPr>
                <w:sz w:val="20"/>
              </w:rPr>
              <w:t>Block 2.2 · model answers (UE5–6)</w:t>
            </w:r>
          </w:p>
        </w:tc>
        <w:tc>
          <w:tcPr>
            <w:tcW w:type="dxa" w:w="2620"/>
          </w:tcPr>
          <w:p>
            <w:pPr>
              <w:spacing w:before="0" w:after="0"/>
            </w:pPr>
            <w:r>
              <w:rPr>
                <w:sz w:val="20"/>
              </w:rPr>
              <w:t>No</w:t>
            </w:r>
          </w:p>
        </w:tc>
      </w:tr>
      <w:tr>
        <w:trPr>
          <w:cantSplit/>
        </w:trPr>
        <w:tc>
          <w:tcPr>
            <w:tcW w:type="dxa" w:w="7018"/>
          </w:tcPr>
          <w:p>
            <w:pPr>
              <w:spacing w:before="0" w:after="0"/>
            </w:pPr>
            <w:r>
              <w:rPr>
                <w:sz w:val="20"/>
              </w:rPr>
              <w:t>Debrief of the case study (UE6)</w:t>
            </w:r>
          </w:p>
        </w:tc>
        <w:tc>
          <w:tcPr>
            <w:tcW w:type="dxa" w:w="2620"/>
          </w:tcPr>
          <w:p>
            <w:pPr>
              <w:spacing w:before="0" w:after="0"/>
            </w:pPr>
            <w:r>
              <w:rPr>
                <w:sz w:val="20"/>
              </w:rPr>
              <w:t>Only after the work, in the debrief</w:t>
            </w:r>
          </w:p>
        </w:tc>
      </w:tr>
      <w:tr>
        <w:trPr>
          <w:cantSplit/>
        </w:trPr>
        <w:tc>
          <w:tcPr>
            <w:tcW w:type="dxa" w:w="7018"/>
          </w:tcPr>
          <w:p>
            <w:pPr>
              <w:spacing w:before="0" w:after="0"/>
            </w:pPr>
            <w:r>
              <w:rPr>
                <w:sz w:val="20"/>
              </w:rPr>
              <w:t>Feedback with a Strategic Perspective (UE7)</w:t>
            </w:r>
          </w:p>
        </w:tc>
        <w:tc>
          <w:tcPr>
            <w:tcW w:type="dxa" w:w="2620"/>
          </w:tcPr>
          <w:p>
            <w:pPr>
              <w:spacing w:before="0" w:after="0"/>
            </w:pPr>
            <w:r>
              <w:rPr>
                <w:sz w:val="20"/>
              </w:rPr>
              <w:t>No</w:t>
            </w:r>
          </w:p>
        </w:tc>
      </w:tr>
      <w:tr>
        <w:trPr>
          <w:cantSplit/>
        </w:trPr>
        <w:tc>
          <w:tcPr>
            <w:tcW w:type="dxa" w:w="7018"/>
          </w:tcPr>
          <w:p>
            <w:pPr>
              <w:spacing w:before="0" w:after="0"/>
            </w:pPr>
            <w:r>
              <w:rPr>
                <w:sz w:val="20"/>
              </w:rPr>
              <w:t>Transition from Level 2 to Level 3 (Übergang)</w:t>
            </w:r>
          </w:p>
        </w:tc>
        <w:tc>
          <w:tcPr>
            <w:tcW w:type="dxa" w:w="2620"/>
          </w:tcPr>
          <w:p>
            <w:pPr>
              <w:spacing w:before="0" w:after="0"/>
            </w:pPr>
            <w:r>
              <w:rPr>
                <w:sz w:val="20"/>
              </w:rPr>
              <w:t>No</w:t>
            </w:r>
          </w:p>
        </w:tc>
      </w:tr>
      <w:tr>
        <w:trPr>
          <w:cantSplit/>
        </w:trPr>
        <w:tc>
          <w:tcPr>
            <w:tcW w:type="dxa" w:w="7018"/>
          </w:tcPr>
          <w:p>
            <w:pPr>
              <w:spacing w:before="0" w:after="0"/>
            </w:pPr>
            <w:r>
              <w:rPr>
                <w:sz w:val="20"/>
              </w:rPr>
              <w:t>What the plan asks and where the worksheet answers it (UE8–10)</w:t>
            </w:r>
          </w:p>
        </w:tc>
        <w:tc>
          <w:tcPr>
            <w:tcW w:type="dxa" w:w="2620"/>
          </w:tcPr>
          <w:p>
            <w:pPr>
              <w:spacing w:before="0" w:after="0"/>
            </w:pPr>
            <w:r>
              <w:rPr>
                <w:sz w:val="20"/>
              </w:rPr>
              <w:t>No</w:t>
            </w:r>
          </w:p>
        </w:tc>
      </w:tr>
      <w:tr>
        <w:trPr>
          <w:cantSplit/>
        </w:trPr>
        <w:tc>
          <w:tcPr>
            <w:tcW w:type="dxa" w:w="7018"/>
          </w:tcPr>
          <w:p>
            <w:pPr>
              <w:spacing w:before="0" w:after="0"/>
            </w:pPr>
            <w:r>
              <w:rPr>
                <w:sz w:val="20"/>
              </w:rPr>
              <w:t>Block 3.1 · model answers (UE9)</w:t>
            </w:r>
          </w:p>
        </w:tc>
        <w:tc>
          <w:tcPr>
            <w:tcW w:type="dxa" w:w="2620"/>
          </w:tcPr>
          <w:p>
            <w:pPr>
              <w:spacing w:before="0" w:after="0"/>
            </w:pPr>
            <w:r>
              <w:rPr>
                <w:sz w:val="20"/>
              </w:rPr>
              <w:t>No</w:t>
            </w:r>
          </w:p>
        </w:tc>
      </w:tr>
      <w:tr>
        <w:trPr>
          <w:cantSplit/>
        </w:trPr>
        <w:tc>
          <w:tcPr>
            <w:tcW w:type="dxa" w:w="7018"/>
          </w:tcPr>
          <w:p>
            <w:pPr>
              <w:spacing w:before="0" w:after="0"/>
            </w:pPr>
            <w:r>
              <w:rPr>
                <w:sz w:val="20"/>
              </w:rPr>
              <w:t>Block 3.2 · model answers (UE10)</w:t>
            </w:r>
          </w:p>
        </w:tc>
        <w:tc>
          <w:tcPr>
            <w:tcW w:type="dxa" w:w="2620"/>
          </w:tcPr>
          <w:p>
            <w:pPr>
              <w:spacing w:before="0" w:after="0"/>
            </w:pPr>
            <w:r>
              <w:rPr>
                <w:sz w:val="20"/>
              </w:rPr>
              <w:t>No</w:t>
            </w:r>
          </w:p>
        </w:tc>
      </w:tr>
      <w:tr>
        <w:trPr>
          <w:cantSplit/>
        </w:trPr>
        <w:tc>
          <w:tcPr>
            <w:tcW w:type="dxa" w:w="7018"/>
          </w:tcPr>
          <w:p>
            <w:pPr>
              <w:spacing w:before="0" w:after="0"/>
            </w:pPr>
            <w:r>
              <w:rPr>
                <w:sz w:val="20"/>
              </w:rPr>
              <w:t>Debrief of the transfer project (UE10)</w:t>
            </w:r>
          </w:p>
        </w:tc>
        <w:tc>
          <w:tcPr>
            <w:tcW w:type="dxa" w:w="2620"/>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6</w:t>
            </w:r>
          </w:p>
        </w:tc>
        <w:tc>
          <w:tcPr>
            <w:tcW w:type="dxa" w:w="6608"/>
          </w:tcPr>
          <w:p>
            <w:pPr>
              <w:spacing w:before="0" w:after="0"/>
            </w:pPr>
            <w:r>
              <w:rPr>
                <w:sz w:val="20"/>
              </w:rPr>
              <w:t>https://aion-dl.vercel.app/day/6/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6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EduPath: Coaching, Feedback and Model Solutions</dc:title>
  <dc:subject>DAY 6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