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231a45" w:val="clear"/>
            <w:tcMar>
              <w:top w:w="200.0" w:type="dxa"/>
              <w:left w:w="200.0" w:type="dxa"/>
              <w:bottom w:w="200.0" w:type="dxa"/>
              <w:right w:w="200.0" w:type="dxa"/>
            </w:tcMar>
          </w:tcPr>
          <w:p w:rsidR="00000000" w:rsidDel="00000000" w:rsidP="00000000" w:rsidRDefault="00000000" w:rsidRPr="00000000" w14:paraId="00000002">
            <w:pPr>
              <w:rPr/>
            </w:pPr>
            <w:r w:rsidDel="00000000" w:rsidR="00000000" w:rsidRPr="00000000">
              <w:rPr>
                <w:b w:val="1"/>
                <w:bCs w:val="1"/>
                <w:color w:val="ffffff"/>
                <w:sz w:val="20"/>
                <w:szCs w:val="20"/>
                <w:rtl w:val="0"/>
              </w:rPr>
              <w:t xml:space="preserve">AION · Day 10 — Intelligent Interfaces &amp; AI-assisted UX</w:t>
            </w:r>
            <w:r w:rsidDel="00000000" w:rsidR="00000000" w:rsidRPr="00000000">
              <w:rPr>
                <w:rtl w:val="0"/>
              </w:rPr>
            </w:r>
          </w:p>
          <w:p w:rsidR="00000000" w:rsidDel="00000000" w:rsidP="00000000" w:rsidRDefault="00000000" w:rsidRPr="00000000" w14:paraId="00000003">
            <w:pPr>
              <w:spacing w:before="60" w:lineRule="auto"/>
              <w:rPr/>
            </w:pPr>
            <w:r w:rsidDel="00000000" w:rsidR="00000000" w:rsidRPr="00000000">
              <w:rPr>
                <w:b w:val="1"/>
                <w:bCs w:val="1"/>
                <w:color w:val="ffffff"/>
                <w:sz w:val="32"/>
                <w:szCs w:val="32"/>
                <w:rtl w:val="0"/>
              </w:rPr>
              <w:t xml:space="preserve">Task 4 — Worksheet: The strategic AI-UX decision</w:t>
            </w:r>
            <w:r w:rsidDel="00000000" w:rsidR="00000000" w:rsidRPr="00000000">
              <w:rPr>
                <w:rtl w:val="0"/>
              </w:rPr>
            </w:r>
          </w:p>
        </w:tc>
      </w:tr>
    </w:tbl>
    <w:p w:rsidR="00000000" w:rsidDel="00000000" w:rsidP="00000000" w:rsidRDefault="00000000" w:rsidRPr="00000000" w14:paraId="00000004">
      <w:pPr>
        <w:spacing w:after="120" w:lineRule="auto"/>
        <w:rPr/>
      </w:pPr>
      <w:r w:rsidDel="00000000" w:rsidR="00000000" w:rsidRPr="00000000">
        <w:rPr>
          <w:rtl w:val="0"/>
        </w:rPr>
      </w:r>
    </w:p>
    <w:tbl>
      <w:tblPr>
        <w:tblStyle w:val="Table2"/>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6854"/>
        <w:tblGridChange w:id="0">
          <w:tblGrid>
            <w:gridCol w:w="3225"/>
            <w:gridCol w:w="685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5">
            <w:pPr>
              <w:jc w:val="left"/>
              <w:rPr/>
            </w:pPr>
            <w:r w:rsidDel="00000000" w:rsidR="00000000" w:rsidRPr="00000000">
              <w:rPr>
                <w:b w:val="1"/>
                <w:bCs w:val="1"/>
                <w:i w:val="0"/>
                <w:iCs w:val="0"/>
                <w:color w:val="231a45"/>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6">
            <w:pPr>
              <w:jc w:val="left"/>
              <w:rPr/>
            </w:pPr>
            <w:r w:rsidDel="00000000" w:rsidR="00000000" w:rsidRPr="00000000">
              <w:rPr>
                <w:i w:val="0"/>
                <w:iCs w:val="0"/>
                <w:color w:val="231a45"/>
                <w:sz w:val="20"/>
                <w:szCs w:val="20"/>
                <w:rtl w:val="0"/>
              </w:rPr>
              <w:t xml:space="preserve">Level 3 — Management decision (graded on internal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7">
            <w:pPr>
              <w:jc w:val="left"/>
              <w:rPr/>
            </w:pPr>
            <w:r w:rsidDel="00000000" w:rsidR="00000000" w:rsidRPr="00000000">
              <w:rPr>
                <w:b w:val="1"/>
                <w:bCs w:val="1"/>
                <w:i w:val="0"/>
                <w:iCs w:val="0"/>
                <w:color w:val="231a45"/>
                <w:sz w:val="20"/>
                <w:szCs w:val="20"/>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8">
            <w:pPr>
              <w:jc w:val="left"/>
              <w:rPr/>
            </w:pPr>
            <w:r w:rsidDel="00000000" w:rsidR="00000000" w:rsidRPr="00000000">
              <w:rPr>
                <w:i w:val="0"/>
                <w:iCs w:val="0"/>
                <w:color w:val="231a45"/>
                <w:sz w:val="20"/>
                <w:szCs w:val="20"/>
                <w:rtl w:val="0"/>
              </w:rPr>
              <w:t xml:space="preserve">70–90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9">
            <w:pPr>
              <w:jc w:val="left"/>
              <w:rPr/>
            </w:pPr>
            <w:r w:rsidDel="00000000" w:rsidR="00000000" w:rsidRPr="00000000">
              <w:rPr>
                <w:b w:val="1"/>
                <w:bCs w:val="1"/>
                <w:i w:val="0"/>
                <w:iCs w:val="0"/>
                <w:color w:val="231a45"/>
                <w:sz w:val="20"/>
                <w:szCs w:val="20"/>
                <w:rtl w:val="0"/>
              </w:rPr>
              <w:t xml:space="preserve">Reference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jc w:val="left"/>
              <w:rPr/>
            </w:pPr>
            <w:r w:rsidDel="00000000" w:rsidR="00000000" w:rsidRPr="00000000">
              <w:rPr>
                <w:i w:val="0"/>
                <w:iCs w:val="0"/>
                <w:color w:val="231a45"/>
                <w:sz w:val="20"/>
                <w:szCs w:val="20"/>
                <w:rtl w:val="0"/>
              </w:rPr>
              <w:t xml:space="preserve">Everything from Task 1–3 (9 tools) + Duolingo as a real product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0B">
            <w:pPr>
              <w:jc w:val="left"/>
              <w:rPr/>
            </w:pPr>
            <w:r w:rsidDel="00000000" w:rsidR="00000000" w:rsidRPr="00000000">
              <w:rPr>
                <w:b w:val="1"/>
                <w:bCs w:val="1"/>
                <w:i w:val="0"/>
                <w:iCs w:val="0"/>
                <w:color w:val="231a45"/>
                <w:sz w:val="20"/>
                <w:szCs w:val="20"/>
                <w:rtl w:val="0"/>
              </w:rPr>
              <w:t xml:space="preserve">Graded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jc w:val="left"/>
              <w:rPr/>
            </w:pPr>
            <w:r w:rsidDel="00000000" w:rsidR="00000000" w:rsidRPr="00000000">
              <w:rPr>
                <w:i w:val="0"/>
                <w:iCs w:val="0"/>
                <w:color w:val="231a45"/>
                <w:sz w:val="20"/>
                <w:szCs w:val="20"/>
                <w:rtl w:val="0"/>
              </w:rPr>
              <w:t xml:space="preserve">Prioritisation table + risk analysis + 1 management statement</w:t>
            </w:r>
            <w:r w:rsidDel="00000000" w:rsidR="00000000" w:rsidRPr="00000000">
              <w:rPr>
                <w:rtl w:val="0"/>
              </w:rPr>
            </w:r>
          </w:p>
        </w:tc>
      </w:tr>
    </w:tbl>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spacing w:after="100" w:before="200" w:lineRule="auto"/>
        <w:rPr/>
      </w:pPr>
      <w:r w:rsidDel="00000000" w:rsidR="00000000" w:rsidRPr="00000000">
        <w:rPr>
          <w:b w:val="1"/>
          <w:bCs w:val="1"/>
          <w:color w:val="5624d0"/>
          <w:sz w:val="26"/>
          <w:szCs w:val="26"/>
          <w:rtl w:val="0"/>
        </w:rPr>
        <w:t xml:space="preserve">The scenario (read carefully)</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color w:val="231a45"/>
          <w:sz w:val="20"/>
          <w:szCs w:val="20"/>
          <w:rtl w:val="0"/>
        </w:rPr>
        <w:t xml:space="preserve">You are the Chief Experience Officer of a small startup, "BelajarCepat", an AI study assistant with ~5,000 free users. Your CEO just came back from a conference and says: "Everyone is talking about AI. Make our product feel smarter and more personalised — like the best tools out there." You have three months and a small budget.</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b w:val="1"/>
          <w:bCs w:val="1"/>
          <w:color w:val="231a45"/>
          <w:sz w:val="20"/>
          <w:szCs w:val="20"/>
          <w:rtl w:val="0"/>
        </w:rPr>
        <w:t xml:space="preserve">Hard constraints (these do not change):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Budget only covers ONE major AI-UX initiative this quarter — you cannot do all of them.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User data is thin: you have usage logs, but no rich profiles and no consent for aggressive personalisation.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Trust is fragile — a wrong or creepy recommendation could push free users to leave.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The CEO wants something visible to users within the quarter.</w:t>
      </w:r>
      <w:r w:rsidDel="00000000" w:rsidR="00000000" w:rsidRPr="00000000">
        <w:rPr>
          <w:rtl w:val="0"/>
        </w:rPr>
      </w:r>
    </w:p>
    <w:p w:rsidR="00000000" w:rsidDel="00000000" w:rsidP="00000000" w:rsidRDefault="00000000" w:rsidRPr="00000000" w14:paraId="00000015">
      <w:pPr>
        <w:pBdr>
          <w:left w:color="5624d0" w:space="0" w:sz="24" w:val="single"/>
        </w:pBdr>
        <w:shd w:fill="eee9f9" w:val="clear"/>
        <w:spacing w:after="120" w:before="100" w:lineRule="auto"/>
        <w:rPr/>
      </w:pPr>
      <w:r w:rsidDel="00000000" w:rsidR="00000000" w:rsidRPr="00000000">
        <w:rPr>
          <w:b w:val="1"/>
          <w:bCs w:val="1"/>
          <w:color w:val="231a45"/>
          <w:sz w:val="20"/>
          <w:szCs w:val="20"/>
          <w:rtl w:val="0"/>
        </w:rPr>
        <w:t xml:space="preserve">Your job is NOT to pick AI features you like. </w:t>
      </w:r>
      <w:r w:rsidDel="00000000" w:rsidR="00000000" w:rsidRPr="00000000">
        <w:rPr>
          <w:color w:val="231a45"/>
          <w:sz w:val="20"/>
          <w:szCs w:val="20"/>
          <w:rtl w:val="0"/>
        </w:rPr>
        <w:t xml:space="preserve">It is to make a defensible decision under these constraints, using the same lenses from Day 10: transparency, control, recoverability, trust.</w:t>
      </w:r>
      <w:r w:rsidDel="00000000" w:rsidR="00000000" w:rsidRPr="00000000">
        <w:rPr>
          <w:rtl w:val="0"/>
        </w:rPr>
      </w:r>
    </w:p>
    <w:p w:rsidR="00000000" w:rsidDel="00000000" w:rsidP="00000000" w:rsidRDefault="00000000" w:rsidRPr="00000000" w14:paraId="00000016">
      <w:pPr>
        <w:pBdr>
          <w:left w:color="5624d0" w:space="0" w:sz="24" w:val="single"/>
        </w:pBdr>
        <w:shd w:fill="eee9f9" w:val="clear"/>
        <w:spacing w:after="120" w:before="60" w:lineRule="auto"/>
        <w:rPr/>
      </w:pPr>
      <w:r w:rsidDel="00000000" w:rsidR="00000000" w:rsidRPr="00000000">
        <w:rPr>
          <w:b w:val="1"/>
          <w:bCs w:val="1"/>
          <w:color w:val="231a45"/>
          <w:sz w:val="20"/>
          <w:szCs w:val="20"/>
          <w:rtl w:val="0"/>
        </w:rPr>
        <w:t xml:space="preserve">Real benchmark — Duolingo: </w:t>
      </w:r>
      <w:r w:rsidDel="00000000" w:rsidR="00000000" w:rsidRPr="00000000">
        <w:rPr>
          <w:color w:val="231a45"/>
          <w:sz w:val="20"/>
          <w:szCs w:val="20"/>
          <w:rtl w:val="0"/>
        </w:rPr>
        <w:t xml:space="preserve">Before you decide, look at how Duolingo (a real study app your product resembles) handles AI. It adapts difficulty and personalises practice, but keeps streaks and reminders as simple rules — it does NOT try to deep-personalise everything. Use this as evidence for what a lean, trusted study app actually ships.</w:t>
      </w:r>
      <w:r w:rsidDel="00000000" w:rsidR="00000000" w:rsidRPr="00000000">
        <w:rPr>
          <w:rtl w:val="0"/>
        </w:rPr>
      </w:r>
    </w:p>
    <w:p w:rsidR="00000000" w:rsidDel="00000000" w:rsidP="00000000" w:rsidRDefault="00000000" w:rsidRPr="00000000" w14:paraId="00000017">
      <w:pPr>
        <w:spacing w:after="100" w:before="200" w:lineRule="auto"/>
        <w:rPr/>
      </w:pPr>
      <w:r w:rsidDel="00000000" w:rsidR="00000000" w:rsidRPr="00000000">
        <w:rPr>
          <w:b w:val="1"/>
          <w:bCs w:val="1"/>
          <w:color w:val="231a45"/>
          <w:sz w:val="26"/>
          <w:szCs w:val="26"/>
          <w:rtl w:val="0"/>
        </w:rPr>
        <w:t xml:space="preserve">Step A — Score the four candidate directions</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i w:val="1"/>
          <w:iCs w:val="1"/>
          <w:color w:val="666666"/>
          <w:sz w:val="20"/>
          <w:szCs w:val="20"/>
          <w:rtl w:val="0"/>
        </w:rPr>
        <w:t xml:space="preserve">Each direction is inspired by a real tool you used this day. Rate each 1–5 against the criteria, using your hands-on experience as evidence.</w:t>
      </w:r>
      <w:r w:rsidDel="00000000" w:rsidR="00000000" w:rsidRPr="00000000">
        <w:rPr>
          <w:rtl w:val="0"/>
        </w:rPr>
      </w:r>
    </w:p>
    <w:tbl>
      <w:tblPr>
        <w:tblStyle w:val="Table3"/>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1612"/>
        <w:gridCol w:w="1411"/>
        <w:gridCol w:w="1411"/>
        <w:gridCol w:w="1411"/>
        <w:gridCol w:w="1209"/>
        <w:tblGridChange w:id="0">
          <w:tblGrid>
            <w:gridCol w:w="3024"/>
            <w:gridCol w:w="1612"/>
            <w:gridCol w:w="1411"/>
            <w:gridCol w:w="1411"/>
            <w:gridCol w:w="1411"/>
            <w:gridCol w:w="120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b w:val="1"/>
                <w:bCs w:val="1"/>
                <w:i w:val="0"/>
                <w:iCs w:val="0"/>
                <w:color w:val="ffffff"/>
                <w:sz w:val="20"/>
                <w:szCs w:val="20"/>
                <w:rtl w:val="0"/>
              </w:rPr>
              <w:t xml:space="preserve">Candidate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b w:val="1"/>
                <w:bCs w:val="1"/>
                <w:i w:val="0"/>
                <w:iCs w:val="0"/>
                <w:color w:val="ffffff"/>
                <w:sz w:val="20"/>
                <w:szCs w:val="20"/>
                <w:rtl w:val="0"/>
              </w:rPr>
              <w:t xml:space="preserve">User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b w:val="1"/>
                <w:bCs w:val="1"/>
                <w:i w:val="0"/>
                <w:iCs w:val="0"/>
                <w:color w:val="ffffff"/>
                <w:sz w:val="20"/>
                <w:szCs w:val="20"/>
                <w:rtl w:val="0"/>
              </w:rPr>
              <w:t xml:space="preserve">Trust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b w:val="1"/>
                <w:bCs w:val="1"/>
                <w:i w:val="0"/>
                <w:iCs w:val="0"/>
                <w:color w:val="ffffff"/>
                <w:sz w:val="20"/>
                <w:szCs w:val="20"/>
                <w:rtl w:val="0"/>
              </w:rPr>
              <w:t xml:space="preserve">Feasible in 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b w:val="1"/>
                <w:bCs w:val="1"/>
                <w:i w:val="0"/>
                <w:iCs w:val="0"/>
                <w:color w:val="ffffff"/>
                <w:sz w:val="20"/>
                <w:szCs w:val="20"/>
                <w:rtl w:val="0"/>
              </w:rPr>
              <w:t xml:space="preserve">Fits thin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b w:val="1"/>
                <w:bCs w:val="1"/>
                <w:i w:val="0"/>
                <w:iCs w:val="0"/>
                <w:color w:val="ffffff"/>
                <w:sz w:val="20"/>
                <w:szCs w:val="20"/>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i w:val="0"/>
                <w:iCs w:val="0"/>
                <w:color w:val="231a45"/>
                <w:sz w:val="20"/>
                <w:szCs w:val="20"/>
                <w:rtl w:val="0"/>
              </w:rPr>
              <w:t xml:space="preserve">A. Clarifying-question assistant (like Claude): asks before answering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i w:val="0"/>
                <w:iCs w:val="0"/>
                <w:color w:val="231a45"/>
                <w:sz w:val="20"/>
                <w:szCs w:val="20"/>
                <w:rtl w:val="0"/>
              </w:rPr>
              <w:t xml:space="preserve">B. Cited answers (like NotebookLM/Perplexity): every tip links to a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i w:val="0"/>
                <w:iCs w:val="0"/>
                <w:color w:val="231a45"/>
                <w:sz w:val="20"/>
                <w:szCs w:val="20"/>
                <w:rtl w:val="0"/>
              </w:rPr>
              <w:t xml:space="preserve">C. Auto-generated study plans (like Bolt/Lovable): one click, full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i w:val="0"/>
                <w:iCs w:val="0"/>
                <w:color w:val="231a45"/>
                <w:sz w:val="20"/>
                <w:szCs w:val="20"/>
                <w:rtl w:val="0"/>
              </w:rPr>
              <w:t xml:space="preserve">D. Deep personalised feed (like a learning recommender): predicts what to study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tl w:val="0"/>
              </w:rPr>
            </w:r>
          </w:p>
        </w:tc>
      </w:tr>
    </w:tbl>
    <w:p w:rsidR="00000000" w:rsidDel="00000000" w:rsidP="00000000" w:rsidRDefault="00000000" w:rsidRPr="00000000" w14:paraId="00000037">
      <w:pPr>
        <w:spacing w:after="80" w:lineRule="auto"/>
        <w:rPr/>
      </w:pPr>
      <w:r w:rsidDel="00000000" w:rsidR="00000000" w:rsidRPr="00000000">
        <w:rPr>
          <w:i w:val="1"/>
          <w:iCs w:val="1"/>
          <w:color w:val="888888"/>
          <w:sz w:val="18"/>
          <w:szCs w:val="18"/>
          <w:rtl w:val="0"/>
        </w:rPr>
        <w:t xml:space="preserve">Note: for "Trust risk", a LOWER real-world risk should score HIGHER — state your scoring convention so your totals stay consistent.</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b w:val="1"/>
          <w:bCs w:val="1"/>
          <w:color w:val="231a45"/>
          <w:sz w:val="26"/>
          <w:szCs w:val="26"/>
          <w:rtl w:val="0"/>
        </w:rPr>
        <w:t xml:space="preserve">Step B — Make the call</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color w:val="231a45"/>
          <w:sz w:val="20"/>
          <w:szCs w:val="20"/>
          <w:rtl w:val="0"/>
        </w:rPr>
        <w:t xml:space="preserve">Pick ONE direction to build this quarter. Then name ONE you deliberately postpone and say why. A good answer owns its trade-offs — and can point to what Duolingo actually does as evidence.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We build this quarter: ______________  because ______________________________</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31a45"/>
          <w:sz w:val="20"/>
          <w:szCs w:val="20"/>
          <w:u w:val="none"/>
          <w:shd w:fill="auto" w:val="clear"/>
          <w:vertAlign w:val="baseline"/>
          <w:rtl w:val="0"/>
        </w:rPr>
        <w:t xml:space="preserve">We deliberately postpone: ______________  because __________________________</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spacing w:after="100" w:before="200" w:lineRule="auto"/>
        <w:rPr/>
      </w:pPr>
      <w:r w:rsidDel="00000000" w:rsidR="00000000" w:rsidRPr="00000000">
        <w:rPr>
          <w:b w:val="1"/>
          <w:bCs w:val="1"/>
          <w:color w:val="231a45"/>
          <w:sz w:val="26"/>
          <w:szCs w:val="26"/>
          <w:rtl w:val="0"/>
        </w:rPr>
        <w:t xml:space="preserve">Step C — Risk analysis</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color w:val="231a45"/>
          <w:sz w:val="20"/>
          <w:szCs w:val="20"/>
          <w:rtl w:val="0"/>
        </w:rPr>
        <w:t xml:space="preserve">For your chosen direction, name the single assumption that, if wrong, would hurt users or trust the most — and how you would detect it early.</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b w:val="1"/>
                <w:bCs w:val="1"/>
                <w:i w:val="0"/>
                <w:iCs w:val="0"/>
                <w:color w:val="ffffff"/>
                <w:sz w:val="20"/>
                <w:szCs w:val="20"/>
                <w:rtl w:val="0"/>
              </w:rPr>
              <w:t xml:space="preserve">Riskiest assumption behind my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b w:val="1"/>
                <w:bCs w:val="1"/>
                <w:i w:val="0"/>
                <w:iCs w:val="0"/>
                <w:color w:val="ffffff"/>
                <w:sz w:val="20"/>
                <w:szCs w:val="20"/>
                <w:rtl w:val="0"/>
              </w:rPr>
              <w:t xml:space="preserve">Early warning signal I would watch</w:t>
            </w:r>
            <w:r w:rsidDel="00000000" w:rsidR="00000000" w:rsidRPr="00000000">
              <w:rPr>
                <w:rtl w:val="0"/>
              </w:rPr>
            </w:r>
          </w:p>
        </w:tc>
      </w:tr>
      <w:tr>
        <w:trPr>
          <w:cantSplit w:val="0"/>
          <w:trHeight w:val="90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00" w:before="200" w:lineRule="auto"/>
        <w:rPr/>
      </w:pPr>
      <w:r w:rsidDel="00000000" w:rsidR="00000000" w:rsidRPr="00000000">
        <w:rPr>
          <w:b w:val="1"/>
          <w:bCs w:val="1"/>
          <w:color w:val="231a45"/>
          <w:sz w:val="26"/>
          <w:szCs w:val="26"/>
          <w:rtl w:val="0"/>
        </w:rPr>
        <w:t xml:space="preserve">Step D — Management statement (required)</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color w:val="231a45"/>
          <w:sz w:val="20"/>
          <w:szCs w:val="20"/>
          <w:rtl w:val="0"/>
        </w:rPr>
        <w:t xml:space="preserve">Write a 4–6 sentence recommendation to your CEO. It must: (1) state your decision clearly, (2) justify it against the constraints, (3) acknowledge what you are NOT doing, and (4) explain how you protect user trust while shipping something visible this quarter.</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rHeight w:val="200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00" w:before="200" w:lineRule="auto"/>
        <w:rPr/>
      </w:pPr>
      <w:r w:rsidDel="00000000" w:rsidR="00000000" w:rsidRPr="00000000">
        <w:rPr>
          <w:b w:val="1"/>
          <w:bCs w:val="1"/>
          <w:color w:val="5624d0"/>
          <w:sz w:val="26"/>
          <w:szCs w:val="26"/>
          <w:rtl w:val="0"/>
        </w:rPr>
        <w:t xml:space="preserve">Grading rubric (total 100 points)</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i w:val="1"/>
          <w:iCs w:val="1"/>
          <w:color w:val="666666"/>
          <w:sz w:val="20"/>
          <w:szCs w:val="20"/>
          <w:rtl w:val="0"/>
        </w:rPr>
        <w:t xml:space="preserve">There is no single correct direction. You are graded on whether your reasoning holds together — do your scores, your decision, your risk analysis, and your statement all point the same way?</w:t>
      </w:r>
      <w:r w:rsidDel="00000000" w:rsidR="00000000" w:rsidRPr="00000000">
        <w:rPr>
          <w:rtl w:val="0"/>
        </w:rPr>
      </w:r>
    </w:p>
    <w:tbl>
      <w:tblPr>
        <w:tblStyle w:val="Table7"/>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2419"/>
        <w:gridCol w:w="2419"/>
        <w:gridCol w:w="2419"/>
        <w:tblGridChange w:id="0">
          <w:tblGrid>
            <w:gridCol w:w="2822"/>
            <w:gridCol w:w="2419"/>
            <w:gridCol w:w="2419"/>
            <w:gridCol w:w="24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b w:val="1"/>
                <w:bCs w:val="1"/>
                <w:i w:val="0"/>
                <w:iCs w:val="0"/>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b w:val="1"/>
                <w:bCs w:val="1"/>
                <w:i w:val="0"/>
                <w:iCs w:val="0"/>
                <w:color w:val="ffffff"/>
                <w:sz w:val="20"/>
                <w:szCs w:val="20"/>
                <w:rtl w:val="0"/>
              </w:rPr>
              <w:t xml:space="preserve">Low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b w:val="1"/>
                <w:bCs w:val="1"/>
                <w:i w:val="0"/>
                <w:iCs w:val="0"/>
                <w:color w:val="ffffff"/>
                <w:sz w:val="20"/>
                <w:szCs w:val="20"/>
                <w:rtl w:val="0"/>
              </w:rPr>
              <w:t xml:space="preserve">Mid (9–17)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31a45" w:val="clea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b w:val="1"/>
                <w:bCs w:val="1"/>
                <w:i w:val="0"/>
                <w:iCs w:val="0"/>
                <w:color w:val="ffffff"/>
                <w:sz w:val="20"/>
                <w:szCs w:val="20"/>
                <w:rtl w:val="0"/>
              </w:rPr>
              <w:t xml:space="preserve">High (18–25)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b w:val="1"/>
                <w:bCs w:val="1"/>
                <w:i w:val="0"/>
                <w:iCs w:val="0"/>
                <w:color w:val="231a45"/>
                <w:sz w:val="20"/>
                <w:szCs w:val="20"/>
                <w:rtl w:val="0"/>
              </w:rPr>
              <w:t xml:space="preserve">Scoring consistency (25) — totals match the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i w:val="0"/>
                <w:iCs w:val="0"/>
                <w:color w:val="231a45"/>
                <w:sz w:val="18"/>
                <w:szCs w:val="18"/>
                <w:rtl w:val="0"/>
              </w:rPr>
              <w:t xml:space="preserve">Scores contradict the final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i w:val="0"/>
                <w:iCs w:val="0"/>
                <w:color w:val="231a45"/>
                <w:sz w:val="18"/>
                <w:szCs w:val="18"/>
                <w:rtl w:val="0"/>
              </w:rPr>
              <w:t xml:space="preserve">Mostly aligned, minor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i w:val="0"/>
                <w:iCs w:val="0"/>
                <w:color w:val="231a45"/>
                <w:sz w:val="18"/>
                <w:szCs w:val="18"/>
                <w:rtl w:val="0"/>
              </w:rPr>
              <w:t xml:space="preserve">Decision follows directly from the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jc w:val="left"/>
              <w:rPr/>
            </w:pPr>
            <w:r w:rsidDel="00000000" w:rsidR="00000000" w:rsidRPr="00000000">
              <w:rPr>
                <w:b w:val="1"/>
                <w:bCs w:val="1"/>
                <w:i w:val="0"/>
                <w:iCs w:val="0"/>
                <w:color w:val="231a45"/>
                <w:sz w:val="20"/>
                <w:szCs w:val="20"/>
                <w:rtl w:val="0"/>
              </w:rPr>
              <w:t xml:space="preserve">Trade-off honesty (25) — owns what is postponed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i w:val="0"/>
                <w:iCs w:val="0"/>
                <w:color w:val="231a45"/>
                <w:sz w:val="18"/>
                <w:szCs w:val="18"/>
                <w:rtl w:val="0"/>
              </w:rPr>
              <w:t xml:space="preserve">Claims to do everything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i w:val="0"/>
                <w:iCs w:val="0"/>
                <w:color w:val="231a45"/>
                <w:sz w:val="18"/>
                <w:szCs w:val="18"/>
                <w:rtl w:val="0"/>
              </w:rPr>
              <w:t xml:space="preserve">Names a postponed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jc w:val="left"/>
              <w:rPr/>
            </w:pPr>
            <w:r w:rsidDel="00000000" w:rsidR="00000000" w:rsidRPr="00000000">
              <w:rPr>
                <w:i w:val="0"/>
                <w:iCs w:val="0"/>
                <w:color w:val="231a45"/>
                <w:sz w:val="18"/>
                <w:szCs w:val="18"/>
                <w:rtl w:val="0"/>
              </w:rPr>
              <w:t xml:space="preserve">Postpones with a constraint-based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b w:val="1"/>
                <w:bCs w:val="1"/>
                <w:i w:val="0"/>
                <w:iCs w:val="0"/>
                <w:color w:val="231a45"/>
                <w:sz w:val="20"/>
                <w:szCs w:val="20"/>
                <w:rtl w:val="0"/>
              </w:rPr>
              <w:t xml:space="preserve">Risk analysis (25) — real assumption + detectable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i w:val="0"/>
                <w:iCs w:val="0"/>
                <w:color w:val="231a45"/>
                <w:sz w:val="18"/>
                <w:szCs w:val="18"/>
                <w:rtl w:val="0"/>
              </w:rPr>
              <w:t xml:space="preserve">Vague or no risk named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i w:val="0"/>
                <w:iCs w:val="0"/>
                <w:color w:val="231a45"/>
                <w:sz w:val="18"/>
                <w:szCs w:val="18"/>
                <w:rtl w:val="0"/>
              </w:rPr>
              <w:t xml:space="preserve">Plausible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i w:val="0"/>
                <w:iCs w:val="0"/>
                <w:color w:val="231a45"/>
                <w:sz w:val="18"/>
                <w:szCs w:val="18"/>
                <w:rtl w:val="0"/>
              </w:rPr>
              <w:t xml:space="preserve">Sharp assumption with a concrete early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b w:val="1"/>
                <w:bCs w:val="1"/>
                <w:i w:val="0"/>
                <w:iCs w:val="0"/>
                <w:color w:val="231a45"/>
                <w:sz w:val="20"/>
                <w:szCs w:val="20"/>
                <w:rtl w:val="0"/>
              </w:rPr>
              <w:t xml:space="preserve">Management statement (25) — clear, constrained, trust-aware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i w:val="0"/>
                <w:iCs w:val="0"/>
                <w:color w:val="231a45"/>
                <w:sz w:val="18"/>
                <w:szCs w:val="18"/>
                <w:rtl w:val="0"/>
              </w:rPr>
              <w:t xml:space="preserve">Buzzwords, ignores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i w:val="0"/>
                <w:iCs w:val="0"/>
                <w:color w:val="231a45"/>
                <w:sz w:val="18"/>
                <w:szCs w:val="18"/>
                <w:rtl w:val="0"/>
              </w:rPr>
              <w:t xml:space="preserve">Decision stated, some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i w:val="0"/>
                <w:iCs w:val="0"/>
                <w:color w:val="231a45"/>
                <w:sz w:val="18"/>
                <w:szCs w:val="18"/>
                <w:rtl w:val="0"/>
              </w:rPr>
              <w:t xml:space="preserve">Decisive, constraint-driven, protects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b w:val="1"/>
                <w:bCs w:val="1"/>
                <w:i w:val="0"/>
                <w:iCs w:val="0"/>
                <w:color w:val="231a45"/>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9f9"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b w:val="1"/>
                <w:bCs w:val="1"/>
                <w:i w:val="0"/>
                <w:iCs w:val="0"/>
                <w:color w:val="231a45"/>
                <w:sz w:val="20"/>
                <w:szCs w:val="20"/>
                <w:rtl w:val="0"/>
              </w:rPr>
              <w:t xml:space="preserve">100 pts</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