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9 · TASK 1 AND TASK 2 · ROUTES 1 AND 2 · LEVELS 1 TO 3</w:t>
      </w:r>
    </w:p>
    <w:p>
      <w:pPr>
        <w:spacing w:before="0" w:after="80" w:line="240" w:lineRule="auto"/>
      </w:pPr>
      <w:r>
        <w:rPr>
          <w:b/>
          <w:sz w:val="52"/>
        </w:rPr>
        <w:t>MoveWell: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9 · Module 4 (day 3 of 3): Gamification strategies, and storytelling with gamification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https://aion-ux-lab.vercel.app/day/9/</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MoveWell,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9.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platforms on the UX team's desk, and MoveWell</w:t>
            </w:r>
          </w:p>
          <w:p>
            <w:pPr>
              <w:spacing w:before="0" w:after="20"/>
              <w:ind w:left="170"/>
            </w:pPr>
            <w:r>
              <w:rPr>
                <w:sz w:val="20"/>
              </w:rPr>
              <w:t>Block 1.1 · Recognise activation and retention potential in a digital offer: SkillRise · JUDGED · Core · about 10 min</w:t>
            </w:r>
          </w:p>
          <w:p>
            <w:pPr>
              <w:spacing w:before="0" w:after="20"/>
              <w:ind w:left="170"/>
            </w:pPr>
            <w:r>
              <w:rPr>
                <w:sz w:val="20"/>
              </w:rPr>
              <w:t>Block 1.2 · Rate gamification under conflicting goals: HealthJourney · JUDGED · Core · about 8 min</w:t>
            </w:r>
          </w:p>
          <w:p>
            <w:pPr>
              <w:spacing w:before="0" w:after="20"/>
              <w:ind w:left="170"/>
            </w:pPr>
            <w:r>
              <w:rPr>
                <w:sz w:val="20"/>
              </w:rPr>
              <w:t>Block 2.1 · Case study: an activation strategy for the prevention programme MoveWell · JUDGED · Core · about 15 min</w:t>
            </w:r>
          </w:p>
          <w:p>
            <w:pPr>
              <w:spacing w:before="0" w:after="20"/>
              <w:ind w:left="170"/>
            </w:pPr>
            <w:r>
              <w:rPr>
                <w:sz w:val="20"/>
              </w:rPr>
              <w:t>The situation: the health provider behind MoveWell, many who start and few who stay</w:t>
            </w:r>
          </w:p>
          <w:p>
            <w:pPr>
              <w:spacing w:before="0" w:after="20"/>
              <w:ind w:left="170"/>
            </w:pPr>
            <w:r>
              <w:rPr>
                <w:sz w:val="20"/>
              </w:rPr>
              <w:t>Block 3.1 · A strategic activation and retention architecture for digital user experiences · JUDGED · Core · about 20 min</w:t>
            </w:r>
          </w:p>
        </w:tc>
      </w:tr>
    </w:tbl>
    <w:p>
      <w:pPr>
        <w:pStyle w:val="Heading1"/>
        <w:pBdr>
          <w:bottom w:val="single" w:sz="8" w:space="2" w:color="17212E"/>
        </w:pBdr>
      </w:pPr>
      <w:r>
        <w:rPr/>
        <w:t>Day at a glance</w:t>
      </w:r>
    </w:p>
    <w:p>
      <w:pPr>
        <w:spacing w:before="0" w:after="100"/>
      </w:pPr>
      <w:r>
        <w:rPr/>
        <w:t xml:space="preserve">Day 9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MoveWell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(MoveWell)</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79"/>
              <w:gridCol w:w="5305"/>
              <w:gridCol w:w="2894"/>
            </w:tblGrid>
            <w:tr>
              <w:trPr>
                <w:cantSplit/>
                <w:tblHeader/>
              </w:trPr>
              <w:tc>
                <w:tcPr>
                  <w:tcW w:type="dxa" w:w="1079"/>
                  <w:shd w:val="clear" w:color="auto" w:fill="E6ECF4"/>
                </w:tcPr>
                <w:p>
                  <w:pPr>
                    <w:spacing w:before="0" w:after="0"/>
                  </w:pPr>
                  <w:r>
                    <w:rPr>
                      <w:b/>
                      <w:sz w:val="20"/>
                    </w:rPr>
                    <w:t>UE</w:t>
                  </w:r>
                </w:p>
              </w:tc>
              <w:tc>
                <w:tcPr>
                  <w:tcW w:type="dxa" w:w="5305"/>
                  <w:shd w:val="clear" w:color="auto" w:fill="E6ECF4"/>
                </w:tcPr>
                <w:p>
                  <w:pPr>
                    <w:spacing w:before="0" w:after="0"/>
                  </w:pPr>
                  <w:r>
                    <w:rPr>
                      <w:b/>
                      <w:sz w:val="20"/>
                    </w:rPr>
                    <w:t>Plan item (Strukturplan, Day 9)</w:t>
                  </w:r>
                </w:p>
              </w:tc>
              <w:tc>
                <w:tcPr>
                  <w:tcW w:type="dxa" w:w="2894"/>
                  <w:shd w:val="clear" w:color="auto" w:fill="E6ECF4"/>
                </w:tcPr>
                <w:p>
                  <w:pPr>
                    <w:spacing w:before="0" w:after="0"/>
                  </w:pPr>
                  <w:r>
                    <w:rPr>
                      <w:b/>
                      <w:sz w:val="20"/>
                    </w:rPr>
                    <w:t>Block in this document</w:t>
                  </w:r>
                </w:p>
              </w:tc>
            </w:tr>
            <w:tr>
              <w:trPr>
                <w:cantSplit/>
              </w:trPr>
              <w:tc>
                <w:tcPr>
                  <w:tcW w:type="dxa" w:w="1079"/>
                </w:tcPr>
                <w:p>
                  <w:pPr>
                    <w:spacing w:before="0" w:after="0"/>
                  </w:pPr>
                  <w:r>
                    <w:rPr>
                      <w:sz w:val="20"/>
                    </w:rPr>
                    <w:t>UE2</w:t>
                  </w:r>
                </w:p>
              </w:tc>
              <w:tc>
                <w:tcPr>
                  <w:tcW w:type="dxa" w:w="5305"/>
                </w:tcPr>
                <w:p>
                  <w:pPr>
                    <w:spacing w:before="0" w:after="0"/>
                  </w:pPr>
                  <w:r>
                    <w:rPr>
                      <w:sz w:val="20"/>
                    </w:rPr>
                    <w:t>Level 1, task 1 · Recognise activation and retention potential in a digital offer: SkillRise</w:t>
                  </w:r>
                </w:p>
              </w:tc>
              <w:tc>
                <w:tcPr>
                  <w:tcW w:type="dxa" w:w="2894"/>
                </w:tcPr>
                <w:p>
                  <w:pPr>
                    <w:spacing w:before="0" w:after="0"/>
                  </w:pPr>
                  <w:r>
                    <w:rPr>
                      <w:sz w:val="20"/>
                    </w:rPr>
                    <w:t>Block 1.1 (Core)</w:t>
                  </w:r>
                </w:p>
              </w:tc>
            </w:tr>
            <w:tr>
              <w:trPr>
                <w:cantSplit/>
              </w:trPr>
              <w:tc>
                <w:tcPr>
                  <w:tcW w:type="dxa" w:w="1079"/>
                </w:tcPr>
                <w:p>
                  <w:pPr>
                    <w:spacing w:before="0" w:after="0"/>
                  </w:pPr>
                  <w:r>
                    <w:rPr>
                      <w:sz w:val="20"/>
                    </w:rPr>
                    <w:t>UE3</w:t>
                  </w:r>
                </w:p>
              </w:tc>
              <w:tc>
                <w:tcPr>
                  <w:tcW w:type="dxa" w:w="5305"/>
                </w:tcPr>
                <w:p>
                  <w:pPr>
                    <w:spacing w:before="0" w:after="0"/>
                  </w:pPr>
                  <w:r>
                    <w:rPr>
                      <w:sz w:val="20"/>
                    </w:rPr>
                    <w:t>Level 1, task 2 · Rate gamification under conflicting goals: HealthJourney</w:t>
                  </w:r>
                </w:p>
              </w:tc>
              <w:tc>
                <w:tcPr>
                  <w:tcW w:type="dxa" w:w="2894"/>
                </w:tcPr>
                <w:p>
                  <w:pPr>
                    <w:spacing w:before="0" w:after="0"/>
                  </w:pPr>
                  <w:r>
                    <w:rPr>
                      <w:sz w:val="20"/>
                    </w:rPr>
                    <w:t>Block 1.2 (Core)</w:t>
                  </w:r>
                </w:p>
              </w:tc>
            </w:tr>
            <w:tr>
              <w:trPr>
                <w:cantSplit/>
              </w:trPr>
              <w:tc>
                <w:tcPr>
                  <w:tcW w:type="dxa" w:w="1079"/>
                </w:tcPr>
                <w:p>
                  <w:pPr>
                    <w:spacing w:before="0" w:after="0"/>
                  </w:pPr>
                  <w:r>
                    <w:rPr>
                      <w:sz w:val="20"/>
                    </w:rPr>
                    <w:t>UE4</w:t>
                  </w:r>
                </w:p>
              </w:tc>
              <w:tc>
                <w:tcPr>
                  <w:tcW w:type="dxa" w:w="5305"/>
                </w:tcPr>
                <w:p>
                  <w:pPr>
                    <w:spacing w:before="0" w:after="0"/>
                  </w:pPr>
                  <w:r>
                    <w:rPr>
                      <w:sz w:val="20"/>
                    </w:rPr>
                    <w:t>Coaching: from describing to deciding</w:t>
                  </w:r>
                </w:p>
              </w:tc>
              <w:tc>
                <w:tcPr>
                  <w:tcW w:type="dxa" w:w="2894"/>
                </w:tcPr>
                <w:p>
                  <w:pPr>
                    <w:spacing w:before="0" w:after="0"/>
                  </w:pPr>
                  <w:r>
                    <w:rPr>
                      <w:sz w:val="20"/>
                    </w:rPr>
                    <w:t>A classroom talk led by the trainer; not a worksheet block</w:t>
                  </w:r>
                </w:p>
              </w:tc>
            </w:tr>
            <w:tr>
              <w:trPr>
                <w:cantSplit/>
              </w:trPr>
              <w:tc>
                <w:tcPr>
                  <w:tcW w:type="dxa" w:w="1079"/>
                </w:tcPr>
                <w:p>
                  <w:pPr>
                    <w:spacing w:before="0" w:after="0"/>
                  </w:pPr>
                  <w:r>
                    <w:rPr>
                      <w:sz w:val="20"/>
                    </w:rPr>
                    <w:t>UE5–6</w:t>
                  </w:r>
                </w:p>
              </w:tc>
              <w:tc>
                <w:tcPr>
                  <w:tcW w:type="dxa" w:w="5305"/>
                </w:tcPr>
                <w:p>
                  <w:pPr>
                    <w:spacing w:before="0" w:after="0"/>
                  </w:pPr>
                  <w:r>
                    <w:rPr>
                      <w:sz w:val="20"/>
                    </w:rPr>
                    <w:t>Level 2 case study · Case study: an activation strategy for the prevention programme MoveWell</w:t>
                  </w:r>
                </w:p>
              </w:tc>
              <w:tc>
                <w:tcPr>
                  <w:tcW w:type="dxa" w:w="2894"/>
                </w:tcPr>
                <w:p>
                  <w:pPr>
                    <w:spacing w:before="0" w:after="0"/>
                  </w:pPr>
                  <w:r>
                    <w:rPr>
                      <w:sz w:val="20"/>
                    </w:rPr>
                    <w:t>Block 2.1 (Core)</w:t>
                  </w:r>
                </w:p>
              </w:tc>
            </w:tr>
            <w:tr>
              <w:trPr>
                <w:cantSplit/>
              </w:trPr>
              <w:tc>
                <w:tcPr>
                  <w:tcW w:type="dxa" w:w="1079"/>
                </w:tcPr>
                <w:p>
                  <w:pPr>
                    <w:spacing w:before="0" w:after="0"/>
                  </w:pPr>
                  <w:r>
                    <w:rPr>
                      <w:sz w:val="20"/>
                    </w:rPr>
                    <w:t>UE7</w:t>
                  </w:r>
                </w:p>
              </w:tc>
              <w:tc>
                <w:tcPr>
                  <w:tcW w:type="dxa" w:w="5305"/>
                </w:tcPr>
                <w:p>
                  <w:pPr>
                    <w:spacing w:before="0" w:after="0"/>
                  </w:pPr>
                  <w:r>
                    <w:rPr>
                      <w:sz w:val="20"/>
                    </w:rPr>
                    <w:t>Feedback round with a management perspective</w:t>
                  </w:r>
                </w:p>
              </w:tc>
              <w:tc>
                <w:tcPr>
                  <w:tcW w:type="dxa" w:w="2894"/>
                </w:tcPr>
                <w:p>
                  <w:pPr>
                    <w:spacing w:before="0" w:after="0"/>
                  </w:pPr>
                  <w:r>
                    <w:rPr>
                      <w:sz w:val="20"/>
                    </w:rPr>
                    <w:t>A classroom discussion led by the trainer; not a worksheet block</w:t>
                  </w:r>
                </w:p>
              </w:tc>
            </w:tr>
            <w:tr>
              <w:trPr>
                <w:cantSplit/>
              </w:trPr>
              <w:tc>
                <w:tcPr>
                  <w:tcW w:type="dxa" w:w="1079"/>
                </w:tcPr>
                <w:p>
                  <w:pPr>
                    <w:spacing w:before="0" w:after="0"/>
                  </w:pPr>
                  <w:r>
                    <w:rPr>
                      <w:sz w:val="20"/>
                    </w:rPr>
                    <w:t>UE8–10</w:t>
                  </w:r>
                </w:p>
              </w:tc>
              <w:tc>
                <w:tcPr>
                  <w:tcW w:type="dxa" w:w="5305"/>
                </w:tcPr>
                <w:p>
                  <w:pPr>
                    <w:spacing w:before="0" w:after="0"/>
                  </w:pPr>
                  <w:r>
                    <w:rPr>
                      <w:sz w:val="20"/>
                    </w:rPr>
                    <w:t>Level 3 transfer project · A strategic activation and retention architecture for digital user experiences</w:t>
                  </w:r>
                </w:p>
              </w:tc>
              <w:tc>
                <w:tcPr>
                  <w:tcW w:type="dxa" w:w="2894"/>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what weakens motivation, then decide what to change</w:t>
      </w:r>
    </w:p>
    <w:p>
      <w:pPr>
        <w:pStyle w:val="Heading2"/>
      </w:pPr>
      <w:r>
        <w:rPr/>
        <w:t>The case: two platforms on the UX team's desk, and MoveWell</w:t>
      </w:r>
    </w:p>
    <w:p>
      <w:pPr>
        <w:spacing w:before="0" w:after="100"/>
      </w:pPr>
      <w:r>
        <w:rPr>
          <w:i/>
        </w:rPr>
        <w:t>Read once · about 3 min</w:t>
      </w:r>
    </w:p>
    <w:p>
      <w:pPr>
        <w:spacing w:before="0" w:after="100"/>
      </w:pPr>
      <w:r>
        <w:rPr/>
        <w:t>You work in the UX team of a digital agency. This week three products land on your desk. Two are warm-ups: SkillRise, a learning and development platform for professional further training, and HealthJourney, a prevention platform that has three designs for how it should activate its users. The main case is MoveWell, a health provider's platform for exercise, prevention and personal health goals. Its content is of high quality, but many users leave after a short time: they find it sensible, but not very motivating. The provider wants more activation and retention without losing seriousness or credibility.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33"/>
        <w:gridCol w:w="4505"/>
      </w:tblGrid>
      <w:tr>
        <w:trPr>
          <w:cantSplit/>
          <w:tblHeader/>
        </w:trPr>
        <w:tc>
          <w:tcPr>
            <w:tcW w:type="dxa" w:w="5133"/>
            <w:shd w:val="clear" w:color="auto" w:fill="E6ECF4"/>
          </w:tcPr>
          <w:p>
            <w:pPr>
              <w:spacing w:before="0" w:after="0"/>
            </w:pPr>
            <w:r>
              <w:rPr>
                <w:b/>
                <w:sz w:val="20"/>
              </w:rPr>
              <w:t>What the plan gives you</w:t>
            </w:r>
          </w:p>
        </w:tc>
        <w:tc>
          <w:tcPr>
            <w:tcW w:type="dxa" w:w="4505"/>
            <w:shd w:val="clear" w:color="auto" w:fill="E6ECF4"/>
          </w:tcPr>
          <w:p>
            <w:pPr>
              <w:spacing w:before="0" w:after="0"/>
            </w:pPr>
            <w:r>
              <w:rPr>
                <w:b/>
                <w:sz w:val="20"/>
              </w:rPr>
              <w:t>How the task runs · three blocks</w:t>
            </w:r>
          </w:p>
        </w:tc>
      </w:tr>
      <w:tr>
        <w:trPr>
          <w:cantSplit/>
        </w:trPr>
        <w:tc>
          <w:tcPr>
            <w:tcW w:type="dxa" w:w="5133"/>
          </w:tcPr>
          <w:p>
            <w:pPr>
              <w:spacing w:before="0" w:after="0"/>
            </w:pPr>
            <w:r>
              <w:rPr>
                <w:sz w:val="20"/>
              </w:rPr>
              <w:t>• Block 1.1: SkillRise, with learning paths, tasks and certificates but little visible progress, only neutral system messages after a completed step, no motivating intermediate goals or milestones, a path sensible in content but not very activating, and nothing that shows personal development or successes</w:t>
            </w:r>
            <w:r>
              <w:br/>
            </w:r>
            <w:r>
              <w:rPr>
                <w:sz w:val="20"/>
              </w:rPr>
              <w:t>• Block 1.2: three activation designs for HealthJourney; adults aged 25 to 65, motivating but serious and trustworthy, a limited budget, no user tests, 10 weeks to release, marketing wants high activation and the department warns against a too playful approach</w:t>
            </w:r>
            <w:r>
              <w:br/>
            </w:r>
            <w:r>
              <w:rPr>
                <w:sz w:val="20"/>
              </w:rPr>
              <w:t>• Block 2.1: MoveWell, with €150,000 and 12 weeks, a brand that must stay trustworthy and close to health, no complete relaunch, limited technical resources for complex features, and only partial user data</w:t>
            </w:r>
          </w:p>
        </w:tc>
        <w:tc>
          <w:tcPr>
            <w:tcW w:type="dxa" w:w="4505"/>
          </w:tcPr>
          <w:p>
            <w:pPr>
              <w:spacing w:before="0" w:after="0"/>
            </w:pPr>
            <w:r>
              <w:rPr>
                <w:sz w:val="20"/>
              </w:rPr>
              <w:t>• Block 1.1: find where SkillRise weakens or promotes activation and retention. Describe the effect, name five places, sort them into six categories, write three effect statements and pick the two biggest weaknesses.</w:t>
            </w:r>
            <w:r>
              <w:br/>
            </w:r>
            <w:r>
              <w:rPr>
                <w:sz w:val="20"/>
              </w:rPr>
              <w:t>• Block 1.2: rate three activation designs under conflicting goals. Rate each on five criteria, choose one, name the conflicts between activation, seriousness and user autonomy and the remaining risks, and write a recommendation to the project lead.</w:t>
            </w:r>
            <w:r>
              <w:br/>
            </w:r>
            <w:r>
              <w:rPr>
                <w:sz w:val="20"/>
              </w:rPr>
              <w:t>• Block 2.1: the case study. The central deficits in activation and retention, sorted into six categories, four measures, justified on four criteria, a decision for the first 12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38"/>
        <w:gridCol w:w="3368"/>
        <w:gridCol w:w="2632"/>
      </w:tblGrid>
      <w:tr>
        <w:trPr>
          <w:cantSplit/>
          <w:tblHeader/>
        </w:trPr>
        <w:tc>
          <w:tcPr>
            <w:tcW w:type="dxa" w:w="3638"/>
            <w:shd w:val="clear" w:color="auto" w:fill="E6ECF4"/>
          </w:tcPr>
          <w:p>
            <w:pPr>
              <w:spacing w:before="0" w:after="0"/>
            </w:pPr>
            <w:r>
              <w:rPr>
                <w:b/>
                <w:sz w:val="20"/>
              </w:rPr>
              <w:t>In the brief</w:t>
            </w:r>
          </w:p>
        </w:tc>
        <w:tc>
          <w:tcPr>
            <w:tcW w:type="dxa" w:w="3368"/>
            <w:shd w:val="clear" w:color="auto" w:fill="E6ECF4"/>
          </w:tcPr>
          <w:p>
            <w:pPr>
              <w:spacing w:before="0" w:after="0"/>
            </w:pPr>
            <w:r>
              <w:rPr>
                <w:b/>
                <w:sz w:val="20"/>
              </w:rPr>
              <w:t>Clear · Case assumption</w:t>
            </w:r>
          </w:p>
        </w:tc>
        <w:tc>
          <w:tcPr>
            <w:tcW w:type="dxa" w:w="2632"/>
            <w:shd w:val="clear" w:color="auto" w:fill="E6ECF4"/>
          </w:tcPr>
          <w:p>
            <w:pPr>
              <w:spacing w:before="0" w:after="0"/>
            </w:pPr>
            <w:r>
              <w:rPr>
                <w:b/>
                <w:sz w:val="20"/>
              </w:rPr>
              <w:t>Open · on purpose</w:t>
            </w:r>
          </w:p>
        </w:tc>
      </w:tr>
      <w:tr>
        <w:trPr>
          <w:cantSplit/>
        </w:trPr>
        <w:tc>
          <w:tcPr>
            <w:tcW w:type="dxa" w:w="3638"/>
          </w:tcPr>
          <w:p>
            <w:pPr>
              <w:spacing w:before="0" w:after="0"/>
            </w:pPr>
            <w:r>
              <w:rPr>
                <w:sz w:val="20"/>
              </w:rPr>
              <w:t>• SkillRise: paths, tasks and certificates; little visible progress; neutral system messages; no milestones; nothing that shows development or success.</w:t>
            </w:r>
            <w:r>
              <w:br/>
            </w:r>
            <w:r>
              <w:rPr>
                <w:sz w:val="20"/>
              </w:rPr>
              <w:t>• HealthJourney: three designs in words; adults 25 to 65; no tests; 10 weeks; marketing's activation against the department's warning.</w:t>
            </w:r>
            <w:r>
              <w:br/>
            </w:r>
            <w:r>
              <w:rPr>
                <w:sz w:val="20"/>
              </w:rPr>
              <w:t>• MoveWell: good content, many leave early; €150,000 and 12 weeks; trustworthy and close to health; no relaunch; partial user data.</w:t>
            </w:r>
          </w:p>
        </w:tc>
        <w:tc>
          <w:tcPr>
            <w:tcW w:type="dxa" w:w="3368"/>
          </w:tcPr>
          <w:p>
            <w:pPr>
              <w:spacing w:before="0" w:after="0"/>
            </w:pPr>
            <w:r>
              <w:rPr>
                <w:sz w:val="20"/>
              </w:rPr>
              <w:t>• You review SkillRise and HealthJourney as an agency would: from their screens, with no access to their data.</w:t>
            </w:r>
            <w:r>
              <w:br/>
            </w:r>
            <w:r>
              <w:rPr>
                <w:sz w:val="20"/>
              </w:rPr>
              <w:t>• SkillRise is bought by employers for their staff; its learners fit it around a full working week.</w:t>
            </w:r>
            <w:r>
              <w:br/>
            </w:r>
            <w:r>
              <w:rPr>
                <w:sz w:val="20"/>
              </w:rPr>
              <w:t>• MoveWell's members set a personal goal at the start (more exercise, a healthier back, more stamina) and log their activities in the app.</w:t>
            </w:r>
            <w:r>
              <w:br/>
            </w:r>
            <w:r>
              <w:rPr>
                <w:sz w:val="20"/>
              </w:rPr>
              <w:t>• MoveWell's messages are written by the IT team that built the platform and are correct.</w:t>
            </w:r>
          </w:p>
        </w:tc>
        <w:tc>
          <w:tcPr>
            <w:tcW w:type="dxa" w:w="2632"/>
          </w:tcPr>
          <w:p>
            <w:pPr>
              <w:spacing w:before="0" w:after="0"/>
            </w:pPr>
            <w:r>
              <w:rPr>
                <w:sz w:val="20"/>
              </w:rPr>
              <w:t>• When exactly people leave MoveWell: the user data is only partial.</w:t>
            </w:r>
            <w:r>
              <w:br/>
            </w:r>
            <w:r>
              <w:rPr>
                <w:sz w:val="20"/>
              </w:rPr>
              <w:t>• Which HealthJourney design the target group would accept: there are no tests.</w:t>
            </w:r>
            <w:r>
              <w:br/>
            </w:r>
            <w:r>
              <w:rPr>
                <w:sz w:val="20"/>
              </w:rPr>
              <w:t>• How much of the €150,000 each measure would take: the plan does not say.</w:t>
            </w:r>
            <w:r>
              <w:br/>
            </w:r>
            <w:r>
              <w:rPr>
                <w:sz w:val="20"/>
              </w:rPr>
              <w:t>• Whether MoveWell's members would welcome game elements at all: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SkillRise with learning paths, tasks and certificates, little visible progress, neutral system messages, no intermediate goals or milestones, content that is sensible but not activating, and nothing that shows development or success; HealthJourney's three designs (A strong gamification with points, badges, daily challenges and rankings; B progress displays, milestones and confirming feedback; C a narrative journey with stages but fewer classic rewards) for adults aged 25 to 65, motivating but serious, a limited budget, no tests, 10 weeks, marketing against the department; MoveWell with good content, many who leave early, faint progress, hardly any feedback on successes, no stages, a functional journey, no link between development and use, technical messages, €150,000, 12 weeks, a trustworthy brand close to health, no relaunch, limited resources and partial data.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the motivation gaps and weigh activation designs · Level 1 · Knowledge</w:t>
      </w:r>
    </w:p>
    <w:p>
      <w:pPr>
        <w:pStyle w:val="Heading2"/>
      </w:pPr>
      <w:r>
        <w:rPr/>
        <w:t>Block 1.1 · Recognise activation and retention potential in a digital offer: SkillRise · JUDGED · Core · about 10 min</w:t>
      </w:r>
    </w:p>
    <w:p>
      <w:pPr>
        <w:spacing w:before="0" w:after="100"/>
      </w:pPr>
      <w:r>
        <w:rPr>
          <w:b/>
        </w:rPr>
        <w:t>Draws on:</w:t>
      </w:r>
      <w:r>
        <w:rPr/>
        <w:t xml:space="preserve"> A1 · Gamification, playful design and a game · A2 · Why people react to progress, feedback and recognition · A3 · Points, badges, levels, streaks.</w:t>
      </w:r>
    </w:p>
    <w:p>
      <w:pPr>
        <w:spacing w:before="0" w:after="100"/>
      </w:pPr>
      <w:r>
        <w:rPr/>
        <w:t>You receive the description of a fictional learning and development platform, SkillRise, for professional further training. Open it and use it as an employee who has been given a learning path by their employer: finish a module and look at your progress. You need no prior knowledge: notice whether you want to come back tomorrow, not only whether the steps work. The aim is to recognise motivation and retention mechanisms systematically and tell them apart from pure functionality.</w:t>
      </w:r>
    </w:p>
    <w:p>
      <w:pPr>
        <w:keepNext/>
        <w:spacing w:before="80" w:after="40"/>
        <w:jc w:val="center"/>
      </w:pPr>
      <w:r>
        <w:drawing>
          <wp:inline xmlns:a="http://schemas.openxmlformats.org/drawingml/2006/main" xmlns:pic="http://schemas.openxmlformats.org/drawingml/2006/picture">
            <wp:extent cx="3546015" cy="5580000"/>
            <wp:docPr id="1" name="Picture 1"/>
            <wp:cNvGraphicFramePr>
              <a:graphicFrameLocks noChangeAspect="1"/>
            </wp:cNvGraphicFramePr>
            <a:graphic>
              <a:graphicData uri="http://schemas.openxmlformats.org/drawingml/2006/picture">
                <pic:pic>
                  <pic:nvPicPr>
                    <pic:cNvPr id="0" name="d9_b1-1_0-117379bc4f93.png"/>
                    <pic:cNvPicPr/>
                  </pic:nvPicPr>
                  <pic:blipFill>
                    <a:blip r:embed="rId10"/>
                    <a:stretch>
                      <a:fillRect/>
                    </a:stretch>
                  </pic:blipFill>
                  <pic:spPr>
                    <a:xfrm>
                      <a:off x="0" y="0"/>
                      <a:ext cx="3546015" cy="5580000"/>
                    </a:xfrm>
                    <a:prstGeom prst="rect"/>
                  </pic:spPr>
                </pic:pic>
              </a:graphicData>
            </a:graphic>
          </wp:inline>
        </w:drawing>
      </w:r>
    </w:p>
    <w:p>
      <w:pPr>
        <w:spacing w:before="0" w:after="160"/>
        <w:jc w:val="center"/>
      </w:pPr>
      <w:r>
        <w:rPr>
          <w:i/>
          <w:color w:val="556274"/>
          <w:sz w:val="18"/>
        </w:rPr>
        <w:t>Figure 1 · SkillRise, as the platform shows it.</w:t>
      </w:r>
    </w:p>
    <w:p>
      <w:pPr>
        <w:spacing w:before="0" w:after="100"/>
      </w:pPr>
      <w:r>
        <w:rPr>
          <w:b/>
        </w:rPr>
        <w:t>Question 1 of 5 · Describe spontaneously what effect the offer could have on motivation and retention</w:t>
      </w:r>
    </w:p>
    <w:p>
      <w:pPr>
        <w:spacing w:before="0" w:after="100"/>
      </w:pPr>
      <w:r>
        <w:rPr/>
        <w:t>Two to four sentences: how it feels to use it, where the feeling comes from, and whether you would come back.</w:t>
      </w:r>
    </w:p>
    <w:p>
      <w:pPr>
        <w:spacing w:before="0" w:after="100"/>
      </w:pPr>
      <w:r>
        <w:rPr>
          <w:i/>
        </w:rPr>
        <w:t>How to build the answer:</w:t>
      </w:r>
    </w:p>
    <w:p>
      <w:pPr>
        <w:pStyle w:val="ListBullet"/>
        <w:spacing w:before="0" w:after="40"/>
      </w:pPr>
      <w:r>
        <w:rPr/>
        <w:t>Open SkillRise, finish a module and look at what the platform tells you afterwards.</w:t>
      </w:r>
    </w:p>
    <w:p>
      <w:pPr>
        <w:pStyle w:val="ListBullet"/>
        <w:spacing w:before="0" w:after="40"/>
      </w:pPr>
      <w:r>
        <w:rPr/>
        <w:t>Write how it feels: do you see how far you have come, what you can do now, why it is worth going on?</w:t>
      </w:r>
    </w:p>
    <w:p>
      <w:pPr>
        <w:pStyle w:val="ListBullet"/>
        <w:spacing w:before="0" w:after="100"/>
      </w:pPr>
      <w:r>
        <w:rPr/>
        <w:t>Add whether you would come back tomorrow,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activation or retention is weakened or promoted</w:t>
      </w:r>
    </w:p>
    <w:p>
      <w:pPr>
        <w:spacing w:before="0" w:after="100"/>
      </w:pPr>
      <w:r>
        <w:rPr>
          <w:i/>
        </w:rPr>
        <w:t>How to build the answer:</w:t>
      </w:r>
    </w:p>
    <w:p>
      <w:pPr>
        <w:pStyle w:val="ListBullet"/>
        <w:spacing w:before="0" w:after="40"/>
      </w:pPr>
      <w:r>
        <w:rPr/>
        <w:t>Go through your visit: the dashboard, the path, a module, the message after it, the profile, the certificate.</w:t>
      </w:r>
    </w:p>
    <w:p>
      <w:pPr>
        <w:pStyle w:val="ListBullet"/>
        <w:spacing w:before="0" w:after="100"/>
      </w:pPr>
      <w:r>
        <w:rPr/>
        <w:t>For each place, say what it does to activation or retention, and whether it weakens or promotes it.</w:t>
      </w:r>
    </w:p>
    <w:p>
      <w:pPr>
        <w:spacing w:before="0" w:after="100"/>
      </w:pPr>
      <w:r>
        <w:rPr/>
        <w:t>Write them as a list, one place per line, and say whether it weakens or promotes activation or retention,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motivation, progress, recognition, feedback, retention and self-efficacy</w:t>
      </w:r>
    </w:p>
    <w:p>
      <w:pPr>
        <w:spacing w:before="0" w:after="100"/>
      </w:pPr>
      <w:r>
        <w:rPr/>
        <w:t>Write the observations that belong to each category in a few words. One may fit two categories;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40"/>
      </w:pPr>
      <w:r>
        <w:rPr/>
        <w:t>Ask which of the six each one affects most, and write it there.</w:t>
      </w:r>
    </w:p>
    <w:p>
      <w:pPr>
        <w:pStyle w:val="ListBullet"/>
        <w:spacing w:before="0" w:after="100"/>
      </w:pPr>
      <w:r>
        <w:rPr/>
        <w:t>Each of the six is touched by SkillRise.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08"/>
        <w:gridCol w:w="5330"/>
      </w:tblGrid>
      <w:tr>
        <w:trPr>
          <w:cantSplit/>
          <w:tblHeader/>
        </w:trPr>
        <w:tc>
          <w:tcPr>
            <w:tcW w:type="dxa" w:w="4308"/>
            <w:shd w:val="clear" w:color="auto" w:fill="E6ECF4"/>
          </w:tcPr>
          <w:p>
            <w:pPr>
              <w:spacing w:before="0" w:after="0"/>
            </w:pPr>
            <w:r>
              <w:rPr>
                <w:b/>
                <w:sz w:val="20"/>
              </w:rPr>
              <w:t>Category</w:t>
            </w:r>
          </w:p>
        </w:tc>
        <w:tc>
          <w:tcPr>
            <w:tcW w:type="dxa" w:w="5330"/>
            <w:shd w:val="clear" w:color="auto" w:fill="E6ECF4"/>
          </w:tcPr>
          <w:p>
            <w:pPr>
              <w:spacing w:before="0" w:after="0"/>
            </w:pPr>
            <w:r>
              <w:rPr>
                <w:b/>
                <w:sz w:val="20"/>
              </w:rPr>
              <w:t>The observations in this category</w:t>
            </w:r>
          </w:p>
        </w:tc>
      </w:tr>
      <w:tr>
        <w:trPr>
          <w:cantSplit/>
          <w:trHeight w:val="538" w:hRule="atLeast"/>
        </w:trPr>
        <w:tc>
          <w:tcPr>
            <w:tcW w:type="dxa" w:w="4308"/>
          </w:tcPr>
          <w:p>
            <w:pPr>
              <w:spacing w:before="0" w:after="0"/>
            </w:pPr>
            <w:r>
              <w:rPr>
                <w:sz w:val="20"/>
              </w:rPr>
              <w:t>Motivation</w:t>
            </w:r>
          </w:p>
        </w:tc>
        <w:tc>
          <w:tcPr>
            <w:tcW w:type="dxa" w:w="5330"/>
          </w:tcPr>
          <w:p/>
        </w:tc>
      </w:tr>
      <w:tr>
        <w:trPr>
          <w:cantSplit/>
          <w:trHeight w:val="538" w:hRule="atLeast"/>
        </w:trPr>
        <w:tc>
          <w:tcPr>
            <w:tcW w:type="dxa" w:w="4308"/>
          </w:tcPr>
          <w:p>
            <w:pPr>
              <w:spacing w:before="0" w:after="0"/>
            </w:pPr>
            <w:r>
              <w:rPr>
                <w:sz w:val="20"/>
              </w:rPr>
              <w:t>Progress</w:t>
            </w:r>
          </w:p>
        </w:tc>
        <w:tc>
          <w:tcPr>
            <w:tcW w:type="dxa" w:w="5330"/>
          </w:tcPr>
          <w:p/>
        </w:tc>
      </w:tr>
      <w:tr>
        <w:trPr>
          <w:cantSplit/>
          <w:trHeight w:val="538" w:hRule="atLeast"/>
        </w:trPr>
        <w:tc>
          <w:tcPr>
            <w:tcW w:type="dxa" w:w="4308"/>
          </w:tcPr>
          <w:p>
            <w:pPr>
              <w:spacing w:before="0" w:after="0"/>
            </w:pPr>
            <w:r>
              <w:rPr>
                <w:sz w:val="20"/>
              </w:rPr>
              <w:t>Recognition</w:t>
            </w:r>
          </w:p>
        </w:tc>
        <w:tc>
          <w:tcPr>
            <w:tcW w:type="dxa" w:w="5330"/>
          </w:tcPr>
          <w:p/>
        </w:tc>
      </w:tr>
      <w:tr>
        <w:trPr>
          <w:cantSplit/>
          <w:trHeight w:val="538" w:hRule="atLeast"/>
        </w:trPr>
        <w:tc>
          <w:tcPr>
            <w:tcW w:type="dxa" w:w="4308"/>
          </w:tcPr>
          <w:p>
            <w:pPr>
              <w:spacing w:before="0" w:after="0"/>
            </w:pPr>
            <w:r>
              <w:rPr>
                <w:sz w:val="20"/>
              </w:rPr>
              <w:t>Feedback</w:t>
            </w:r>
          </w:p>
        </w:tc>
        <w:tc>
          <w:tcPr>
            <w:tcW w:type="dxa" w:w="5330"/>
          </w:tcPr>
          <w:p/>
        </w:tc>
      </w:tr>
      <w:tr>
        <w:trPr>
          <w:cantSplit/>
          <w:trHeight w:val="538" w:hRule="atLeast"/>
        </w:trPr>
        <w:tc>
          <w:tcPr>
            <w:tcW w:type="dxa" w:w="4308"/>
          </w:tcPr>
          <w:p>
            <w:pPr>
              <w:spacing w:before="0" w:after="0"/>
            </w:pPr>
            <w:r>
              <w:rPr>
                <w:sz w:val="20"/>
              </w:rPr>
              <w:t>Retention</w:t>
            </w:r>
          </w:p>
        </w:tc>
        <w:tc>
          <w:tcPr>
            <w:tcW w:type="dxa" w:w="5330"/>
          </w:tcPr>
          <w:p/>
        </w:tc>
      </w:tr>
      <w:tr>
        <w:trPr>
          <w:cantSplit/>
          <w:trHeight w:val="538" w:hRule="atLeast"/>
        </w:trPr>
        <w:tc>
          <w:tcPr>
            <w:tcW w:type="dxa" w:w="4308"/>
          </w:tcPr>
          <w:p>
            <w:pPr>
              <w:spacing w:before="0" w:after="0"/>
            </w:pPr>
            <w:r>
              <w:rPr>
                <w:sz w:val="20"/>
              </w:rPr>
              <w:t>Self-efficacy</w:t>
            </w:r>
          </w:p>
        </w:tc>
        <w:tc>
          <w:tcPr>
            <w:tcW w:type="dxa" w:w="5330"/>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weaknesses with regard to user activation</w:t>
      </w:r>
    </w:p>
    <w:p>
      <w:pPr>
        <w:spacing w:before="0" w:after="100"/>
      </w:pPr>
      <w:r>
        <w:rPr>
          <w:i/>
        </w:rPr>
        <w:t>How to build the answer:</w:t>
      </w:r>
    </w:p>
    <w:p>
      <w:pPr>
        <w:pStyle w:val="ListBullet"/>
        <w:spacing w:before="0" w:after="40"/>
      </w:pPr>
      <w:r>
        <w:rPr/>
        <w:t>Look at your places with one question: which gap stops people from starting the next step on their own?</w:t>
      </w:r>
    </w:p>
    <w:p>
      <w:pPr>
        <w:pStyle w:val="ListBullet"/>
        <w:spacing w:before="0" w:after="100"/>
      </w:pPr>
      <w:r>
        <w:rPr/>
        <w:t>Pick the two that weigh most and say why.</w:t>
      </w:r>
    </w:p>
    <w:p>
      <w:pPr>
        <w:spacing w:before="0" w:after="100"/>
      </w:pPr>
      <w:r>
        <w:rPr/>
        <w:t>Write them as a list, the bigger weakness first,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gamification under conflicting goals: HealthJourney · JUDGED · Core · about 8 min</w:t>
      </w:r>
    </w:p>
    <w:p>
      <w:pPr>
        <w:spacing w:before="0" w:after="100"/>
      </w:pPr>
      <w:r>
        <w:rPr>
          <w:b/>
        </w:rPr>
        <w:t>Draws on:</w:t>
      </w:r>
      <w:r>
        <w:rPr/>
        <w:t xml:space="preserve"> A3 · Points, badges, levels, streaks · A4 · Story and game together, and a quick spike against lasting use · A5 · Intrinsic motivation, credible gamification in serious fields, and weighing a measure.</w:t>
      </w:r>
    </w:p>
    <w:p>
      <w:pPr>
        <w:spacing w:before="0" w:after="100"/>
      </w:pPr>
      <w:r>
        <w:rPr/>
        <w:t>HealthJourney is a platform for health prevention. Three designs for its activation logic are described in words: A) strong gamification with points, badges, daily challenges and rankings; B) a restrained activation logic with progress displays, milestones and confirming feedback; C) a narratively embedded user journey with motivating stages, but less visible classic reward elements. The conditions: the target group is adults aged 25 to 65, the company wants to motivate but stay serious and trustworthy, the budget for technical extensions is limited, there are no user tests yet, the release is in 10 weeks, and marketing demands high activation while the department warns against too playful an approach. Decide anyway, and say what you assume.</w:t>
      </w:r>
    </w:p>
    <w:p>
      <w:pPr>
        <w:keepNext/>
        <w:spacing w:before="80" w:after="40"/>
        <w:jc w:val="center"/>
      </w:pPr>
      <w:r>
        <w:drawing>
          <wp:inline xmlns:a="http://schemas.openxmlformats.org/drawingml/2006/main" xmlns:pic="http://schemas.openxmlformats.org/drawingml/2006/picture">
            <wp:extent cx="5940000" cy="2301505"/>
            <wp:docPr id="2" name="Picture 2"/>
            <wp:cNvGraphicFramePr>
              <a:graphicFrameLocks noChangeAspect="1"/>
            </wp:cNvGraphicFramePr>
            <a:graphic>
              <a:graphicData uri="http://schemas.openxmlformats.org/drawingml/2006/picture">
                <pic:pic>
                  <pic:nvPicPr>
                    <pic:cNvPr id="0" name="d9_b1-2_0-b79f137e8414.png"/>
                    <pic:cNvPicPr/>
                  </pic:nvPicPr>
                  <pic:blipFill>
                    <a:blip r:embed="rId11"/>
                    <a:stretch>
                      <a:fillRect/>
                    </a:stretch>
                  </pic:blipFill>
                  <pic:spPr>
                    <a:xfrm>
                      <a:off x="0" y="0"/>
                      <a:ext cx="5940000" cy="2301505"/>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motivation, credibility, long-term retention, clarity and user acceptance</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target group in mind: adults aged 25 to 65, in a health context.</w:t>
      </w:r>
    </w:p>
    <w:p>
      <w:pPr>
        <w:pStyle w:val="ListBullet"/>
        <w:spacing w:before="0" w:after="40"/>
      </w:pPr>
      <w:r>
        <w:rPr/>
        <w:t>For each criterion, say how the variant does and why.</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25"/>
        <w:gridCol w:w="1582"/>
        <w:gridCol w:w="1582"/>
        <w:gridCol w:w="1582"/>
        <w:gridCol w:w="1582"/>
        <w:gridCol w:w="1585"/>
      </w:tblGrid>
      <w:tr>
        <w:trPr>
          <w:cantSplit/>
          <w:tblHeader/>
        </w:trPr>
        <w:tc>
          <w:tcPr>
            <w:tcW w:type="dxa" w:w="1725"/>
            <w:shd w:val="clear" w:color="auto" w:fill="E6ECF4"/>
          </w:tcPr>
          <w:p>
            <w:pPr>
              <w:spacing w:before="0" w:after="0"/>
            </w:pPr>
            <w:r>
              <w:rPr>
                <w:b/>
                <w:sz w:val="19"/>
              </w:rPr>
              <w:t>Variant</w:t>
            </w:r>
          </w:p>
        </w:tc>
        <w:tc>
          <w:tcPr>
            <w:tcW w:type="dxa" w:w="1582"/>
            <w:shd w:val="clear" w:color="auto" w:fill="E6ECF4"/>
          </w:tcPr>
          <w:p>
            <w:pPr>
              <w:spacing w:before="0" w:after="0"/>
            </w:pPr>
            <w:r>
              <w:rPr>
                <w:b/>
                <w:sz w:val="19"/>
              </w:rPr>
              <w:t>Motivation</w:t>
            </w:r>
          </w:p>
        </w:tc>
        <w:tc>
          <w:tcPr>
            <w:tcW w:type="dxa" w:w="1582"/>
            <w:shd w:val="clear" w:color="auto" w:fill="E6ECF4"/>
          </w:tcPr>
          <w:p>
            <w:pPr>
              <w:spacing w:before="0" w:after="0"/>
            </w:pPr>
            <w:r>
              <w:rPr>
                <w:b/>
                <w:sz w:val="19"/>
              </w:rPr>
              <w:t>Credibility</w:t>
            </w:r>
          </w:p>
        </w:tc>
        <w:tc>
          <w:tcPr>
            <w:tcW w:type="dxa" w:w="1582"/>
            <w:shd w:val="clear" w:color="auto" w:fill="E6ECF4"/>
          </w:tcPr>
          <w:p>
            <w:pPr>
              <w:spacing w:before="0" w:after="0"/>
            </w:pPr>
            <w:r>
              <w:rPr>
                <w:b/>
                <w:sz w:val="19"/>
              </w:rPr>
              <w:t>Long-term retention</w:t>
            </w:r>
          </w:p>
        </w:tc>
        <w:tc>
          <w:tcPr>
            <w:tcW w:type="dxa" w:w="1582"/>
            <w:shd w:val="clear" w:color="auto" w:fill="E6ECF4"/>
          </w:tcPr>
          <w:p>
            <w:pPr>
              <w:spacing w:before="0" w:after="0"/>
            </w:pPr>
            <w:r>
              <w:rPr>
                <w:b/>
                <w:sz w:val="19"/>
              </w:rPr>
              <w:t>Clarity</w:t>
            </w:r>
          </w:p>
        </w:tc>
        <w:tc>
          <w:tcPr>
            <w:tcW w:type="dxa" w:w="1585"/>
            <w:shd w:val="clear" w:color="auto" w:fill="E6ECF4"/>
          </w:tcPr>
          <w:p>
            <w:pPr>
              <w:spacing w:before="0" w:after="0"/>
            </w:pPr>
            <w:r>
              <w:rPr>
                <w:b/>
                <w:sz w:val="19"/>
              </w:rPr>
              <w:t>User acceptance</w:t>
            </w:r>
          </w:p>
        </w:tc>
      </w:tr>
      <w:tr>
        <w:trPr>
          <w:cantSplit/>
          <w:trHeight w:val="538" w:hRule="atLeast"/>
          <w:trHeight w:val="538" w:hRule="atLeast"/>
          <w:trHeight w:val="538" w:hRule="atLeast"/>
          <w:trHeight w:val="538" w:hRule="atLeast"/>
          <w:trHeight w:val="538" w:hRule="atLeast"/>
        </w:trPr>
        <w:tc>
          <w:tcPr>
            <w:tcW w:type="dxa" w:w="1725"/>
          </w:tcPr>
          <w:p>
            <w:pPr>
              <w:spacing w:before="0" w:after="0"/>
            </w:pPr>
            <w:r>
              <w:rPr>
                <w:sz w:val="19"/>
              </w:rPr>
              <w:t>Variant A · points, badges, daily challenges, rankings</w:t>
            </w:r>
          </w:p>
        </w:tc>
        <w:tc>
          <w:tcPr>
            <w:tcW w:type="dxa" w:w="1582"/>
          </w:tcPr>
          <w:p/>
        </w:tc>
        <w:tc>
          <w:tcPr>
            <w:tcW w:type="dxa" w:w="1582"/>
          </w:tcPr>
          <w:p/>
        </w:tc>
        <w:tc>
          <w:tcPr>
            <w:tcW w:type="dxa" w:w="1582"/>
          </w:tcPr>
          <w:p/>
        </w:tc>
        <w:tc>
          <w:tcPr>
            <w:tcW w:type="dxa" w:w="1582"/>
          </w:tcPr>
          <w:p/>
        </w:tc>
        <w:tc>
          <w:tcPr>
            <w:tcW w:type="dxa" w:w="1585"/>
          </w:tcPr>
          <w:p/>
        </w:tc>
      </w:tr>
      <w:tr>
        <w:trPr>
          <w:cantSplit/>
          <w:trHeight w:val="538" w:hRule="atLeast"/>
          <w:trHeight w:val="538" w:hRule="atLeast"/>
          <w:trHeight w:val="538" w:hRule="atLeast"/>
          <w:trHeight w:val="538" w:hRule="atLeast"/>
          <w:trHeight w:val="538" w:hRule="atLeast"/>
        </w:trPr>
        <w:tc>
          <w:tcPr>
            <w:tcW w:type="dxa" w:w="1725"/>
          </w:tcPr>
          <w:p>
            <w:pPr>
              <w:spacing w:before="0" w:after="0"/>
            </w:pPr>
            <w:r>
              <w:rPr>
                <w:sz w:val="19"/>
              </w:rPr>
              <w:t>Variant B · progress displays, milestones, confirming feedback</w:t>
            </w:r>
          </w:p>
        </w:tc>
        <w:tc>
          <w:tcPr>
            <w:tcW w:type="dxa" w:w="1582"/>
          </w:tcPr>
          <w:p/>
        </w:tc>
        <w:tc>
          <w:tcPr>
            <w:tcW w:type="dxa" w:w="1582"/>
          </w:tcPr>
          <w:p/>
        </w:tc>
        <w:tc>
          <w:tcPr>
            <w:tcW w:type="dxa" w:w="1582"/>
          </w:tcPr>
          <w:p/>
        </w:tc>
        <w:tc>
          <w:tcPr>
            <w:tcW w:type="dxa" w:w="1582"/>
          </w:tcPr>
          <w:p/>
        </w:tc>
        <w:tc>
          <w:tcPr>
            <w:tcW w:type="dxa" w:w="1585"/>
          </w:tcPr>
          <w:p/>
        </w:tc>
      </w:tr>
      <w:tr>
        <w:trPr>
          <w:cantSplit/>
          <w:trHeight w:val="538" w:hRule="atLeast"/>
          <w:trHeight w:val="538" w:hRule="atLeast"/>
          <w:trHeight w:val="538" w:hRule="atLeast"/>
          <w:trHeight w:val="538" w:hRule="atLeast"/>
          <w:trHeight w:val="538" w:hRule="atLeast"/>
        </w:trPr>
        <w:tc>
          <w:tcPr>
            <w:tcW w:type="dxa" w:w="1725"/>
          </w:tcPr>
          <w:p>
            <w:pPr>
              <w:spacing w:before="0" w:after="0"/>
            </w:pPr>
            <w:r>
              <w:rPr>
                <w:sz w:val="19"/>
              </w:rPr>
              <w:t>Variant C · a narrative journey with stages, fewer rewards</w:t>
            </w:r>
          </w:p>
        </w:tc>
        <w:tc>
          <w:tcPr>
            <w:tcW w:type="dxa" w:w="1582"/>
          </w:tcPr>
          <w:p/>
        </w:tc>
        <w:tc>
          <w:tcPr>
            <w:tcW w:type="dxa" w:w="1582"/>
          </w:tcPr>
          <w:p/>
        </w:tc>
        <w:tc>
          <w:tcPr>
            <w:tcW w:type="dxa" w:w="1582"/>
          </w:tcPr>
          <w:p/>
        </w:tc>
        <w:tc>
          <w:tcPr>
            <w:tcW w:type="dxa" w:w="1582"/>
          </w:tcPr>
          <w:p/>
        </w:tc>
        <w:tc>
          <w:tcPr>
            <w:tcW w:type="dxa" w:w="1585"/>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points, badges, daily challenges, rankings</w:t>
      </w:r>
    </w:p>
    <w:p>
      <w:pPr>
        <w:spacing w:before="0" w:after="20"/>
        <w:ind w:left="340" w:hanging="340"/>
      </w:pPr>
      <w:r>
        <w:rPr/>
        <w:t>☐ Variant B · progress displays, milestones, confirming feedback</w:t>
      </w:r>
    </w:p>
    <w:p>
      <w:pPr>
        <w:spacing w:before="0" w:after="120"/>
        <w:ind w:left="340" w:hanging="340"/>
      </w:pPr>
      <w:r>
        <w:rPr/>
        <w:t>☐ Variant C · a narrative journey with stages, fewer rewards</w:t>
      </w:r>
    </w:p>
    <w:p>
      <w:pPr>
        <w:spacing w:before="0" w:after="100"/>
      </w:pPr>
      <w:r>
        <w:rPr>
          <w:b/>
        </w:rPr>
        <w:t>Why this variant, under these conditions?</w:t>
      </w:r>
    </w:p>
    <w:p>
      <w:pPr>
        <w:spacing w:before="0" w:after="100"/>
      </w:pPr>
      <w:r>
        <w:rPr/>
        <w:t>Give your reason with the conditions: adults aged 25 to 65, motivating but serious and trustworthy, a limited budget, no tests, 10 weeks, marketing against the department.</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activation, seriousness and user autonomy</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activation needs (strong signals, daily triggers), what seriousness needs (a calm, credible tone) and what autonomy needs (people choose what and when).</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an activation strategy for the prevention programme MoveWell · JUDGED · Core · about 15 min</w:t>
      </w:r>
    </w:p>
    <w:p>
      <w:pPr>
        <w:spacing w:before="0" w:after="100"/>
      </w:pPr>
      <w:r>
        <w:rPr>
          <w:b/>
        </w:rPr>
        <w:t>Draws on:</w:t>
      </w:r>
      <w:r>
        <w:rPr/>
        <w:t xml:space="preserve"> A1 · Gamification, playful design and a game · A2 · Why people react to progress, feedback and recognition · A3 · Points, badges, levels, streaks · A4 · Story and game together, and a quick spike against lasting use · A5 · Intrinsic motivation, credible gamification in serious fields, and weighing a measure.</w:t>
      </w:r>
    </w:p>
    <w:p>
      <w:pPr>
        <w:spacing w:before="0" w:after="100"/>
      </w:pPr>
      <w:r>
        <w:rPr/>
        <w:t>A health provider runs MoveWell, a digital platform for exercise, prevention and personal health goals. Its content is of high quality, but many users leave after a short time. The platform is experienced as sensible, but not very motivating. The company wants to raise activation and retention without losing seriousness or credibility. The observed problems: progress is only faintly visible; successes are hardly fed back or emotionally reinforced; motivating intermediate goals and stages are missing; the user journey is functional but not very activating; there is no clear link between individual development and the experience of use; and the feedback so far is technical and not very stimulating. The conditions: a budget of €150,000, 12 weeks for the implementation, a brand that must stay trustworthy and close to health, no complete relaunch, limited technical resources for complex features, and only partial user data. You work through six steps.</w:t>
      </w:r>
    </w:p>
    <w:p>
      <w:pPr>
        <w:keepNext/>
        <w:spacing w:before="80" w:after="40"/>
        <w:jc w:val="center"/>
      </w:pPr>
      <w:r>
        <w:drawing>
          <wp:inline xmlns:a="http://schemas.openxmlformats.org/drawingml/2006/main" xmlns:pic="http://schemas.openxmlformats.org/drawingml/2006/picture">
            <wp:extent cx="4961091" cy="5579999"/>
            <wp:docPr id="3" name="Picture 3"/>
            <wp:cNvGraphicFramePr>
              <a:graphicFrameLocks noChangeAspect="1"/>
            </wp:cNvGraphicFramePr>
            <a:graphic>
              <a:graphicData uri="http://schemas.openxmlformats.org/drawingml/2006/picture">
                <pic:pic>
                  <pic:nvPicPr>
                    <pic:cNvPr id="0" name="d9_b2-1_0-0c30cd1d35f1.png"/>
                    <pic:cNvPicPr/>
                  </pic:nvPicPr>
                  <pic:blipFill>
                    <a:blip r:embed="rId12"/>
                    <a:stretch>
                      <a:fillRect/>
                    </a:stretch>
                  </pic:blipFill>
                  <pic:spPr>
                    <a:xfrm>
                      <a:off x="0" y="0"/>
                      <a:ext cx="4961091" cy="5579999"/>
                    </a:xfrm>
                    <a:prstGeom prst="rect"/>
                  </pic:spPr>
                </pic:pic>
              </a:graphicData>
            </a:graphic>
          </wp:inline>
        </w:drawing>
      </w:r>
    </w:p>
    <w:p>
      <w:pPr>
        <w:spacing w:before="0" w:after="160"/>
        <w:jc w:val="center"/>
      </w:pPr>
      <w:r>
        <w:rPr>
          <w:i/>
          <w:color w:val="556274"/>
          <w:sz w:val="18"/>
        </w:rPr>
        <w:t>Figure 3 · MoveWell today.</w:t>
      </w:r>
    </w:p>
    <w:p>
      <w:pPr>
        <w:spacing w:before="0" w:after="100"/>
      </w:pPr>
      <w:r>
        <w:rPr>
          <w:b/>
        </w:rPr>
        <w:t>Question 1 of 6 · Analyse the central deficits in activation and retention</w:t>
      </w:r>
    </w:p>
    <w:p>
      <w:pPr>
        <w:spacing w:before="0" w:after="100"/>
      </w:pPr>
      <w:r>
        <w:rPr>
          <w:i/>
        </w:rPr>
        <w:t>How to build the answer:</w:t>
      </w:r>
    </w:p>
    <w:p>
      <w:pPr>
        <w:pStyle w:val="ListBullet"/>
        <w:spacing w:before="0" w:after="40"/>
      </w:pPr>
      <w:r>
        <w:rPr/>
        <w:t>Open MoveWell and use it as a member for a week: set your goal, log activities, look at your progress and the messages.</w:t>
      </w:r>
    </w:p>
    <w:p>
      <w:pPr>
        <w:pStyle w:val="ListBullet"/>
        <w:spacing w:before="0" w:after="100"/>
      </w:pPr>
      <w:r>
        <w:rPr/>
        <w:t>Write one deficit per line and what it does to motivation or retention.</w:t>
      </w:r>
    </w:p>
    <w:p>
      <w:pPr>
        <w:spacing w:before="0" w:after="100"/>
      </w:pPr>
      <w:r>
        <w:rPr/>
        <w:t>Write them as a list, one deficit per line, each with what it does to motivation or retention.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progress, feedback, motivation, self-efficacy, credibility and long-term retention</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40"/>
      </w:pPr>
      <w:r>
        <w:rPr/>
        <w:t>Ask which of the six categories each one affects most, and write it there.</w:t>
      </w:r>
    </w:p>
    <w:p>
      <w:pPr>
        <w:pStyle w:val="ListBullet"/>
        <w:spacing w:before="0" w:after="100"/>
      </w:pPr>
      <w:r>
        <w:rPr/>
        <w:t>Credibility: ask what any change must protect.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72"/>
        <w:gridCol w:w="5066"/>
      </w:tblGrid>
      <w:tr>
        <w:trPr>
          <w:cantSplit/>
          <w:tblHeader/>
        </w:trPr>
        <w:tc>
          <w:tcPr>
            <w:tcW w:type="dxa" w:w="4572"/>
            <w:shd w:val="clear" w:color="auto" w:fill="E6ECF4"/>
          </w:tcPr>
          <w:p>
            <w:pPr>
              <w:spacing w:before="0" w:after="0"/>
            </w:pPr>
            <w:r>
              <w:rPr>
                <w:b/>
                <w:sz w:val="20"/>
              </w:rPr>
              <w:t>Category</w:t>
            </w:r>
          </w:p>
        </w:tc>
        <w:tc>
          <w:tcPr>
            <w:tcW w:type="dxa" w:w="5066"/>
            <w:shd w:val="clear" w:color="auto" w:fill="E6ECF4"/>
          </w:tcPr>
          <w:p>
            <w:pPr>
              <w:spacing w:before="0" w:after="0"/>
            </w:pPr>
            <w:r>
              <w:rPr>
                <w:b/>
                <w:sz w:val="20"/>
              </w:rPr>
              <w:t>The problems in this category</w:t>
            </w:r>
          </w:p>
        </w:tc>
      </w:tr>
      <w:tr>
        <w:trPr>
          <w:cantSplit/>
          <w:trHeight w:val="538" w:hRule="atLeast"/>
        </w:trPr>
        <w:tc>
          <w:tcPr>
            <w:tcW w:type="dxa" w:w="4572"/>
          </w:tcPr>
          <w:p>
            <w:pPr>
              <w:spacing w:before="0" w:after="0"/>
            </w:pPr>
            <w:r>
              <w:rPr>
                <w:sz w:val="20"/>
              </w:rPr>
              <w:t>Progress</w:t>
            </w:r>
          </w:p>
        </w:tc>
        <w:tc>
          <w:tcPr>
            <w:tcW w:type="dxa" w:w="5066"/>
          </w:tcPr>
          <w:p/>
        </w:tc>
      </w:tr>
      <w:tr>
        <w:trPr>
          <w:cantSplit/>
          <w:trHeight w:val="538" w:hRule="atLeast"/>
        </w:trPr>
        <w:tc>
          <w:tcPr>
            <w:tcW w:type="dxa" w:w="4572"/>
          </w:tcPr>
          <w:p>
            <w:pPr>
              <w:spacing w:before="0" w:after="0"/>
            </w:pPr>
            <w:r>
              <w:rPr>
                <w:sz w:val="20"/>
              </w:rPr>
              <w:t>Feedback</w:t>
            </w:r>
          </w:p>
        </w:tc>
        <w:tc>
          <w:tcPr>
            <w:tcW w:type="dxa" w:w="5066"/>
          </w:tcPr>
          <w:p/>
        </w:tc>
      </w:tr>
      <w:tr>
        <w:trPr>
          <w:cantSplit/>
          <w:trHeight w:val="538" w:hRule="atLeast"/>
        </w:trPr>
        <w:tc>
          <w:tcPr>
            <w:tcW w:type="dxa" w:w="4572"/>
          </w:tcPr>
          <w:p>
            <w:pPr>
              <w:spacing w:before="0" w:after="0"/>
            </w:pPr>
            <w:r>
              <w:rPr>
                <w:sz w:val="20"/>
              </w:rPr>
              <w:t>Motivation</w:t>
            </w:r>
          </w:p>
        </w:tc>
        <w:tc>
          <w:tcPr>
            <w:tcW w:type="dxa" w:w="5066"/>
          </w:tcPr>
          <w:p/>
        </w:tc>
      </w:tr>
      <w:tr>
        <w:trPr>
          <w:cantSplit/>
          <w:trHeight w:val="538" w:hRule="atLeast"/>
        </w:trPr>
        <w:tc>
          <w:tcPr>
            <w:tcW w:type="dxa" w:w="4572"/>
          </w:tcPr>
          <w:p>
            <w:pPr>
              <w:spacing w:before="0" w:after="0"/>
            </w:pPr>
            <w:r>
              <w:rPr>
                <w:sz w:val="20"/>
              </w:rPr>
              <w:t>Self-efficacy</w:t>
            </w:r>
          </w:p>
        </w:tc>
        <w:tc>
          <w:tcPr>
            <w:tcW w:type="dxa" w:w="5066"/>
          </w:tcPr>
          <w:p/>
        </w:tc>
      </w:tr>
      <w:tr>
        <w:trPr>
          <w:cantSplit/>
          <w:trHeight w:val="538" w:hRule="atLeast"/>
        </w:trPr>
        <w:tc>
          <w:tcPr>
            <w:tcW w:type="dxa" w:w="4572"/>
          </w:tcPr>
          <w:p>
            <w:pPr>
              <w:spacing w:before="0" w:after="0"/>
            </w:pPr>
            <w:r>
              <w:rPr>
                <w:sz w:val="20"/>
              </w:rPr>
              <w:t>Credibility</w:t>
            </w:r>
          </w:p>
        </w:tc>
        <w:tc>
          <w:tcPr>
            <w:tcW w:type="dxa" w:w="5066"/>
          </w:tcPr>
          <w:p/>
        </w:tc>
      </w:tr>
      <w:tr>
        <w:trPr>
          <w:cantSplit/>
          <w:trHeight w:val="538" w:hRule="atLeast"/>
        </w:trPr>
        <w:tc>
          <w:tcPr>
            <w:tcW w:type="dxa" w:w="4572"/>
          </w:tcPr>
          <w:p>
            <w:pPr>
              <w:spacing w:before="0" w:after="0"/>
            </w:pPr>
            <w:r>
              <w:rPr>
                <w:sz w:val="20"/>
              </w:rPr>
              <w:t>Long-term retention</w:t>
            </w:r>
          </w:p>
        </w:tc>
        <w:tc>
          <w:tcPr>
            <w:tcW w:type="dxa" w:w="5066"/>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12 weeks and €150,000, without a relaunch and without complex features.</w:t>
      </w:r>
    </w:p>
    <w:p>
      <w:pPr>
        <w:pStyle w:val="ListBullet"/>
        <w:spacing w:before="0" w:after="100"/>
      </w:pPr>
      <w:r>
        <w:rPr/>
        <w:t>Put them in order: what gives people a reason to come back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measures what they change for motivation and coming back.</w:t>
      </w:r>
    </w:p>
    <w:p>
      <w:pPr>
        <w:pStyle w:val="ListBullet"/>
        <w:spacing w:before="0" w:after="40"/>
      </w:pPr>
      <w:r>
        <w:rPr/>
        <w:t>Say what is feasible without a relaunch and with limited resources, and the risk of each.</w:t>
      </w:r>
    </w:p>
    <w:p>
      <w:pPr>
        <w:pStyle w:val="ListBullet"/>
        <w:spacing w:before="0" w:after="100"/>
      </w:pPr>
      <w:r>
        <w:rPr/>
        <w:t>Keep the trustworthy brand and the 12 weeks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12 weeks</w:t>
      </w:r>
    </w:p>
    <w:p>
      <w:pPr>
        <w:spacing w:before="0" w:after="100"/>
      </w:pPr>
      <w:r>
        <w:rPr/>
        <w:t>Say what you do in the first 12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keep the brand trustworthy and close to health.</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members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health provider behind MoveWell, many who start and few who stay</w:t>
      </w:r>
    </w:p>
    <w:p>
      <w:pPr>
        <w:spacing w:before="0" w:after="100"/>
      </w:pPr>
      <w:r>
        <w:rPr>
          <w:i/>
        </w:rPr>
        <w:t>Read once · about 2 min</w:t>
      </w:r>
    </w:p>
    <w:p>
      <w:pPr>
        <w:spacing w:before="0" w:after="100"/>
      </w:pPr>
      <w:r>
        <w:rPr/>
        <w:t>You take the perspective of the Chief Experience Officer of the health provider that runs MoveWell. The company has an app, a customer portal and a digital service offer. It sees that many users start, but only some stay active over time. The offers are experienced as good in content, but not very motivating and hardly binding. Inside the company there is a debate about whether stronger gamification is the answer, without anyone being clear which mechanics fit the brand, the target group and the situations people use the products in. The management expects a sound strategy for designing activation, storytelling and retention systematically and responsibly. You are not to choose single game mechanics, but to develop a sound decision architecture for motivation, the experience of progress, narrative activation and lasting retention.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38"/>
        <w:gridCol w:w="6700"/>
      </w:tblGrid>
      <w:tr>
        <w:trPr>
          <w:cantSplit/>
          <w:tblHeader/>
        </w:trPr>
        <w:tc>
          <w:tcPr>
            <w:tcW w:type="dxa" w:w="2938"/>
            <w:shd w:val="clear" w:color="auto" w:fill="E6ECF4"/>
          </w:tcPr>
          <w:p>
            <w:pPr>
              <w:spacing w:before="0" w:after="0"/>
            </w:pPr>
            <w:r>
              <w:rPr>
                <w:b/>
                <w:sz w:val="20"/>
              </w:rPr>
              <w:t>The framework</w:t>
            </w:r>
          </w:p>
        </w:tc>
        <w:tc>
          <w:tcPr>
            <w:tcW w:type="dxa" w:w="6700"/>
            <w:shd w:val="clear" w:color="auto" w:fill="E6ECF4"/>
          </w:tcPr>
          <w:p>
            <w:pPr>
              <w:spacing w:before="0" w:after="0"/>
            </w:pPr>
            <w:r>
              <w:rPr>
                <w:b/>
                <w:sz w:val="20"/>
              </w:rPr>
              <w:t>How the task runs · one block</w:t>
            </w:r>
          </w:p>
        </w:tc>
      </w:tr>
      <w:tr>
        <w:trPr>
          <w:cantSplit/>
        </w:trPr>
        <w:tc>
          <w:tcPr>
            <w:tcW w:type="dxa" w:w="2938"/>
          </w:tcPr>
          <w:p>
            <w:pPr>
              <w:spacing w:before="0" w:after="0"/>
            </w:pPr>
            <w:r>
              <w:rPr>
                <w:sz w:val="20"/>
              </w:rPr>
              <w:t>• The budget is limited</w:t>
            </w:r>
            <w:r>
              <w:br/>
            </w:r>
            <w:r>
              <w:rPr>
                <w:sz w:val="20"/>
              </w:rPr>
              <w:t>• Several stakeholders pursue different goals</w:t>
            </w:r>
            <w:r>
              <w:br/>
            </w:r>
            <w:r>
              <w:rPr>
                <w:sz w:val="20"/>
              </w:rPr>
              <w:t>• The brand must not lose credibility</w:t>
            </w:r>
            <w:r>
              <w:br/>
            </w:r>
            <w:r>
              <w:rPr>
                <w:sz w:val="20"/>
              </w:rPr>
              <w:t>• Not all systems can be extended at the same time</w:t>
            </w:r>
            <w:r>
              <w:br/>
            </w:r>
            <w:r>
              <w:rPr>
                <w:sz w:val="20"/>
              </w:rPr>
              <w:t>• The data is partly incomplete</w:t>
            </w:r>
            <w:r>
              <w:br/>
            </w:r>
            <w:r>
              <w:rPr>
                <w:sz w:val="20"/>
              </w:rPr>
              <w:t>• First improvements must be visible at short notice</w:t>
            </w:r>
            <w:r>
              <w:br/>
            </w:r>
            <w:r>
              <w:rPr>
                <w:sz w:val="20"/>
              </w:rPr>
              <w:t>• Wrong decisions can harm motivation, trust and the brand's image</w:t>
            </w:r>
          </w:p>
        </w:tc>
        <w:tc>
          <w:tcPr>
            <w:tcW w:type="dxa" w:w="6700"/>
          </w:tcPr>
          <w:p>
            <w:pPr>
              <w:spacing w:before="0" w:after="0"/>
            </w:pPr>
            <w:r>
              <w:rPr>
                <w:sz w:val="20"/>
              </w:rPr>
              <w:t>• Block 3.1 asks seven questions: a guiding vision for activation and retention,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95"/>
        <w:gridCol w:w="3787"/>
        <w:gridCol w:w="2556"/>
      </w:tblGrid>
      <w:tr>
        <w:trPr>
          <w:cantSplit/>
          <w:tblHeader/>
        </w:trPr>
        <w:tc>
          <w:tcPr>
            <w:tcW w:type="dxa" w:w="3295"/>
            <w:shd w:val="clear" w:color="auto" w:fill="E6ECF4"/>
          </w:tcPr>
          <w:p>
            <w:pPr>
              <w:spacing w:before="0" w:after="0"/>
            </w:pPr>
            <w:r>
              <w:rPr>
                <w:b/>
                <w:sz w:val="20"/>
              </w:rPr>
              <w:t>In the brief</w:t>
            </w:r>
          </w:p>
        </w:tc>
        <w:tc>
          <w:tcPr>
            <w:tcW w:type="dxa" w:w="3787"/>
            <w:shd w:val="clear" w:color="auto" w:fill="E6ECF4"/>
          </w:tcPr>
          <w:p>
            <w:pPr>
              <w:spacing w:before="0" w:after="0"/>
            </w:pPr>
            <w:r>
              <w:rPr>
                <w:b/>
                <w:sz w:val="20"/>
              </w:rPr>
              <w:t>Clear · Case assumption</w:t>
            </w:r>
          </w:p>
        </w:tc>
        <w:tc>
          <w:tcPr>
            <w:tcW w:type="dxa" w:w="2556"/>
            <w:shd w:val="clear" w:color="auto" w:fill="E6ECF4"/>
          </w:tcPr>
          <w:p>
            <w:pPr>
              <w:spacing w:before="0" w:after="0"/>
            </w:pPr>
            <w:r>
              <w:rPr>
                <w:b/>
                <w:sz w:val="20"/>
              </w:rPr>
              <w:t>Open · on purpose</w:t>
            </w:r>
          </w:p>
        </w:tc>
      </w:tr>
      <w:tr>
        <w:trPr>
          <w:cantSplit/>
        </w:trPr>
        <w:tc>
          <w:tcPr>
            <w:tcW w:type="dxa" w:w="3295"/>
          </w:tcPr>
          <w:p>
            <w:pPr>
              <w:spacing w:before="0" w:after="0"/>
            </w:pPr>
            <w:r>
              <w:rPr>
                <w:sz w:val="20"/>
              </w:rPr>
              <w:t>• An app, a customer portal and a digital service offer.</w:t>
            </w:r>
            <w:r>
              <w:br/>
            </w:r>
            <w:r>
              <w:rPr>
                <w:sz w:val="20"/>
              </w:rPr>
              <w:t>• Many start, only some stay active; good content, little motivation and retention.</w:t>
            </w:r>
            <w:r>
              <w:br/>
            </w:r>
            <w:r>
              <w:rPr>
                <w:sz w:val="20"/>
              </w:rPr>
              <w:t>• An internal debate about more gamification, without clarity on which mechanics fit.</w:t>
            </w:r>
            <w:r>
              <w:br/>
            </w:r>
            <w:r>
              <w:rPr>
                <w:sz w:val="20"/>
              </w:rPr>
              <w:t>• Credibility must stay; first improvements must show soon.</w:t>
            </w:r>
          </w:p>
        </w:tc>
        <w:tc>
          <w:tcPr>
            <w:tcW w:type="dxa" w:w="3787"/>
          </w:tcPr>
          <w:p>
            <w:pPr>
              <w:spacing w:before="0" w:after="0"/>
            </w:pPr>
            <w:r>
              <w:rPr>
                <w:sz w:val="20"/>
              </w:rPr>
              <w:t>• The company is the health provider behind MoveWell in Route 1; MoveWell is its app.</w:t>
            </w:r>
            <w:r>
              <w:br/>
            </w:r>
            <w:r>
              <w:rPr>
                <w:sz w:val="20"/>
              </w:rPr>
              <w:t>• Marketing would like badges and a monthly ranking of the most active members; the medical advisory board is against rankings.</w:t>
            </w:r>
            <w:r>
              <w:br/>
            </w:r>
            <w:r>
              <w:rPr>
                <w:sz w:val="20"/>
              </w:rPr>
              <w:t>• The customer portal holds the member's programme and documents; the service offer includes coaching calls and a hotline.</w:t>
            </w:r>
          </w:p>
        </w:tc>
        <w:tc>
          <w:tcPr>
            <w:tcW w:type="dxa" w:w="2556"/>
          </w:tcPr>
          <w:p>
            <w:pPr>
              <w:spacing w:before="0" w:after="0"/>
            </w:pPr>
            <w:r>
              <w:rPr>
                <w:sz w:val="20"/>
              </w:rPr>
              <w:t>• How large the budget is: “limited” is all the plan says.</w:t>
            </w:r>
            <w:r>
              <w:br/>
            </w:r>
            <w:r>
              <w:rPr>
                <w:sz w:val="20"/>
              </w:rPr>
              <w:t>• Why exactly people stop: the data is partly incomplete.</w:t>
            </w:r>
            <w:r>
              <w:br/>
            </w:r>
            <w:r>
              <w:rPr>
                <w:sz w:val="20"/>
              </w:rPr>
              <w:t>• How members would react to game elements: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an app, a customer portal and a digital service offer, many who start and only some who stay, offers that are good in content but not very motivating or binding, an internal debate about stronger gamification without clarity on what fits the brand, target group and situation, a limited budget, several stakeholders, a credible brand, not all systems at once, partly incomplete data, first improvements soon, and the warning that wrong decisions can harm motivation, trust and the brand. Those are the plan's facts. That the company is the provider of Route 1 and the facts marked “Clear” are made up for this exercise.</w:t>
            </w:r>
          </w:p>
        </w:tc>
      </w:tr>
    </w:tbl>
    <w:p>
      <w:pPr>
        <w:spacing w:before="0" w:after="80"/>
      </w:pPr>
    </w:p>
    <w:p>
      <w:pPr>
        <w:spacing w:before="0" w:after="100"/>
      </w:pPr>
      <w:r>
        <w:rPr>
          <w:i/>
        </w:rPr>
        <w:t>The memo is addressed to: The management. Subject: An activation and retention architecture for our digital offers.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activation and retention architecture for digital user experiences · JUDGED · Core · about 20 min</w:t>
      </w:r>
    </w:p>
    <w:p>
      <w:pPr>
        <w:spacing w:before="0" w:after="100"/>
      </w:pPr>
      <w:r>
        <w:rPr>
          <w:b/>
        </w:rPr>
        <w:t>Draws on:</w:t>
      </w:r>
      <w:r>
        <w:rPr/>
        <w:t xml:space="preserve"> B1 · Gamification as activation architecture, not a game layer · B2 · Motivation against seriousness and autonomy · B3 · Who answers for a mechanic, and deciding without knowing who stays.</w:t>
      </w:r>
    </w:p>
    <w:p>
      <w:pPr>
        <w:spacing w:before="0" w:after="100"/>
      </w:pPr>
      <w:r>
        <w:rPr/>
        <w:t>Develop a strategic concept for the health provider. Your desk holds what the management, marketing, the medical advisory board, the product team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9_b3-1_0-3e42a6ece2ed.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9_b3-1_1-546e956a007d.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9_b3-1_2-f5fcced3eca9.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9_b3-1_3-70ec96692964.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9_b3-1_4-7b41eedebbf0.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9_b3-1_5-ab464b99ee81.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9_b3-1_6-4f86ef79d808.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9_b3-1_7-6cbbfa5385a5.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9_b3-1_8-f2f31e00c6eb.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9_b3-1_9-4f41c383ccc5.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9_b3-1_10-b7ec638e4af4.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9_b3-1_11-807819623e8b.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9_b3-1_12-6d986b11aa4a.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9_b3-1_13-b2516ab783f4.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for activation and retention: which motivation and which experience of use should be created systematically?</w:t>
      </w:r>
    </w:p>
    <w:p>
      <w:pPr>
        <w:spacing w:before="0" w:after="100"/>
      </w:pPr>
      <w:r>
        <w:rPr/>
        <w:t>One or two sentences about what members should feel and do in every offer, and what the company will not do to get there.</w:t>
      </w:r>
    </w:p>
    <w:p>
      <w:pPr>
        <w:spacing w:before="0" w:after="100"/>
      </w:pPr>
      <w:r>
        <w:rPr>
          <w:i/>
        </w:rPr>
        <w:t>How to build the answer:</w:t>
      </w:r>
    </w:p>
    <w:p>
      <w:pPr>
        <w:pStyle w:val="ListBullet"/>
        <w:spacing w:before="0" w:after="40"/>
      </w:pPr>
      <w:r>
        <w:rPr/>
        <w:t>Say which motivation you want: people coming back because they see their own progress, not because they are pushed.</w:t>
      </w:r>
    </w:p>
    <w:p>
      <w:pPr>
        <w:pStyle w:val="ListBullet"/>
        <w:spacing w:before="0" w:after="100"/>
      </w:pPr>
      <w:r>
        <w:rPr/>
        <w:t>Say what experience every offer should give, and the limit you set.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progress, reinforcement, the depth of gamification, storytelling and long-term retention</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functions or touchpoints are improved first, and why?</w:t>
      </w:r>
    </w:p>
    <w:p>
      <w:pPr>
        <w:spacing w:before="0" w:after="100"/>
      </w:pPr>
      <w:r>
        <w:rPr/>
        <w:t>Put the journeys, functions or touchpoints in an order and give the reason for the first ones.</w:t>
      </w:r>
    </w:p>
    <w:p>
      <w:pPr>
        <w:spacing w:before="0" w:after="100"/>
      </w:pPr>
      <w:r>
        <w:rPr>
          <w:i/>
        </w:rPr>
        <w:t>How to build the answer:</w:t>
      </w:r>
    </w:p>
    <w:p>
      <w:pPr>
        <w:pStyle w:val="ListBullet"/>
        <w:spacing w:before="0" w:after="40"/>
      </w:pPr>
      <w:r>
        <w:rPr/>
        <w:t>List the candidates: the first weeks in the app, the progress display, the feedback after an activity, the customer portal, the coaching calls and hotline.</w:t>
      </w:r>
    </w:p>
    <w:p>
      <w:pPr>
        <w:pStyle w:val="ListBullet"/>
        <w:spacing w:before="0" w:after="40"/>
      </w:pPr>
      <w:r>
        <w:rPr/>
        <w:t>Put first where most people start and leave, or what all others build on.</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motivation, target group and game mechanics would be especially critical?</w:t>
      </w:r>
    </w:p>
    <w:p>
      <w:pPr>
        <w:spacing w:before="0" w:after="100"/>
      </w:pPr>
      <w:r>
        <w:rPr/>
        <w:t>Name two or three assumptions about what motivates people, who the members are, or what a mechanic does, and the harm if each is wrong.</w:t>
      </w:r>
    </w:p>
    <w:p>
      <w:pPr>
        <w:spacing w:before="0" w:after="100"/>
      </w:pPr>
      <w:r>
        <w:rPr>
          <w:i/>
        </w:rPr>
        <w:t>How to build the answer:</w:t>
      </w:r>
    </w:p>
    <w:p>
      <w:pPr>
        <w:pStyle w:val="ListBullet"/>
        <w:spacing w:before="0" w:after="40"/>
      </w:pPr>
      <w:r>
        <w:rPr/>
        <w:t>Write down what your concept assumes about motivation.</w:t>
      </w:r>
    </w:p>
    <w:p>
      <w:pPr>
        <w:pStyle w:val="ListBullet"/>
        <w:spacing w:before="0" w:after="40"/>
      </w:pPr>
      <w:r>
        <w:rPr/>
        <w:t>Write down what it assumes about the target group.</w:t>
      </w:r>
    </w:p>
    <w:p>
      <w:pPr>
        <w:pStyle w:val="ListBullet"/>
        <w:spacing w:before="0" w:after="100"/>
      </w:pPr>
      <w:r>
        <w:rPr/>
        <w:t>Write down what it assumes about game mechanics.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activation principles, and how are conflicts between brand, user interest and economic viability decided?</w:t>
      </w:r>
    </w:p>
    <w:p>
      <w:pPr>
        <w:spacing w:before="0" w:after="100"/>
      </w:pPr>
      <w:r>
        <w:rPr/>
        <w:t>Name roles, not people: who owns the activation principles and patterns, the roles of marketing and the medical side, how a mechanic is added or removed, and how a conflict between brand, user interest and economic viability is decided.</w:t>
      </w:r>
    </w:p>
    <w:p>
      <w:pPr>
        <w:spacing w:before="0" w:after="100"/>
      </w:pPr>
      <w:r>
        <w:rPr>
          <w:i/>
        </w:rPr>
        <w:t>How to build the answer:</w:t>
      </w:r>
    </w:p>
    <w:p>
      <w:pPr>
        <w:pStyle w:val="ListBullet"/>
        <w:spacing w:before="0" w:after="40"/>
      </w:pPr>
      <w:r>
        <w:rPr/>
        <w:t>Name who owns the activation principles and the patterns.</w:t>
      </w:r>
    </w:p>
    <w:p>
      <w:pPr>
        <w:pStyle w:val="ListBullet"/>
        <w:spacing w:before="0" w:after="40"/>
      </w:pPr>
      <w:r>
        <w:rPr/>
        <w:t>Name the roles of marketing and the medical advisory board, and how a mechanic is added or removed.</w:t>
      </w:r>
    </w:p>
    <w:p>
      <w:pPr>
        <w:pStyle w:val="ListBullet"/>
        <w:spacing w:before="0" w:after="100"/>
      </w:pPr>
      <w:r>
        <w:rPr/>
        <w:t>Say how a conflict between brand, user interest and economic viability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20"/>
        <w:gridCol w:w="3295"/>
        <w:gridCol w:w="2223"/>
      </w:tblGrid>
      <w:tr>
        <w:trPr>
          <w:cantSplit/>
          <w:tblHeader/>
        </w:trPr>
        <w:tc>
          <w:tcPr>
            <w:tcW w:type="dxa" w:w="4120"/>
            <w:shd w:val="clear" w:color="auto" w:fill="E6ECF4"/>
          </w:tcPr>
          <w:p>
            <w:pPr>
              <w:spacing w:before="0" w:after="0"/>
            </w:pPr>
            <w:r>
              <w:rPr>
                <w:b/>
                <w:sz w:val="20"/>
              </w:rPr>
              <w:t>Part of the worksheet</w:t>
            </w:r>
          </w:p>
        </w:tc>
        <w:tc>
          <w:tcPr>
            <w:tcW w:type="dxa" w:w="3295"/>
            <w:shd w:val="clear" w:color="auto" w:fill="E6ECF4"/>
          </w:tcPr>
          <w:p>
            <w:pPr>
              <w:spacing w:before="0" w:after="0"/>
            </w:pPr>
            <w:r>
              <w:rPr>
                <w:b/>
                <w:sz w:val="20"/>
              </w:rPr>
              <w:t>Presentation (shown in the Neuro-UX Lab)</w:t>
            </w:r>
          </w:p>
        </w:tc>
        <w:tc>
          <w:tcPr>
            <w:tcW w:type="dxa" w:w="2223"/>
            <w:shd w:val="clear" w:color="auto" w:fill="E6ECF4"/>
          </w:tcPr>
          <w:p>
            <w:pPr>
              <w:spacing w:before="0" w:after="0"/>
            </w:pPr>
            <w:r>
              <w:rPr>
                <w:b/>
                <w:sz w:val="20"/>
              </w:rPr>
              <w:t>Handout</w:t>
            </w:r>
          </w:p>
        </w:tc>
      </w:tr>
      <w:tr>
        <w:trPr>
          <w:cantSplit/>
        </w:trPr>
        <w:tc>
          <w:tcPr>
            <w:tcW w:type="dxa" w:w="4120"/>
          </w:tcPr>
          <w:p>
            <w:pPr>
              <w:spacing w:before="0" w:after="0"/>
            </w:pPr>
            <w:r>
              <w:rPr>
                <w:sz w:val="20"/>
              </w:rPr>
              <w:t>The case: two platforms on the UX team's desk, and MoveWell</w:t>
            </w:r>
          </w:p>
        </w:tc>
        <w:tc>
          <w:tcPr>
            <w:tcW w:type="dxa" w:w="3295"/>
          </w:tcPr>
          <w:p>
            <w:pPr>
              <w:spacing w:before="0" w:after="0"/>
            </w:pPr>
            <w:r>
              <w:rPr>
                <w:sz w:val="20"/>
              </w:rPr>
              <w:t>The case read aloud or on screen</w:t>
            </w:r>
          </w:p>
        </w:tc>
        <w:tc>
          <w:tcPr>
            <w:tcW w:type="dxa" w:w="2223"/>
          </w:tcPr>
          <w:p>
            <w:pPr>
              <w:spacing w:before="0" w:after="0"/>
            </w:pPr>
            <w:r>
              <w:rPr>
                <w:sz w:val="20"/>
              </w:rPr>
              <w:t>The case text</w:t>
            </w:r>
          </w:p>
        </w:tc>
      </w:tr>
      <w:tr>
        <w:trPr>
          <w:cantSplit/>
        </w:trPr>
        <w:tc>
          <w:tcPr>
            <w:tcW w:type="dxa" w:w="4120"/>
          </w:tcPr>
          <w:p>
            <w:pPr>
              <w:spacing w:before="0" w:after="0"/>
            </w:pPr>
            <w:r>
              <w:rPr>
                <w:sz w:val="20"/>
              </w:rPr>
              <w:t>Block 1.1 · Recognise activation and retention potential in a digital offer: Skill</w:t>
            </w:r>
          </w:p>
        </w:tc>
        <w:tc>
          <w:tcPr>
            <w:tcW w:type="dxa" w:w="3295"/>
          </w:tcPr>
          <w:p>
            <w:pPr>
              <w:spacing w:before="0" w:after="0"/>
            </w:pPr>
            <w:r>
              <w:rPr>
                <w:sz w:val="20"/>
              </w:rPr>
              <w:t>The task wording at the start of the block (no answers are shown)</w:t>
            </w:r>
          </w:p>
        </w:tc>
        <w:tc>
          <w:tcPr>
            <w:tcW w:type="dxa" w:w="2223"/>
          </w:tcPr>
          <w:p>
            <w:pPr>
              <w:spacing w:before="0" w:after="0"/>
            </w:pPr>
            <w:r>
              <w:rPr>
                <w:sz w:val="20"/>
              </w:rPr>
              <w:t>Worksheet block with answer boxes (Core)</w:t>
            </w:r>
          </w:p>
        </w:tc>
      </w:tr>
      <w:tr>
        <w:trPr>
          <w:cantSplit/>
        </w:trPr>
        <w:tc>
          <w:tcPr>
            <w:tcW w:type="dxa" w:w="4120"/>
          </w:tcPr>
          <w:p>
            <w:pPr>
              <w:spacing w:before="0" w:after="0"/>
            </w:pPr>
            <w:r>
              <w:rPr>
                <w:sz w:val="20"/>
              </w:rPr>
              <w:t>Block 1.2 · Rate gamification under conflicting goals: HealthJourney</w:t>
            </w:r>
          </w:p>
        </w:tc>
        <w:tc>
          <w:tcPr>
            <w:tcW w:type="dxa" w:w="3295"/>
          </w:tcPr>
          <w:p>
            <w:pPr>
              <w:spacing w:before="0" w:after="0"/>
            </w:pPr>
            <w:r>
              <w:rPr>
                <w:sz w:val="20"/>
              </w:rPr>
              <w:t>The task wording at the start of the block (no answers are shown)</w:t>
            </w:r>
          </w:p>
        </w:tc>
        <w:tc>
          <w:tcPr>
            <w:tcW w:type="dxa" w:w="2223"/>
          </w:tcPr>
          <w:p>
            <w:pPr>
              <w:spacing w:before="0" w:after="0"/>
            </w:pPr>
            <w:r>
              <w:rPr>
                <w:sz w:val="20"/>
              </w:rPr>
              <w:t>Worksheet block with answer boxes (Core)</w:t>
            </w:r>
          </w:p>
        </w:tc>
      </w:tr>
      <w:tr>
        <w:trPr>
          <w:cantSplit/>
        </w:trPr>
        <w:tc>
          <w:tcPr>
            <w:tcW w:type="dxa" w:w="4120"/>
          </w:tcPr>
          <w:p>
            <w:pPr>
              <w:spacing w:before="0" w:after="0"/>
            </w:pPr>
            <w:r>
              <w:rPr>
                <w:sz w:val="20"/>
              </w:rPr>
              <w:t>Block 2.1 · Case study: an activation strategy for the prevention programme MoveWe</w:t>
            </w:r>
          </w:p>
        </w:tc>
        <w:tc>
          <w:tcPr>
            <w:tcW w:type="dxa" w:w="3295"/>
          </w:tcPr>
          <w:p>
            <w:pPr>
              <w:spacing w:before="0" w:after="0"/>
            </w:pPr>
            <w:r>
              <w:rPr>
                <w:sz w:val="20"/>
              </w:rPr>
              <w:t>The task wording at the start of the block (no answers are shown)</w:t>
            </w:r>
          </w:p>
        </w:tc>
        <w:tc>
          <w:tcPr>
            <w:tcW w:type="dxa" w:w="2223"/>
          </w:tcPr>
          <w:p>
            <w:pPr>
              <w:spacing w:before="0" w:after="0"/>
            </w:pPr>
            <w:r>
              <w:rPr>
                <w:sz w:val="20"/>
              </w:rPr>
              <w:t>Worksheet block with answer boxes (Core)</w:t>
            </w:r>
          </w:p>
        </w:tc>
      </w:tr>
      <w:tr>
        <w:trPr>
          <w:cantSplit/>
        </w:trPr>
        <w:tc>
          <w:tcPr>
            <w:tcW w:type="dxa" w:w="4120"/>
          </w:tcPr>
          <w:p>
            <w:pPr>
              <w:spacing w:before="0" w:after="0"/>
            </w:pPr>
            <w:r>
              <w:rPr>
                <w:sz w:val="20"/>
              </w:rPr>
              <w:t>The situation: the health provider behind MoveWell, many who start and few who stay</w:t>
            </w:r>
          </w:p>
        </w:tc>
        <w:tc>
          <w:tcPr>
            <w:tcW w:type="dxa" w:w="3295"/>
          </w:tcPr>
          <w:p>
            <w:pPr>
              <w:spacing w:before="0" w:after="0"/>
            </w:pPr>
            <w:r>
              <w:rPr>
                <w:sz w:val="20"/>
              </w:rPr>
              <w:t>The case read aloud or on screen</w:t>
            </w:r>
          </w:p>
        </w:tc>
        <w:tc>
          <w:tcPr>
            <w:tcW w:type="dxa" w:w="2223"/>
          </w:tcPr>
          <w:p>
            <w:pPr>
              <w:spacing w:before="0" w:after="0"/>
            </w:pPr>
            <w:r>
              <w:rPr>
                <w:sz w:val="20"/>
              </w:rPr>
              <w:t>The case text</w:t>
            </w:r>
          </w:p>
        </w:tc>
      </w:tr>
      <w:tr>
        <w:trPr>
          <w:cantSplit/>
        </w:trPr>
        <w:tc>
          <w:tcPr>
            <w:tcW w:type="dxa" w:w="4120"/>
          </w:tcPr>
          <w:p>
            <w:pPr>
              <w:spacing w:before="0" w:after="0"/>
            </w:pPr>
            <w:r>
              <w:rPr>
                <w:sz w:val="20"/>
              </w:rPr>
              <w:t>Block 3.1 · A strategic activation and retention architecture for digital user exp</w:t>
            </w:r>
          </w:p>
        </w:tc>
        <w:tc>
          <w:tcPr>
            <w:tcW w:type="dxa" w:w="3295"/>
          </w:tcPr>
          <w:p>
            <w:pPr>
              <w:spacing w:before="0" w:after="0"/>
            </w:pPr>
            <w:r>
              <w:rPr>
                <w:sz w:val="20"/>
              </w:rPr>
              <w:t>The task wording at the start of the block (no answers are shown)</w:t>
            </w:r>
          </w:p>
        </w:tc>
        <w:tc>
          <w:tcPr>
            <w:tcW w:type="dxa" w:w="2223"/>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70"/>
        <w:gridCol w:w="5503"/>
        <w:gridCol w:w="1134"/>
        <w:gridCol w:w="931"/>
      </w:tblGrid>
      <w:tr>
        <w:trPr>
          <w:cantSplit/>
          <w:tblHeader/>
        </w:trPr>
        <w:tc>
          <w:tcPr>
            <w:tcW w:type="dxa" w:w="2070"/>
            <w:shd w:val="clear" w:color="auto" w:fill="E6ECF4"/>
          </w:tcPr>
          <w:p>
            <w:pPr>
              <w:spacing w:before="0" w:after="0"/>
            </w:pPr>
            <w:r>
              <w:rPr>
                <w:b/>
                <w:sz w:val="19"/>
              </w:rPr>
              <w:t>Term</w:t>
            </w:r>
          </w:p>
        </w:tc>
        <w:tc>
          <w:tcPr>
            <w:tcW w:type="dxa" w:w="5503"/>
            <w:shd w:val="clear" w:color="auto" w:fill="E6ECF4"/>
          </w:tcPr>
          <w:p>
            <w:pPr>
              <w:spacing w:before="0" w:after="0"/>
            </w:pPr>
            <w:r>
              <w:rPr>
                <w:b/>
                <w:sz w:val="19"/>
              </w:rPr>
              <w:t>In plain words</w:t>
            </w:r>
          </w:p>
        </w:tc>
        <w:tc>
          <w:tcPr>
            <w:tcW w:type="dxa" w:w="1134"/>
            <w:shd w:val="clear" w:color="auto" w:fill="E6ECF4"/>
          </w:tcPr>
          <w:p>
            <w:pPr>
              <w:spacing w:before="0" w:after="0"/>
            </w:pPr>
            <w:r>
              <w:rPr>
                <w:b/>
                <w:sz w:val="19"/>
              </w:rPr>
              <w:t>Example</w:t>
            </w:r>
          </w:p>
        </w:tc>
        <w:tc>
          <w:tcPr>
            <w:tcW w:type="dxa" w:w="931"/>
            <w:shd w:val="clear" w:color="auto" w:fill="E6ECF4"/>
          </w:tcPr>
          <w:p>
            <w:pPr>
              <w:spacing w:before="0" w:after="0"/>
            </w:pPr>
            <w:r>
              <w:rPr>
                <w:b/>
                <w:sz w:val="19"/>
              </w:rPr>
              <w:t>Comes from</w:t>
            </w:r>
          </w:p>
        </w:tc>
      </w:tr>
      <w:tr>
        <w:trPr>
          <w:cantSplit/>
        </w:trPr>
        <w:tc>
          <w:tcPr>
            <w:tcW w:type="dxa" w:w="2070"/>
          </w:tcPr>
          <w:p>
            <w:pPr>
              <w:spacing w:before="0" w:after="0"/>
            </w:pPr>
            <w:r>
              <w:rPr>
                <w:b/>
                <w:sz w:val="19"/>
              </w:rPr>
              <w:t>Activation</w:t>
            </w:r>
          </w:p>
        </w:tc>
        <w:tc>
          <w:tcPr>
            <w:tcW w:type="dxa" w:w="5503"/>
          </w:tcPr>
          <w:p>
            <w:pPr>
              <w:spacing w:before="0" w:after="0"/>
            </w:pPr>
            <w:r>
              <w:rPr>
                <w:sz w:val="19"/>
              </w:rPr>
              <w:t>Getting people to act now, often with strong stimuli. It can help for a moment and tire or push people if overdone.</w:t>
            </w:r>
          </w:p>
        </w:tc>
        <w:tc>
          <w:tcPr>
            <w:tcW w:type="dxa" w:w="1134"/>
          </w:tcPr>
          <w:p>
            <w:pPr>
              <w:spacing w:before="0" w:after="0"/>
            </w:pPr>
            <w:r>
              <w:rPr>
                <w:sz w:val="19"/>
              </w:rPr>
              <w:t>—</w:t>
            </w:r>
          </w:p>
        </w:tc>
        <w:tc>
          <w:tcPr>
            <w:tcW w:type="dxa" w:w="931"/>
          </w:tcPr>
          <w:p>
            <w:pPr>
              <w:spacing w:before="0" w:after="0"/>
            </w:pPr>
            <w:r>
              <w:rPr>
                <w:sz w:val="19"/>
              </w:rPr>
              <w:t>Day 7</w:t>
            </w:r>
          </w:p>
        </w:tc>
      </w:tr>
      <w:tr>
        <w:trPr>
          <w:cantSplit/>
        </w:trPr>
        <w:tc>
          <w:tcPr>
            <w:tcW w:type="dxa" w:w="2070"/>
          </w:tcPr>
          <w:p>
            <w:pPr>
              <w:spacing w:before="0" w:after="0"/>
            </w:pPr>
            <w:r>
              <w:rPr>
                <w:b/>
                <w:sz w:val="19"/>
              </w:rPr>
              <w:t>Activation architecture</w:t>
            </w:r>
          </w:p>
        </w:tc>
        <w:tc>
          <w:tcPr>
            <w:tcW w:type="dxa" w:w="5503"/>
          </w:tcPr>
          <w:p>
            <w:pPr>
              <w:spacing w:before="0" w:after="0"/>
            </w:pPr>
            <w:r>
              <w:rPr>
                <w:sz w:val="19"/>
              </w:rPr>
              <w:t>A company's whole plan for why people start and keep using its products: a vision, principles on which levers it uses, shared patterns and an owner.</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Badge</w:t>
            </w:r>
          </w:p>
        </w:tc>
        <w:tc>
          <w:tcPr>
            <w:tcW w:type="dxa" w:w="5503"/>
          </w:tcPr>
          <w:p>
            <w:pPr>
              <w:spacing w:before="0" w:after="0"/>
            </w:pPr>
            <w:r>
              <w:rPr>
                <w:sz w:val="19"/>
              </w:rPr>
              <w:t>A small symbol that marks something someone has done; it means something only while it is rare.</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Case assumption</w:t>
            </w:r>
          </w:p>
        </w:tc>
        <w:tc>
          <w:tcPr>
            <w:tcW w:type="dxa" w:w="5503"/>
          </w:tcPr>
          <w:p>
            <w:pPr>
              <w:spacing w:before="0" w:after="0"/>
            </w:pPr>
            <w:r>
              <w:rPr>
                <w:sz w:val="19"/>
              </w:rPr>
              <w:t>A fact made up for this exercise to fill a gap in the plan's case. It is marked so you know it is not part of the plan.</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Chief Experience Officer</w:t>
            </w:r>
          </w:p>
        </w:tc>
        <w:tc>
          <w:tcPr>
            <w:tcW w:type="dxa" w:w="5503"/>
          </w:tcPr>
          <w:p>
            <w:pPr>
              <w:spacing w:before="0" w:after="0"/>
            </w:pPr>
            <w:r>
              <w:rPr>
                <w:sz w:val="19"/>
              </w:rPr>
              <w:t>The manager who is responsible for the experience customers have across all channels, and who decides where the company invests in it.</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Decision architecture</w:t>
            </w:r>
          </w:p>
        </w:tc>
        <w:tc>
          <w:tcPr>
            <w:tcW w:type="dxa" w:w="5503"/>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Game mechanic</w:t>
            </w:r>
          </w:p>
        </w:tc>
        <w:tc>
          <w:tcPr>
            <w:tcW w:type="dxa" w:w="5503"/>
          </w:tcPr>
          <w:p>
            <w:pPr>
              <w:spacing w:before="0" w:after="0"/>
            </w:pPr>
            <w:r>
              <w:rPr>
                <w:sz w:val="19"/>
              </w:rPr>
              <w:t>One visible element borrowed from games, such as points, a badge, a level, a streak or a ranking.</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Gamification</w:t>
            </w:r>
          </w:p>
        </w:tc>
        <w:tc>
          <w:tcPr>
            <w:tcW w:type="dxa" w:w="5503"/>
          </w:tcPr>
          <w:p>
            <w:pPr>
              <w:spacing w:before="0" w:after="0"/>
            </w:pPr>
            <w:r>
              <w:rPr>
                <w:sz w:val="19"/>
              </w:rPr>
              <w:t>Using the structure of games (a goal, a visible position, feedback, recognition, a challenge) in something that is not a game.</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Governance</w:t>
            </w:r>
          </w:p>
        </w:tc>
        <w:tc>
          <w:tcPr>
            <w:tcW w:type="dxa" w:w="5503"/>
          </w:tcPr>
          <w:p>
            <w:pPr>
              <w:spacing w:before="0" w:after="0"/>
            </w:pPr>
            <w:r>
              <w:rPr>
                <w:sz w:val="19"/>
              </w:rPr>
              <w:t>The rules about who may decide what, who is answerable for it and how disagreements are settled.</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Intrinsic motivation</w:t>
            </w:r>
          </w:p>
        </w:tc>
        <w:tc>
          <w:tcPr>
            <w:tcW w:type="dxa" w:w="5503"/>
          </w:tcPr>
          <w:p>
            <w:pPr>
              <w:spacing w:before="0" w:after="0"/>
            </w:pPr>
            <w:r>
              <w:rPr>
                <w:sz w:val="19"/>
              </w:rPr>
              <w:t>Doing something because it is worth it to you, not for a reward from outside.</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Milestone</w:t>
            </w:r>
          </w:p>
        </w:tc>
        <w:tc>
          <w:tcPr>
            <w:tcW w:type="dxa" w:w="5503"/>
          </w:tcPr>
          <w:p>
            <w:pPr>
              <w:spacing w:before="0" w:after="0"/>
            </w:pPr>
            <w:r>
              <w:rPr>
                <w:sz w:val="19"/>
              </w:rPr>
              <w:t>A visible point on the way that shows a part of the journey is done.</w:t>
            </w:r>
          </w:p>
        </w:tc>
        <w:tc>
          <w:tcPr>
            <w:tcW w:type="dxa" w:w="1134"/>
          </w:tcPr>
          <w:p>
            <w:pPr>
              <w:spacing w:before="0" w:after="0"/>
            </w:pPr>
            <w:r>
              <w:rPr>
                <w:sz w:val="19"/>
              </w:rPr>
              <w:t>—</w:t>
            </w:r>
          </w:p>
        </w:tc>
        <w:tc>
          <w:tcPr>
            <w:tcW w:type="dxa" w:w="931"/>
          </w:tcPr>
          <w:p>
            <w:pPr>
              <w:spacing w:before="0" w:after="0"/>
            </w:pPr>
            <w:r>
              <w:rPr>
                <w:sz w:val="19"/>
              </w:rPr>
              <w:t>Day 8</w:t>
            </w:r>
          </w:p>
        </w:tc>
      </w:tr>
      <w:tr>
        <w:trPr>
          <w:cantSplit/>
        </w:trPr>
        <w:tc>
          <w:tcPr>
            <w:tcW w:type="dxa" w:w="2070"/>
          </w:tcPr>
          <w:p>
            <w:pPr>
              <w:spacing w:before="0" w:after="0"/>
            </w:pPr>
            <w:r>
              <w:rPr>
                <w:b/>
                <w:sz w:val="19"/>
              </w:rPr>
              <w:t>Playful design</w:t>
            </w:r>
          </w:p>
        </w:tc>
        <w:tc>
          <w:tcPr>
            <w:tcW w:type="dxa" w:w="5503"/>
          </w:tcPr>
          <w:p>
            <w:pPr>
              <w:spacing w:before="0" w:after="0"/>
            </w:pPr>
            <w:r>
              <w:rPr>
                <w:sz w:val="19"/>
              </w:rPr>
              <w:t>Changing only the look and tone of a product to feel light and fun (colours, round shapes, cheerful words), without adding goals or feedback.</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Ranking (leaderboard)</w:t>
            </w:r>
          </w:p>
        </w:tc>
        <w:tc>
          <w:tcPr>
            <w:tcW w:type="dxa" w:w="5503"/>
          </w:tcPr>
          <w:p>
            <w:pPr>
              <w:spacing w:before="0" w:after="0"/>
            </w:pPr>
            <w:r>
              <w:rPr>
                <w:sz w:val="19"/>
              </w:rPr>
              <w:t>A list that orders people by points or results; it motivates those near the top and can shame those near the bottom.</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Retention</w:t>
            </w:r>
          </w:p>
        </w:tc>
        <w:tc>
          <w:tcPr>
            <w:tcW w:type="dxa" w:w="5503"/>
          </w:tcPr>
          <w:p>
            <w:pPr>
              <w:spacing w:before="0" w:after="0"/>
            </w:pPr>
            <w:r>
              <w:rPr>
                <w:sz w:val="19"/>
              </w:rPr>
              <w:t>People coming back and staying active over time, not only trying something once.</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Self-efficacy</w:t>
            </w:r>
          </w:p>
        </w:tc>
        <w:tc>
          <w:tcPr>
            <w:tcW w:type="dxa" w:w="5503"/>
          </w:tcPr>
          <w:p>
            <w:pPr>
              <w:spacing w:before="0" w:after="0"/>
            </w:pPr>
            <w:r>
              <w:rPr>
                <w:sz w:val="19"/>
              </w:rPr>
              <w:t>Believing you can do something; it grows mostly from your own experience of succeeding.</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Stakeholder</w:t>
            </w:r>
          </w:p>
        </w:tc>
        <w:tc>
          <w:tcPr>
            <w:tcW w:type="dxa" w:w="5503"/>
          </w:tcPr>
          <w:p>
            <w:pPr>
              <w:spacing w:before="0" w:after="0"/>
            </w:pPr>
            <w:r>
              <w:rPr>
                <w:sz w:val="19"/>
              </w:rPr>
              <w:t>A person or department with an interest in a decision, such as marketing, compliance, IT or sales.</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Storytelling in UX</w:t>
            </w:r>
          </w:p>
        </w:tc>
        <w:tc>
          <w:tcPr>
            <w:tcW w:type="dxa" w:w="5503"/>
          </w:tcPr>
          <w:p>
            <w:pPr>
              <w:spacing w:before="0" w:after="0"/>
            </w:pPr>
            <w:r>
              <w:rPr>
                <w:sz w:val="19"/>
              </w:rPr>
              <w:t>Building a digital journey so it has what a story has: a beginning that shows the goal, a way that shows progress, and an end that feels like an end.</w:t>
            </w:r>
          </w:p>
        </w:tc>
        <w:tc>
          <w:tcPr>
            <w:tcW w:type="dxa" w:w="1134"/>
          </w:tcPr>
          <w:p>
            <w:pPr>
              <w:spacing w:before="0" w:after="0"/>
            </w:pPr>
            <w:r>
              <w:rPr>
                <w:sz w:val="19"/>
              </w:rPr>
              <w:t>—</w:t>
            </w:r>
          </w:p>
        </w:tc>
        <w:tc>
          <w:tcPr>
            <w:tcW w:type="dxa" w:w="931"/>
          </w:tcPr>
          <w:p>
            <w:pPr>
              <w:spacing w:before="0" w:after="0"/>
            </w:pPr>
            <w:r>
              <w:rPr>
                <w:sz w:val="19"/>
              </w:rPr>
              <w:t>Day 8</w:t>
            </w:r>
          </w:p>
        </w:tc>
      </w:tr>
      <w:tr>
        <w:trPr>
          <w:cantSplit/>
        </w:trPr>
        <w:tc>
          <w:tcPr>
            <w:tcW w:type="dxa" w:w="2070"/>
          </w:tcPr>
          <w:p>
            <w:pPr>
              <w:spacing w:before="0" w:after="0"/>
            </w:pPr>
            <w:r>
              <w:rPr>
                <w:b/>
                <w:sz w:val="19"/>
              </w:rPr>
              <w:t>Streak</w:t>
            </w:r>
          </w:p>
        </w:tc>
        <w:tc>
          <w:tcPr>
            <w:tcW w:type="dxa" w:w="5503"/>
          </w:tcPr>
          <w:p>
            <w:pPr>
              <w:spacing w:before="0" w:after="0"/>
            </w:pPr>
            <w:r>
              <w:rPr>
                <w:sz w:val="19"/>
              </w:rPr>
              <w:t>A count of days in a row on which someone did something; it rewards regularity and punishes a single missed day.</w:t>
            </w:r>
          </w:p>
        </w:tc>
        <w:tc>
          <w:tcPr>
            <w:tcW w:type="dxa" w:w="1134"/>
          </w:tcPr>
          <w:p>
            <w:pPr>
              <w:spacing w:before="0" w:after="0"/>
            </w:pPr>
            <w:r>
              <w:rPr>
                <w:sz w:val="19"/>
              </w:rPr>
              <w:t>—</w:t>
            </w:r>
          </w:p>
        </w:tc>
        <w:tc>
          <w:tcPr>
            <w:tcW w:type="dxa" w:w="931"/>
          </w:tcPr>
          <w:p>
            <w:pPr>
              <w:spacing w:before="0" w:after="0"/>
            </w:pPr>
            <w:r>
              <w:rPr>
                <w:sz w:val="19"/>
              </w:rPr>
              <w:t>Day 9</w:t>
            </w:r>
          </w:p>
        </w:tc>
      </w:tr>
      <w:tr>
        <w:trPr>
          <w:cantSplit/>
        </w:trPr>
        <w:tc>
          <w:tcPr>
            <w:tcW w:type="dxa" w:w="2070"/>
          </w:tcPr>
          <w:p>
            <w:pPr>
              <w:spacing w:before="0" w:after="0"/>
            </w:pPr>
            <w:r>
              <w:rPr>
                <w:b/>
                <w:sz w:val="19"/>
              </w:rPr>
              <w:t>Touchpoint</w:t>
            </w:r>
          </w:p>
        </w:tc>
        <w:tc>
          <w:tcPr>
            <w:tcW w:type="dxa" w:w="5503"/>
          </w:tcPr>
          <w:p>
            <w:pPr>
              <w:spacing w:before="0" w:after="0"/>
            </w:pPr>
            <w:r>
              <w:rPr>
                <w:sz w:val="19"/>
              </w:rPr>
              <w:t>Any place where a person meets the company: the website, the customer portal, the app, a chatbot or a phone call.</w:t>
            </w:r>
          </w:p>
        </w:tc>
        <w:tc>
          <w:tcPr>
            <w:tcW w:type="dxa" w:w="1134"/>
          </w:tcPr>
          <w:p>
            <w:pPr>
              <w:spacing w:before="0" w:after="0"/>
            </w:pPr>
            <w:r>
              <w:rPr>
                <w:sz w:val="19"/>
              </w:rPr>
              <w:t>—</w:t>
            </w:r>
          </w:p>
        </w:tc>
        <w:tc>
          <w:tcPr>
            <w:tcW w:type="dxa" w:w="931"/>
          </w:tcPr>
          <w:p>
            <w:pPr>
              <w:spacing w:before="0" w:after="0"/>
            </w:pPr>
            <w:r>
              <w:rPr>
                <w:sz w:val="19"/>
              </w:rPr>
              <w:t>Day 1</w:t>
            </w:r>
          </w:p>
        </w:tc>
      </w:tr>
      <w:tr>
        <w:trPr>
          <w:cantSplit/>
        </w:trPr>
        <w:tc>
          <w:tcPr>
            <w:tcW w:type="dxa" w:w="2070"/>
          </w:tcPr>
          <w:p>
            <w:pPr>
              <w:spacing w:before="0" w:after="0"/>
            </w:pPr>
            <w:r>
              <w:rPr>
                <w:b/>
                <w:sz w:val="19"/>
              </w:rPr>
              <w:t>User journey</w:t>
            </w:r>
          </w:p>
        </w:tc>
        <w:tc>
          <w:tcPr>
            <w:tcW w:type="dxa" w:w="5503"/>
          </w:tcPr>
          <w:p>
            <w:pPr>
              <w:spacing w:before="0" w:after="0"/>
            </w:pPr>
            <w:r>
              <w:rPr>
                <w:sz w:val="19"/>
              </w:rPr>
              <w:t>The whole path a person takes to reach a goal with a product, across steps and touchpoints.</w:t>
            </w:r>
          </w:p>
        </w:tc>
        <w:tc>
          <w:tcPr>
            <w:tcW w:type="dxa" w:w="1134"/>
          </w:tcPr>
          <w:p>
            <w:pPr>
              <w:spacing w:before="0" w:after="0"/>
            </w:pPr>
            <w:r>
              <w:rPr>
                <w:sz w:val="19"/>
              </w:rPr>
              <w:t>—</w:t>
            </w:r>
          </w:p>
        </w:tc>
        <w:tc>
          <w:tcPr>
            <w:tcW w:type="dxa" w:w="931"/>
          </w:tcPr>
          <w:p>
            <w:pPr>
              <w:spacing w:before="0" w:after="0"/>
            </w:pPr>
            <w:r>
              <w:rPr>
                <w:sz w:val="19"/>
              </w:rPr>
              <w:t>Day 8</w:t>
            </w:r>
          </w:p>
        </w:tc>
      </w:tr>
      <w:tr>
        <w:trPr>
          <w:cantSplit/>
        </w:trPr>
        <w:tc>
          <w:tcPr>
            <w:tcW w:type="dxa" w:w="2070"/>
          </w:tcPr>
          <w:p>
            <w:pPr>
              <w:spacing w:before="0" w:after="0"/>
            </w:pPr>
            <w:r>
              <w:rPr>
                <w:b/>
                <w:sz w:val="19"/>
              </w:rPr>
              <w:t>UX (user experience)</w:t>
            </w:r>
          </w:p>
        </w:tc>
        <w:tc>
          <w:tcPr>
            <w:tcW w:type="dxa" w:w="5503"/>
          </w:tcPr>
          <w:p>
            <w:pPr>
              <w:spacing w:before="0" w:after="0"/>
            </w:pPr>
            <w:r>
              <w:rPr>
                <w:sz w:val="19"/>
              </w:rPr>
              <w:t>Everything a person goes through when using a product: what they notice, understand, feel and do, from the first look to the last step. The screens are only one part of it.</w:t>
            </w:r>
          </w:p>
        </w:tc>
        <w:tc>
          <w:tcPr>
            <w:tcW w:type="dxa" w:w="1134"/>
          </w:tcPr>
          <w:p>
            <w:pPr>
              <w:spacing w:before="0" w:after="0"/>
            </w:pPr>
            <w:r>
              <w:rPr>
                <w:sz w:val="19"/>
              </w:rPr>
              <w:t>Finding the booking you want at once and feeling sure it went through is a good UX.</w:t>
            </w:r>
          </w:p>
        </w:tc>
        <w:tc>
          <w:tcPr>
            <w:tcW w:type="dxa" w:w="931"/>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9</w:t>
            </w:r>
          </w:p>
        </w:tc>
        <w:tc>
          <w:tcPr>
            <w:tcW w:type="dxa" w:w="7102"/>
          </w:tcPr>
          <w:p>
            <w:pPr>
              <w:spacing w:before="0" w:after="0"/>
            </w:pPr>
            <w:r>
              <w:rPr>
                <w:sz w:val="20"/>
              </w:rPr>
              <w:t>https://aion-ux-lab.vercel.app/day/9/</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9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MoveWell: UX Analysis File and UX Strategy Memo</dc:title>
  <dc:subject>DAY 9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