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 · TASK 1 AND TASK 2 · ROUTES 1 AND 2 · LEVELS 1 TO 3</w:t>
      </w:r>
    </w:p>
    <w:p>
      <w:pPr>
        <w:spacing w:before="0" w:after="80" w:line="240" w:lineRule="auto"/>
      </w:pPr>
      <w:r>
        <w:rPr>
          <w:b/>
          <w:sz w:val="52"/>
        </w:rPr>
        <w:t>SafeHome Online: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 · Module 1 (day 1 of 1): Psychological UX design and neuro-design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SafeHome Online,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1.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three products on the UX team's desk, and SafeHome Online</w:t>
            </w:r>
          </w:p>
          <w:p>
            <w:pPr>
              <w:spacing w:before="0" w:after="20"/>
              <w:ind w:left="170"/>
            </w:pPr>
            <w:r>
              <w:rPr>
                <w:sz w:val="20"/>
              </w:rPr>
              <w:t>Block 1.1 · The effect of an unfamiliar interface: CarePath · JUDGED · Core · about 10 min</w:t>
            </w:r>
          </w:p>
          <w:p>
            <w:pPr>
              <w:spacing w:before="0" w:after="20"/>
              <w:ind w:left="170"/>
            </w:pPr>
            <w:r>
              <w:rPr>
                <w:sz w:val="20"/>
              </w:rPr>
              <w:t>Block 1.2 · Rate design effects and decide under uncertainty: SkillFlow · JUDGED · Core · about 8 min</w:t>
            </w:r>
          </w:p>
          <w:p>
            <w:pPr>
              <w:spacing w:before="0" w:after="20"/>
              <w:ind w:left="170"/>
            </w:pPr>
            <w:r>
              <w:rPr>
                <w:sz w:val="20"/>
              </w:rPr>
              <w:t>Block 2.1 · Case study: redesigning SafeHome Online · JUDGED · Core · about 15 min</w:t>
            </w:r>
          </w:p>
          <w:p>
            <w:pPr>
              <w:spacing w:before="0" w:after="20"/>
              <w:ind w:left="170"/>
            </w:pPr>
            <w:r>
              <w:rPr>
                <w:sz w:val="20"/>
              </w:rPr>
              <w:t>The situation: the insurer behind SafeHome Online, 24 months ahead</w:t>
            </w:r>
          </w:p>
          <w:p>
            <w:pPr>
              <w:spacing w:before="0" w:after="20"/>
              <w:ind w:left="170"/>
            </w:pPr>
            <w:r>
              <w:rPr>
                <w:sz w:val="20"/>
              </w:rPr>
              <w:t>Block 3.1 · A Neuro-UX strategy for a digital service ecosystem · JUDGED · Core · about 20 min</w:t>
            </w:r>
          </w:p>
        </w:tc>
      </w:tr>
    </w:tbl>
    <w:p>
      <w:pPr>
        <w:pStyle w:val="Heading1"/>
        <w:pBdr>
          <w:bottom w:val="single" w:sz="8" w:space="2" w:color="17212E"/>
        </w:pBdr>
      </w:pPr>
      <w:r>
        <w:rPr/>
        <w:t>Day at a glance</w:t>
      </w:r>
    </w:p>
    <w:p>
      <w:pPr>
        <w:spacing w:before="0" w:after="100"/>
      </w:pPr>
      <w:r>
        <w:rPr/>
        <w:t xml:space="preserve">Day 1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7"/>
        <w:gridCol w:w="3266"/>
        <w:gridCol w:w="1516"/>
        <w:gridCol w:w="1821"/>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7"/>
            <w:shd w:val="clear" w:color="auto" w:fill="E6ECF4"/>
          </w:tcPr>
          <w:p>
            <w:pPr>
              <w:spacing w:before="0" w:after="0"/>
            </w:pPr>
            <w:r>
              <w:rPr>
                <w:b/>
                <w:sz w:val="19"/>
              </w:rPr>
              <w:t>Plan item</w:t>
            </w:r>
          </w:p>
        </w:tc>
        <w:tc>
          <w:tcPr>
            <w:tcW w:type="dxa" w:w="3266"/>
            <w:shd w:val="clear" w:color="auto" w:fill="E6ECF4"/>
          </w:tcPr>
          <w:p>
            <w:pPr>
              <w:spacing w:before="0" w:after="0"/>
            </w:pPr>
            <w:r>
              <w:rPr>
                <w:b/>
                <w:sz w:val="19"/>
              </w:rPr>
              <w:t>What happens</w:t>
            </w:r>
          </w:p>
        </w:tc>
        <w:tc>
          <w:tcPr>
            <w:tcW w:type="dxa" w:w="1516"/>
            <w:shd w:val="clear" w:color="auto" w:fill="E6ECF4"/>
          </w:tcPr>
          <w:p>
            <w:pPr>
              <w:spacing w:before="0" w:after="0"/>
            </w:pPr>
            <w:r>
              <w:rPr>
                <w:b/>
                <w:sz w:val="19"/>
              </w:rPr>
              <w:t>Material</w:t>
            </w:r>
          </w:p>
        </w:tc>
        <w:tc>
          <w:tcPr>
            <w:tcW w:type="dxa" w:w="1821"/>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7"/>
          </w:tcPr>
          <w:p>
            <w:pPr>
              <w:spacing w:before="0" w:after="0"/>
            </w:pPr>
            <w:r>
              <w:rPr>
                <w:sz w:val="19"/>
              </w:rPr>
              <w:t>Knowledge transfer · Level 1</w:t>
            </w:r>
          </w:p>
        </w:tc>
        <w:tc>
          <w:tcPr>
            <w:tcW w:type="dxa" w:w="3266"/>
          </w:tcPr>
          <w:p>
            <w:pPr>
              <w:spacing w:before="0" w:after="0"/>
            </w:pPr>
            <w:r>
              <w:rPr>
                <w:sz w:val="19"/>
              </w:rPr>
              <w:t>The trainer presents the cards of Materi A (A1, A2, A3, A4, A5, about 60 min of cards) in the Neuro-UX Lab; participants follow in the handout.</w:t>
            </w:r>
          </w:p>
        </w:tc>
        <w:tc>
          <w:tcPr>
            <w:tcW w:type="dxa" w:w="1516"/>
          </w:tcPr>
          <w:p>
            <w:pPr>
              <w:spacing w:before="0" w:after="0"/>
            </w:pPr>
            <w:r>
              <w:rPr>
                <w:sz w:val="19"/>
              </w:rPr>
              <w:t>Materi A (Route 1)</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7"/>
          </w:tcPr>
          <w:p>
            <w:pPr>
              <w:spacing w:before="0" w:after="0"/>
            </w:pPr>
            <w:r>
              <w:rPr>
                <w:sz w:val="19"/>
              </w:rPr>
              <w:t>Level 1 · Task 1</w:t>
            </w:r>
          </w:p>
        </w:tc>
        <w:tc>
          <w:tcPr>
            <w:tcW w:type="dxa" w:w="3266"/>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6"/>
          </w:tcPr>
          <w:p>
            <w:pPr>
              <w:spacing w:before="0" w:after="0"/>
            </w:pPr>
            <w:r>
              <w:rPr>
                <w:sz w:val="19"/>
              </w:rPr>
              <w:t>Task 1 · Part 1 · Block 1.1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7"/>
          </w:tcPr>
          <w:p>
            <w:pPr>
              <w:spacing w:before="0" w:after="0"/>
            </w:pPr>
            <w:r>
              <w:rPr>
                <w:sz w:val="19"/>
              </w:rPr>
              <w:t>Level 1 · Task 2</w:t>
            </w:r>
          </w:p>
        </w:tc>
        <w:tc>
          <w:tcPr>
            <w:tcW w:type="dxa" w:w="3266"/>
          </w:tcPr>
          <w:p>
            <w:pPr>
              <w:spacing w:before="0" w:after="0"/>
            </w:pPr>
            <w:r>
              <w:rPr>
                <w:sz w:val="19"/>
              </w:rPr>
              <w:t>Three options are rated on the same criteria and one is chosen under the stated conditions: Block 1.2 (Core, about 8 min).</w:t>
            </w:r>
          </w:p>
        </w:tc>
        <w:tc>
          <w:tcPr>
            <w:tcW w:type="dxa" w:w="1516"/>
          </w:tcPr>
          <w:p>
            <w:pPr>
              <w:spacing w:before="0" w:after="0"/>
            </w:pPr>
            <w:r>
              <w:rPr>
                <w:sz w:val="19"/>
              </w:rPr>
              <w:t>Task 1 · Part 1 · Block 1.2</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7"/>
          </w:tcPr>
          <w:p>
            <w:pPr>
              <w:spacing w:before="0" w:after="0"/>
            </w:pPr>
            <w:r>
              <w:rPr>
                <w:sz w:val="19"/>
              </w:rPr>
              <w:t>Coaching · transition from Level 1 to Level 2</w:t>
            </w:r>
          </w:p>
        </w:tc>
        <w:tc>
          <w:tcPr>
            <w:tcW w:type="dxa" w:w="3266"/>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6"/>
          </w:tcPr>
          <w:p>
            <w:pPr>
              <w:spacing w:before="0" w:after="0"/>
            </w:pPr>
            <w:r>
              <w:rPr>
                <w:sz w:val="19"/>
              </w:rPr>
              <w:t>Trainer document, section Coaching</w:t>
            </w:r>
          </w:p>
        </w:tc>
        <w:tc>
          <w:tcPr>
            <w:tcW w:type="dxa" w:w="1821"/>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7"/>
          </w:tcPr>
          <w:p>
            <w:pPr>
              <w:spacing w:before="0" w:after="0"/>
            </w:pPr>
            <w:r>
              <w:rPr>
                <w:sz w:val="19"/>
              </w:rPr>
              <w:t>Level 2 · Case study SafeHome Online (</w:t>
            </w:r>
            <w:r>
              <w:rPr>
                <w:b/>
                <w:sz w:val="19"/>
              </w:rPr>
              <w:t>2 UE</w:t>
            </w:r>
            <w:r>
              <w:rPr>
                <w:sz w:val="19"/>
              </w:rPr>
              <w:t>) incl. model solution</w:t>
            </w:r>
          </w:p>
        </w:tc>
        <w:tc>
          <w:tcPr>
            <w:tcW w:type="dxa" w:w="3266"/>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6"/>
          </w:tcPr>
          <w:p>
            <w:pPr>
              <w:spacing w:before="0" w:after="0"/>
            </w:pPr>
            <w:r>
              <w:rPr>
                <w:sz w:val="19"/>
              </w:rPr>
              <w:t>Task 1 · Part 2 · Block 2.1</w:t>
            </w:r>
            <w:r>
              <w:br/>
            </w:r>
            <w:r>
              <w:rPr>
                <w:sz w:val="19"/>
              </w:rPr>
              <w:t>Trainer document, section Case study</w:t>
            </w:r>
          </w:p>
        </w:tc>
        <w:tc>
          <w:tcPr>
            <w:tcW w:type="dxa" w:w="1821"/>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7"/>
          </w:tcPr>
          <w:p>
            <w:pPr>
              <w:spacing w:before="0" w:after="0"/>
            </w:pPr>
            <w:r>
              <w:rPr>
                <w:sz w:val="19"/>
              </w:rPr>
              <w:t>Level 2 + 3 · Feedback round with a management perspective</w:t>
            </w:r>
          </w:p>
        </w:tc>
        <w:tc>
          <w:tcPr>
            <w:tcW w:type="dxa" w:w="3266"/>
          </w:tcPr>
          <w:p>
            <w:pPr>
              <w:spacing w:before="0" w:after="0"/>
            </w:pPr>
            <w:r>
              <w:rPr>
                <w:sz w:val="19"/>
              </w:rPr>
              <w:t>Groups present their reasoning, not only their result. The trainer asks the day's Level 3 input questions and leads the discussion.</w:t>
            </w:r>
          </w:p>
        </w:tc>
        <w:tc>
          <w:tcPr>
            <w:tcW w:type="dxa" w:w="1516"/>
          </w:tcPr>
          <w:p>
            <w:pPr>
              <w:spacing w:before="0" w:after="0"/>
            </w:pPr>
            <w:r>
              <w:rPr>
                <w:sz w:val="19"/>
              </w:rPr>
              <w:t>Trainer document, section Feedback round</w:t>
            </w:r>
          </w:p>
        </w:tc>
        <w:tc>
          <w:tcPr>
            <w:tcW w:type="dxa" w:w="1821"/>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7"/>
          </w:tcPr>
          <w:p>
            <w:pPr>
              <w:spacing w:before="0" w:after="0"/>
            </w:pPr>
            <w:r>
              <w:rPr>
                <w:sz w:val="19"/>
              </w:rPr>
              <w:t>Level 3 · Transfer project, Chief Experience Officer (</w:t>
            </w:r>
            <w:r>
              <w:rPr>
                <w:b/>
                <w:sz w:val="19"/>
              </w:rPr>
              <w:t>3 UE</w:t>
            </w:r>
            <w:r>
              <w:rPr>
                <w:sz w:val="19"/>
              </w:rPr>
              <w:t>: UE8–10)</w:t>
            </w:r>
          </w:p>
        </w:tc>
        <w:tc>
          <w:tcPr>
            <w:tcW w:type="dxa" w:w="3266"/>
          </w:tcPr>
          <w:p>
            <w:pPr>
              <w:spacing w:before="0" w:after="0"/>
            </w:pPr>
            <w:r>
              <w:rPr>
                <w:sz w:val="19"/>
              </w:rPr>
              <w:t>The trainer presents Materi B (B1, B2, B3; use the "In plain words" and "How to decide" boxes, the rest is handout) and sets the role and the situation.</w:t>
            </w:r>
          </w:p>
        </w:tc>
        <w:tc>
          <w:tcPr>
            <w:tcW w:type="dxa" w:w="1516"/>
          </w:tcPr>
          <w:p>
            <w:pPr>
              <w:spacing w:before="0" w:after="0"/>
            </w:pPr>
            <w:r>
              <w:rPr>
                <w:sz w:val="19"/>
              </w:rPr>
              <w:t>Materi B (Route 2)</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7"/>
          </w:tcPr>
          <w:p>
            <w:pPr>
              <w:spacing w:before="0" w:after="0"/>
            </w:pPr>
            <w:r>
              <w:rPr>
                <w:sz w:val="19"/>
              </w:rPr>
              <w:t>Level 3 · Transfer project</w:t>
            </w:r>
          </w:p>
        </w:tc>
        <w:tc>
          <w:tcPr>
            <w:tcW w:type="dxa" w:w="3266"/>
          </w:tcPr>
          <w:p>
            <w:pPr>
              <w:spacing w:before="0" w:after="0"/>
            </w:pPr>
            <w:r>
              <w:rPr>
                <w:sz w:val="19"/>
              </w:rPr>
              <w:t>Individual work or in pairs on Block 3.1 (Core, about 20 min): the strategy memo.</w:t>
            </w:r>
          </w:p>
        </w:tc>
        <w:tc>
          <w:tcPr>
            <w:tcW w:type="dxa" w:w="1516"/>
          </w:tcPr>
          <w:p>
            <w:pPr>
              <w:spacing w:before="0" w:after="0"/>
            </w:pPr>
            <w:r>
              <w:rPr>
                <w:sz w:val="19"/>
              </w:rPr>
              <w:t>Task 2 · Block 3.1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7"/>
          </w:tcPr>
          <w:p>
            <w:pPr>
              <w:spacing w:before="0" w:after="0"/>
            </w:pPr>
            <w:r>
              <w:rPr>
                <w:sz w:val="19"/>
              </w:rPr>
              <w:t>Level 3 · Transfer project</w:t>
            </w:r>
          </w:p>
        </w:tc>
        <w:tc>
          <w:tcPr>
            <w:tcW w:type="dxa" w:w="3266"/>
          </w:tcPr>
          <w:p>
            <w:pPr>
              <w:spacing w:before="0" w:after="0"/>
            </w:pPr>
            <w:r>
              <w:rPr>
                <w:sz w:val="19"/>
              </w:rPr>
              <w:t>Participants present their decision and what they give up, including the one decision made under uncertainty; the trainer debriefs with the model solution.</w:t>
            </w:r>
          </w:p>
        </w:tc>
        <w:tc>
          <w:tcPr>
            <w:tcW w:type="dxa" w:w="1516"/>
          </w:tcPr>
          <w:p>
            <w:pPr>
              <w:spacing w:before="0" w:after="0"/>
            </w:pPr>
            <w:r>
              <w:rPr>
                <w:sz w:val="19"/>
              </w:rPr>
              <w:t>Task 2 · Block 3.1</w:t>
            </w:r>
            <w:r>
              <w:br/>
            </w:r>
            <w:r>
              <w:rPr>
                <w:sz w:val="19"/>
              </w:rPr>
              <w:t>Trainer document, section Transfer project</w:t>
            </w:r>
          </w:p>
        </w:tc>
        <w:tc>
          <w:tcPr>
            <w:tcW w:type="dxa" w:w="1821"/>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2"/>
        <w:gridCol w:w="1022"/>
        <w:gridCol w:w="1460"/>
        <w:gridCol w:w="2323"/>
        <w:gridCol w:w="2301"/>
      </w:tblGrid>
      <w:tr>
        <w:trPr>
          <w:cantSplit/>
          <w:tblHeader/>
        </w:trPr>
        <w:tc>
          <w:tcPr>
            <w:tcW w:type="dxa" w:w="2532"/>
            <w:shd w:val="clear" w:color="auto" w:fill="E6ECF4"/>
          </w:tcPr>
          <w:p>
            <w:pPr>
              <w:spacing w:before="0" w:after="0"/>
            </w:pPr>
            <w:r>
              <w:rPr>
                <w:b/>
                <w:sz w:val="19"/>
              </w:rPr>
              <w:t>Component</w:t>
            </w:r>
          </w:p>
        </w:tc>
        <w:tc>
          <w:tcPr>
            <w:tcW w:type="dxa" w:w="1022"/>
            <w:shd w:val="clear" w:color="auto" w:fill="E6ECF4"/>
          </w:tcPr>
          <w:p>
            <w:pPr>
              <w:spacing w:before="0" w:after="0"/>
            </w:pPr>
            <w:r>
              <w:rPr>
                <w:b/>
                <w:sz w:val="19"/>
              </w:rPr>
              <w:t>UE</w:t>
            </w:r>
          </w:p>
        </w:tc>
        <w:tc>
          <w:tcPr>
            <w:tcW w:type="dxa" w:w="1460"/>
            <w:shd w:val="clear" w:color="auto" w:fill="E6ECF4"/>
          </w:tcPr>
          <w:p>
            <w:pPr>
              <w:spacing w:before="0" w:after="0"/>
            </w:pPr>
            <w:r>
              <w:rPr>
                <w:b/>
                <w:sz w:val="19"/>
              </w:rPr>
              <w:t>Duration</w:t>
            </w:r>
          </w:p>
        </w:tc>
        <w:tc>
          <w:tcPr>
            <w:tcW w:type="dxa" w:w="2323"/>
            <w:shd w:val="clear" w:color="auto" w:fill="E6ECF4"/>
          </w:tcPr>
          <w:p>
            <w:pPr>
              <w:spacing w:before="0" w:after="0"/>
            </w:pPr>
            <w:r>
              <w:rPr>
                <w:b/>
                <w:sz w:val="19"/>
              </w:rPr>
              <w:t>Participants work in</w:t>
            </w:r>
          </w:p>
        </w:tc>
        <w:tc>
          <w:tcPr>
            <w:tcW w:type="dxa" w:w="2301"/>
            <w:shd w:val="clear" w:color="auto" w:fill="E6ECF4"/>
          </w:tcPr>
          <w:p>
            <w:pPr>
              <w:spacing w:before="0" w:after="0"/>
            </w:pPr>
            <w:r>
              <w:rPr>
                <w:b/>
                <w:sz w:val="19"/>
              </w:rPr>
              <w:t>Model solution in</w:t>
            </w:r>
          </w:p>
        </w:tc>
      </w:tr>
      <w:tr>
        <w:trPr>
          <w:cantSplit/>
        </w:trPr>
        <w:tc>
          <w:tcPr>
            <w:tcW w:type="dxa" w:w="2532"/>
          </w:tcPr>
          <w:p>
            <w:pPr>
              <w:spacing w:before="0" w:after="0"/>
            </w:pPr>
            <w:r>
              <w:rPr>
                <w:b/>
                <w:sz w:val="19"/>
              </w:rPr>
              <w:t>Level 2 case study</w:t>
            </w:r>
            <w:r>
              <w:rPr>
                <w:sz w:val="19"/>
              </w:rPr>
              <w:t xml:space="preserve"> (SafeHome Online)</w:t>
            </w:r>
          </w:p>
        </w:tc>
        <w:tc>
          <w:tcPr>
            <w:tcW w:type="dxa" w:w="1022"/>
          </w:tcPr>
          <w:p>
            <w:pPr>
              <w:spacing w:before="0" w:after="0"/>
            </w:pPr>
            <w:r>
              <w:rPr>
                <w:sz w:val="19"/>
              </w:rPr>
              <w:t>UE5–6</w:t>
            </w:r>
          </w:p>
        </w:tc>
        <w:tc>
          <w:tcPr>
            <w:tcW w:type="dxa" w:w="1460"/>
          </w:tcPr>
          <w:p>
            <w:pPr>
              <w:spacing w:before="0" w:after="0"/>
            </w:pPr>
            <w:r>
              <w:rPr>
                <w:b/>
                <w:sz w:val="19"/>
              </w:rPr>
              <w:t>2 UE</w:t>
            </w:r>
            <w:r>
              <w:rPr>
                <w:sz w:val="19"/>
              </w:rPr>
              <w:t xml:space="preserve"> · 90 min</w:t>
            </w:r>
          </w:p>
        </w:tc>
        <w:tc>
          <w:tcPr>
            <w:tcW w:type="dxa" w:w="2323"/>
          </w:tcPr>
          <w:p>
            <w:pPr>
              <w:spacing w:before="0" w:after="0"/>
            </w:pPr>
            <w:r>
              <w:rPr>
                <w:sz w:val="19"/>
              </w:rPr>
              <w:t>Task 1 · Part 2 (Block 2.1)</w:t>
            </w:r>
          </w:p>
        </w:tc>
        <w:tc>
          <w:tcPr>
            <w:tcW w:type="dxa" w:w="2301"/>
          </w:tcPr>
          <w:p>
            <w:pPr>
              <w:spacing w:before="0" w:after="0"/>
            </w:pPr>
            <w:r>
              <w:rPr>
                <w:sz w:val="19"/>
              </w:rPr>
              <w:t>Trainer document, section Case study</w:t>
            </w:r>
          </w:p>
        </w:tc>
      </w:tr>
      <w:tr>
        <w:trPr>
          <w:cantSplit/>
        </w:trPr>
        <w:tc>
          <w:tcPr>
            <w:tcW w:type="dxa" w:w="2532"/>
          </w:tcPr>
          <w:p>
            <w:pPr>
              <w:spacing w:before="0" w:after="0"/>
            </w:pPr>
            <w:r>
              <w:rPr>
                <w:b/>
                <w:sz w:val="19"/>
              </w:rPr>
              <w:t>Level 3 transfer project</w:t>
            </w:r>
            <w:r>
              <w:rPr>
                <w:sz w:val="19"/>
              </w:rPr>
              <w:t xml:space="preserve"> (Chief Experience Officer)</w:t>
            </w:r>
          </w:p>
        </w:tc>
        <w:tc>
          <w:tcPr>
            <w:tcW w:type="dxa" w:w="1022"/>
          </w:tcPr>
          <w:p>
            <w:pPr>
              <w:spacing w:before="0" w:after="0"/>
            </w:pPr>
            <w:r>
              <w:rPr>
                <w:sz w:val="19"/>
              </w:rPr>
              <w:t>UE8–10</w:t>
            </w:r>
          </w:p>
        </w:tc>
        <w:tc>
          <w:tcPr>
            <w:tcW w:type="dxa" w:w="1460"/>
          </w:tcPr>
          <w:p>
            <w:pPr>
              <w:spacing w:before="0" w:after="0"/>
            </w:pPr>
            <w:r>
              <w:rPr>
                <w:b/>
                <w:sz w:val="19"/>
              </w:rPr>
              <w:t>3 UE</w:t>
            </w:r>
            <w:r>
              <w:rPr>
                <w:sz w:val="19"/>
              </w:rPr>
              <w:t xml:space="preserve"> · 135 min</w:t>
            </w:r>
          </w:p>
        </w:tc>
        <w:tc>
          <w:tcPr>
            <w:tcW w:type="dxa" w:w="2323"/>
          </w:tcPr>
          <w:p>
            <w:pPr>
              <w:spacing w:before="0" w:after="0"/>
            </w:pPr>
            <w:r>
              <w:rPr>
                <w:sz w:val="19"/>
              </w:rPr>
              <w:t>Materi B and Task 2 (Block 3.1)</w:t>
            </w:r>
          </w:p>
        </w:tc>
        <w:tc>
          <w:tcPr>
            <w:tcW w:type="dxa" w:w="2301"/>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107"/>
              <w:gridCol w:w="5050"/>
              <w:gridCol w:w="3121"/>
            </w:tblGrid>
            <w:tr>
              <w:trPr>
                <w:cantSplit/>
                <w:tblHeader/>
              </w:trPr>
              <w:tc>
                <w:tcPr>
                  <w:tcW w:type="dxa" w:w="1107"/>
                  <w:shd w:val="clear" w:color="auto" w:fill="E6ECF4"/>
                </w:tcPr>
                <w:p>
                  <w:pPr>
                    <w:spacing w:before="0" w:after="0"/>
                  </w:pPr>
                  <w:r>
                    <w:rPr>
                      <w:b/>
                      <w:sz w:val="20"/>
                    </w:rPr>
                    <w:t>UE</w:t>
                  </w:r>
                </w:p>
              </w:tc>
              <w:tc>
                <w:tcPr>
                  <w:tcW w:type="dxa" w:w="5050"/>
                  <w:shd w:val="clear" w:color="auto" w:fill="E6ECF4"/>
                </w:tcPr>
                <w:p>
                  <w:pPr>
                    <w:spacing w:before="0" w:after="0"/>
                  </w:pPr>
                  <w:r>
                    <w:rPr>
                      <w:b/>
                      <w:sz w:val="20"/>
                    </w:rPr>
                    <w:t>Plan item (Strukturplan, Day 1)</w:t>
                  </w:r>
                </w:p>
              </w:tc>
              <w:tc>
                <w:tcPr>
                  <w:tcW w:type="dxa" w:w="3121"/>
                  <w:shd w:val="clear" w:color="auto" w:fill="E6ECF4"/>
                </w:tcPr>
                <w:p>
                  <w:pPr>
                    <w:spacing w:before="0" w:after="0"/>
                  </w:pPr>
                  <w:r>
                    <w:rPr>
                      <w:b/>
                      <w:sz w:val="20"/>
                    </w:rPr>
                    <w:t>Block in this document</w:t>
                  </w:r>
                </w:p>
              </w:tc>
            </w:tr>
            <w:tr>
              <w:trPr>
                <w:cantSplit/>
              </w:trPr>
              <w:tc>
                <w:tcPr>
                  <w:tcW w:type="dxa" w:w="1107"/>
                </w:tcPr>
                <w:p>
                  <w:pPr>
                    <w:spacing w:before="0" w:after="0"/>
                  </w:pPr>
                  <w:r>
                    <w:rPr>
                      <w:sz w:val="20"/>
                    </w:rPr>
                    <w:t>UE2</w:t>
                  </w:r>
                </w:p>
              </w:tc>
              <w:tc>
                <w:tcPr>
                  <w:tcW w:type="dxa" w:w="5050"/>
                </w:tcPr>
                <w:p>
                  <w:pPr>
                    <w:spacing w:before="0" w:after="0"/>
                  </w:pPr>
                  <w:r>
                    <w:rPr>
                      <w:sz w:val="20"/>
                    </w:rPr>
                    <w:t>Level 1, task 1 · The effect of an unfamiliar interface: CarePath</w:t>
                  </w:r>
                </w:p>
              </w:tc>
              <w:tc>
                <w:tcPr>
                  <w:tcW w:type="dxa" w:w="3121"/>
                </w:tcPr>
                <w:p>
                  <w:pPr>
                    <w:spacing w:before="0" w:after="0"/>
                  </w:pPr>
                  <w:r>
                    <w:rPr>
                      <w:sz w:val="20"/>
                    </w:rPr>
                    <w:t>Block 1.1 (Core)</w:t>
                  </w:r>
                </w:p>
              </w:tc>
            </w:tr>
            <w:tr>
              <w:trPr>
                <w:cantSplit/>
              </w:trPr>
              <w:tc>
                <w:tcPr>
                  <w:tcW w:type="dxa" w:w="1107"/>
                </w:tcPr>
                <w:p>
                  <w:pPr>
                    <w:spacing w:before="0" w:after="0"/>
                  </w:pPr>
                  <w:r>
                    <w:rPr>
                      <w:sz w:val="20"/>
                    </w:rPr>
                    <w:t>UE3</w:t>
                  </w:r>
                </w:p>
              </w:tc>
              <w:tc>
                <w:tcPr>
                  <w:tcW w:type="dxa" w:w="5050"/>
                </w:tcPr>
                <w:p>
                  <w:pPr>
                    <w:spacing w:before="0" w:after="0"/>
                  </w:pPr>
                  <w:r>
                    <w:rPr>
                      <w:sz w:val="20"/>
                    </w:rPr>
                    <w:t>Level 1, task 2 · Rate design effects and decide under uncertainty: SkillFlow</w:t>
                  </w:r>
                </w:p>
              </w:tc>
              <w:tc>
                <w:tcPr>
                  <w:tcW w:type="dxa" w:w="3121"/>
                </w:tcPr>
                <w:p>
                  <w:pPr>
                    <w:spacing w:before="0" w:after="0"/>
                  </w:pPr>
                  <w:r>
                    <w:rPr>
                      <w:sz w:val="20"/>
                    </w:rPr>
                    <w:t>Block 1.2 (Core)</w:t>
                  </w:r>
                </w:p>
              </w:tc>
            </w:tr>
            <w:tr>
              <w:trPr>
                <w:cantSplit/>
              </w:trPr>
              <w:tc>
                <w:tcPr>
                  <w:tcW w:type="dxa" w:w="1107"/>
                </w:tcPr>
                <w:p>
                  <w:pPr>
                    <w:spacing w:before="0" w:after="0"/>
                  </w:pPr>
                  <w:r>
                    <w:rPr>
                      <w:sz w:val="20"/>
                    </w:rPr>
                    <w:t>UE4</w:t>
                  </w:r>
                </w:p>
              </w:tc>
              <w:tc>
                <w:tcPr>
                  <w:tcW w:type="dxa" w:w="5050"/>
                </w:tcPr>
                <w:p>
                  <w:pPr>
                    <w:spacing w:before="0" w:after="0"/>
                  </w:pPr>
                  <w:r>
                    <w:rPr>
                      <w:sz w:val="20"/>
                    </w:rPr>
                    <w:t>Coaching: from describing to deciding</w:t>
                  </w:r>
                </w:p>
              </w:tc>
              <w:tc>
                <w:tcPr>
                  <w:tcW w:type="dxa" w:w="3121"/>
                </w:tcPr>
                <w:p>
                  <w:pPr>
                    <w:spacing w:before="0" w:after="0"/>
                  </w:pPr>
                  <w:r>
                    <w:rPr>
                      <w:sz w:val="20"/>
                    </w:rPr>
                    <w:t>A classroom talk led by the trainer; not a worksheet block</w:t>
                  </w:r>
                </w:p>
              </w:tc>
            </w:tr>
            <w:tr>
              <w:trPr>
                <w:cantSplit/>
              </w:trPr>
              <w:tc>
                <w:tcPr>
                  <w:tcW w:type="dxa" w:w="1107"/>
                </w:tcPr>
                <w:p>
                  <w:pPr>
                    <w:spacing w:before="0" w:after="0"/>
                  </w:pPr>
                  <w:r>
                    <w:rPr>
                      <w:sz w:val="20"/>
                    </w:rPr>
                    <w:t>UE5–6</w:t>
                  </w:r>
                </w:p>
              </w:tc>
              <w:tc>
                <w:tcPr>
                  <w:tcW w:type="dxa" w:w="5050"/>
                </w:tcPr>
                <w:p>
                  <w:pPr>
                    <w:spacing w:before="0" w:after="0"/>
                  </w:pPr>
                  <w:r>
                    <w:rPr>
                      <w:sz w:val="20"/>
                    </w:rPr>
                    <w:t>Level 2 case study · Case study: redesigning SafeHome Online</w:t>
                  </w:r>
                </w:p>
              </w:tc>
              <w:tc>
                <w:tcPr>
                  <w:tcW w:type="dxa" w:w="3121"/>
                </w:tcPr>
                <w:p>
                  <w:pPr>
                    <w:spacing w:before="0" w:after="0"/>
                  </w:pPr>
                  <w:r>
                    <w:rPr>
                      <w:sz w:val="20"/>
                    </w:rPr>
                    <w:t>Block 2.1 (Core)</w:t>
                  </w:r>
                </w:p>
              </w:tc>
            </w:tr>
            <w:tr>
              <w:trPr>
                <w:cantSplit/>
              </w:trPr>
              <w:tc>
                <w:tcPr>
                  <w:tcW w:type="dxa" w:w="1107"/>
                </w:tcPr>
                <w:p>
                  <w:pPr>
                    <w:spacing w:before="0" w:after="0"/>
                  </w:pPr>
                  <w:r>
                    <w:rPr>
                      <w:sz w:val="20"/>
                    </w:rPr>
                    <w:t>UE7</w:t>
                  </w:r>
                </w:p>
              </w:tc>
              <w:tc>
                <w:tcPr>
                  <w:tcW w:type="dxa" w:w="5050"/>
                </w:tcPr>
                <w:p>
                  <w:pPr>
                    <w:spacing w:before="0" w:after="0"/>
                  </w:pPr>
                  <w:r>
                    <w:rPr>
                      <w:sz w:val="20"/>
                    </w:rPr>
                    <w:t>Feedback round with a management perspective</w:t>
                  </w:r>
                </w:p>
              </w:tc>
              <w:tc>
                <w:tcPr>
                  <w:tcW w:type="dxa" w:w="3121"/>
                </w:tcPr>
                <w:p>
                  <w:pPr>
                    <w:spacing w:before="0" w:after="0"/>
                  </w:pPr>
                  <w:r>
                    <w:rPr>
                      <w:sz w:val="20"/>
                    </w:rPr>
                    <w:t>A classroom discussion led by the trainer; not a worksheet block</w:t>
                  </w:r>
                </w:p>
              </w:tc>
            </w:tr>
            <w:tr>
              <w:trPr>
                <w:cantSplit/>
              </w:trPr>
              <w:tc>
                <w:tcPr>
                  <w:tcW w:type="dxa" w:w="1107"/>
                </w:tcPr>
                <w:p>
                  <w:pPr>
                    <w:spacing w:before="0" w:after="0"/>
                  </w:pPr>
                  <w:r>
                    <w:rPr>
                      <w:sz w:val="20"/>
                    </w:rPr>
                    <w:t>UE8–10</w:t>
                  </w:r>
                </w:p>
              </w:tc>
              <w:tc>
                <w:tcPr>
                  <w:tcW w:type="dxa" w:w="5050"/>
                </w:tcPr>
                <w:p>
                  <w:pPr>
                    <w:spacing w:before="0" w:after="0"/>
                  </w:pPr>
                  <w:r>
                    <w:rPr>
                      <w:sz w:val="20"/>
                    </w:rPr>
                    <w:t>Level 3 transfer project · A Neuro-UX strategy for a digital service ecosystem</w:t>
                  </w:r>
                </w:p>
              </w:tc>
              <w:tc>
                <w:tcPr>
                  <w:tcW w:type="dxa" w:w="3121"/>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describe the effect, then decide on the improvements</w:t>
      </w:r>
    </w:p>
    <w:p>
      <w:pPr>
        <w:pStyle w:val="Heading2"/>
      </w:pPr>
      <w:r>
        <w:rPr/>
        <w:t>The case: three products on the UX team's desk, and SafeHome Online</w:t>
      </w:r>
    </w:p>
    <w:p>
      <w:pPr>
        <w:spacing w:before="0" w:after="100"/>
      </w:pPr>
      <w:r>
        <w:rPr>
          <w:i/>
        </w:rPr>
        <w:t>Read once · about 3 min</w:t>
      </w:r>
    </w:p>
    <w:p>
      <w:pPr>
        <w:spacing w:before="0" w:after="100"/>
      </w:pPr>
      <w:r>
        <w:rPr/>
        <w:t>You work in the UX team of a digital agency. This week three products land on your desk. Two are warm-ups: CarePath, a health app for appointments, medication notes and contact with doctors, and SkillFlow, a learning platform that has three designs for its start page. The main case is SafeHome Online, the self-service portal of an insurer, where customers report damage, look at their contracts and download documents. It is complete in content, but people give up, call the service centre and call it complicated, cold and unsafe.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74"/>
        <w:gridCol w:w="4764"/>
      </w:tblGrid>
      <w:tr>
        <w:trPr>
          <w:cantSplit/>
          <w:tblHeader/>
        </w:trPr>
        <w:tc>
          <w:tcPr>
            <w:tcW w:type="dxa" w:w="4874"/>
            <w:shd w:val="clear" w:color="auto" w:fill="E6ECF4"/>
          </w:tcPr>
          <w:p>
            <w:pPr>
              <w:spacing w:before="0" w:after="0"/>
            </w:pPr>
            <w:r>
              <w:rPr>
                <w:b/>
                <w:sz w:val="20"/>
              </w:rPr>
              <w:t>What the plan gives you</w:t>
            </w:r>
          </w:p>
        </w:tc>
        <w:tc>
          <w:tcPr>
            <w:tcW w:type="dxa" w:w="4764"/>
            <w:shd w:val="clear" w:color="auto" w:fill="E6ECF4"/>
          </w:tcPr>
          <w:p>
            <w:pPr>
              <w:spacing w:before="0" w:after="0"/>
            </w:pPr>
            <w:r>
              <w:rPr>
                <w:b/>
                <w:sz w:val="20"/>
              </w:rPr>
              <w:t>How the task runs · three blocks</w:t>
            </w:r>
          </w:p>
        </w:tc>
      </w:tr>
      <w:tr>
        <w:trPr>
          <w:cantSplit/>
        </w:trPr>
        <w:tc>
          <w:tcPr>
            <w:tcW w:type="dxa" w:w="4874"/>
          </w:tcPr>
          <w:p>
            <w:pPr>
              <w:spacing w:before="0" w:after="0"/>
            </w:pPr>
            <w:r>
              <w:rPr>
                <w:sz w:val="20"/>
              </w:rPr>
              <w:t>• Block 1.1: CarePath, with nine equally strong tiles, a red warning without an acute problem, three button colours with no system, very small type, moving elements, and health data, notices and advertising close together</w:t>
            </w:r>
            <w:r>
              <w:br/>
            </w:r>
            <w:r>
              <w:rPr>
                <w:sz w:val="20"/>
              </w:rPr>
              <w:t>• Block 1.2: three start pages for SkillFlow; live in 8 weeks, working adults between 25 and 55, a limited budget, management wants a “modern effect”, support wants “as few questions as possible”, no user tests yet</w:t>
            </w:r>
            <w:r>
              <w:br/>
            </w:r>
            <w:r>
              <w:rPr>
                <w:sz w:val="20"/>
              </w:rPr>
              <w:t>• Block 2.1: SafeHome Online, with a 46 % abandonment rate on damage reports, €180,000 and 12 weeks for a first optimisation, legal notices that must stay, limited IT capacity and no full relaunch</w:t>
            </w:r>
          </w:p>
        </w:tc>
        <w:tc>
          <w:tcPr>
            <w:tcW w:type="dxa" w:w="4764"/>
          </w:tcPr>
          <w:p>
            <w:pPr>
              <w:spacing w:before="0" w:after="0"/>
            </w:pPr>
            <w:r>
              <w:rPr>
                <w:sz w:val="20"/>
              </w:rPr>
              <w:t>• Block 1.1: the effect of an unfamiliar interface. Mark what binds or distracts attention, sort the problems, write a hypothesis for each category, name three unconscious effects and say what to fix first.</w:t>
            </w:r>
            <w:r>
              <w:br/>
            </w:r>
            <w:r>
              <w:rPr>
                <w:sz w:val="20"/>
              </w:rPr>
              <w:t>• Block 1.2: rate three designs and decide under uncertainty. Rate each start page on five criteria, choose one, name the risks and the missing information, and write a management statement.</w:t>
            </w:r>
            <w:r>
              <w:br/>
            </w:r>
            <w:r>
              <w:rPr>
                <w:sz w:val="20"/>
              </w:rPr>
              <w:t>• Block 2.1: the case study. Five effect problems, sorted into five categories, four measures in order, a justification on four criteria and a recommendation to the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80"/>
        <w:gridCol w:w="3406"/>
        <w:gridCol w:w="2152"/>
      </w:tblGrid>
      <w:tr>
        <w:trPr>
          <w:cantSplit/>
          <w:tblHeader/>
        </w:trPr>
        <w:tc>
          <w:tcPr>
            <w:tcW w:type="dxa" w:w="4080"/>
            <w:shd w:val="clear" w:color="auto" w:fill="E6ECF4"/>
          </w:tcPr>
          <w:p>
            <w:pPr>
              <w:spacing w:before="0" w:after="0"/>
            </w:pPr>
            <w:r>
              <w:rPr>
                <w:b/>
                <w:sz w:val="20"/>
              </w:rPr>
              <w:t>In the brief</w:t>
            </w:r>
          </w:p>
        </w:tc>
        <w:tc>
          <w:tcPr>
            <w:tcW w:type="dxa" w:w="3406"/>
            <w:shd w:val="clear" w:color="auto" w:fill="E6ECF4"/>
          </w:tcPr>
          <w:p>
            <w:pPr>
              <w:spacing w:before="0" w:after="0"/>
            </w:pPr>
            <w:r>
              <w:rPr>
                <w:b/>
                <w:sz w:val="20"/>
              </w:rPr>
              <w:t>Clear · Case assumption</w:t>
            </w:r>
          </w:p>
        </w:tc>
        <w:tc>
          <w:tcPr>
            <w:tcW w:type="dxa" w:w="2152"/>
            <w:shd w:val="clear" w:color="auto" w:fill="E6ECF4"/>
          </w:tcPr>
          <w:p>
            <w:pPr>
              <w:spacing w:before="0" w:after="0"/>
            </w:pPr>
            <w:r>
              <w:rPr>
                <w:b/>
                <w:sz w:val="20"/>
              </w:rPr>
              <w:t>Open · on purpose</w:t>
            </w:r>
          </w:p>
        </w:tc>
      </w:tr>
      <w:tr>
        <w:trPr>
          <w:cantSplit/>
        </w:trPr>
        <w:tc>
          <w:tcPr>
            <w:tcW w:type="dxa" w:w="4080"/>
          </w:tcPr>
          <w:p>
            <w:pPr>
              <w:spacing w:before="0" w:after="0"/>
            </w:pPr>
            <w:r>
              <w:rPr>
                <w:sz w:val="20"/>
              </w:rPr>
              <w:t>• CarePath: nine equally strong tiles, a red warning without an acute problem, three button colours with no system, very small type, moving elements, data and advertising close together.</w:t>
            </w:r>
            <w:r>
              <w:br/>
            </w:r>
            <w:r>
              <w:rPr>
                <w:sz w:val="20"/>
              </w:rPr>
              <w:t>• SkillFlow: three start pages described in words; 8 weeks, working adults 25 to 55, a limited budget, no user tests.</w:t>
            </w:r>
            <w:r>
              <w:br/>
            </w:r>
            <w:r>
              <w:rPr>
                <w:sz w:val="20"/>
              </w:rPr>
              <w:t>• SafeHome Online: 46 % abandonment on damage reports, many calls, “complicated”, “cold”, “unsafe”; €180,000 and 12 weeks; legal notices stay; no relaunch.</w:t>
            </w:r>
          </w:p>
        </w:tc>
        <w:tc>
          <w:tcPr>
            <w:tcW w:type="dxa" w:w="3406"/>
          </w:tcPr>
          <w:p>
            <w:pPr>
              <w:spacing w:before="0" w:after="0"/>
            </w:pPr>
            <w:r>
              <w:rPr>
                <w:sz w:val="20"/>
              </w:rPr>
              <w:t>• You review CarePath and SkillFlow as an agency would: from their screens, with no access to their data.</w:t>
            </w:r>
            <w:r>
              <w:br/>
            </w:r>
            <w:r>
              <w:rPr>
                <w:sz w:val="20"/>
              </w:rPr>
              <w:t>• SafeHome Online belongs to a mid-sized insurer. The damage report runs over several screens; the portal records which screen a report stops on, but not why.</w:t>
            </w:r>
            <w:r>
              <w:br/>
            </w:r>
            <w:r>
              <w:rPr>
                <w:sz w:val="20"/>
              </w:rPr>
              <w:t>• “A limited budget” for SkillFlow means the revision cannot rebuild the platform; it can change the start page.</w:t>
            </w:r>
            <w:r>
              <w:br/>
            </w:r>
            <w:r>
              <w:rPr>
                <w:sz w:val="20"/>
              </w:rPr>
              <w:t>• The specialist departments that want more notices are the claims team and the legal team.</w:t>
            </w:r>
          </w:p>
        </w:tc>
        <w:tc>
          <w:tcPr>
            <w:tcW w:type="dxa" w:w="2152"/>
          </w:tcPr>
          <w:p>
            <w:pPr>
              <w:spacing w:before="0" w:after="0"/>
            </w:pPr>
            <w:r>
              <w:rPr>
                <w:sz w:val="20"/>
              </w:rPr>
              <w:t>• How many people use each product: no figure is given.</w:t>
            </w:r>
            <w:r>
              <w:br/>
            </w:r>
            <w:r>
              <w:rPr>
                <w:sz w:val="20"/>
              </w:rPr>
              <w:t>• Why people stop the damage report: the portal does not record it.</w:t>
            </w:r>
            <w:r>
              <w:br/>
            </w:r>
            <w:r>
              <w:rPr>
                <w:sz w:val="20"/>
              </w:rPr>
              <w:t>• Which SkillFlow design the target group would prefer: there are no tests.</w:t>
            </w:r>
            <w:r>
              <w:br/>
            </w:r>
            <w:r>
              <w:rPr>
                <w:sz w:val="20"/>
              </w:rPr>
              <w:t>• How much of the €180,000 each measure would take: the plan does not say.</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CarePath with nine equally strong tiles, a red warning, three button colours, very small type, moving elements and data next to advertising; SkillFlow's three start pages under 8 weeks, a target group of working adults, a limited budget and no tests; SafeHome Online with a 46 % abandonment rate, €180,000, 12 weeks, legal notices that stay and no relaunch.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Describe the effect and weigh designs · Level 1 · Knowledge</w:t>
      </w:r>
    </w:p>
    <w:p>
      <w:pPr>
        <w:pStyle w:val="Heading2"/>
      </w:pPr>
      <w:r>
        <w:rPr/>
        <w:t>Block 1.1 · The effect of an unfamiliar interface: CarePath · JUDGED · Core · about 10 min</w:t>
      </w:r>
    </w:p>
    <w:p>
      <w:pPr>
        <w:spacing w:before="0" w:after="100"/>
      </w:pPr>
      <w:r>
        <w:rPr>
          <w:b/>
        </w:rPr>
        <w:t>Draws on:</w:t>
      </w:r>
      <w:r>
        <w:rPr/>
        <w:t xml:space="preserve"> A1 · UX, UI and the psychology behind them · A2 · How people see · A3 · Expectations and habits, and three aims of an interface · A4 · Feelings that work before thinking.</w:t>
      </w:r>
    </w:p>
    <w:p>
      <w:pPr>
        <w:spacing w:before="0" w:after="100"/>
      </w:pPr>
      <w:r>
        <w:rPr/>
        <w:t>You receive the description of a fictional product, CarePath, a health app for organising appointments, medication notes and contact with doctors. Open it and use it as a patient would. You need no prior knowledge: ask yourself what feels confusing, stressful, unsafe or unclear. The aim is to see the effect before you judge it.</w:t>
      </w:r>
    </w:p>
    <w:p>
      <w:pPr>
        <w:keepNext/>
        <w:spacing w:before="80" w:after="40"/>
        <w:jc w:val="center"/>
      </w:pPr>
      <w:r>
        <w:drawing>
          <wp:inline xmlns:a="http://schemas.openxmlformats.org/drawingml/2006/main" xmlns:pic="http://schemas.openxmlformats.org/drawingml/2006/picture">
            <wp:extent cx="5932421" cy="5580000"/>
            <wp:docPr id="1" name="Picture 1"/>
            <wp:cNvGraphicFramePr>
              <a:graphicFrameLocks noChangeAspect="1"/>
            </wp:cNvGraphicFramePr>
            <a:graphic>
              <a:graphicData uri="http://schemas.openxmlformats.org/drawingml/2006/picture">
                <pic:pic>
                  <pic:nvPicPr>
                    <pic:cNvPr id="0" name="d1_b1-1_0-59596230bc1e.png"/>
                    <pic:cNvPicPr/>
                  </pic:nvPicPr>
                  <pic:blipFill>
                    <a:blip r:embed="rId10"/>
                    <a:stretch>
                      <a:fillRect/>
                    </a:stretch>
                  </pic:blipFill>
                  <pic:spPr>
                    <a:xfrm>
                      <a:off x="0" y="0"/>
                      <a:ext cx="5932421" cy="5580000"/>
                    </a:xfrm>
                    <a:prstGeom prst="rect"/>
                  </pic:spPr>
                </pic:pic>
              </a:graphicData>
            </a:graphic>
          </wp:inline>
        </w:drawing>
      </w:r>
    </w:p>
    <w:p>
      <w:pPr>
        <w:spacing w:before="0" w:after="160"/>
        <w:jc w:val="center"/>
      </w:pPr>
      <w:r>
        <w:rPr>
          <w:i/>
          <w:color w:val="556274"/>
          <w:sz w:val="18"/>
        </w:rPr>
        <w:t>Figure 1 · CarePath, the start page, as the app shows it.</w:t>
      </w:r>
    </w:p>
    <w:p>
      <w:pPr>
        <w:spacing w:before="0" w:after="100"/>
      </w:pPr>
      <w:r>
        <w:rPr>
          <w:b/>
        </w:rPr>
        <w:t>Question 1 of 5 · Mark all the elements that could bind or distract attention</w:t>
      </w:r>
    </w:p>
    <w:p>
      <w:pPr>
        <w:spacing w:before="0" w:after="100"/>
      </w:pPr>
      <w:r>
        <w:rPr/>
        <w:t>Name every element that pulls your eye, one per line, and say whether it binds attention to the task or distracts from it.</w:t>
      </w:r>
    </w:p>
    <w:p>
      <w:pPr>
        <w:spacing w:before="0" w:after="100"/>
      </w:pPr>
      <w:r>
        <w:rPr>
          <w:i/>
        </w:rPr>
        <w:t>How to build the answer:</w:t>
      </w:r>
    </w:p>
    <w:p>
      <w:pPr>
        <w:pStyle w:val="ListBullet"/>
        <w:spacing w:before="0" w:after="40"/>
      </w:pPr>
      <w:r>
        <w:rPr/>
        <w:t>Open CarePath and look at the start screen for five seconds. Write down what your eye went to first, second and third.</w:t>
      </w:r>
    </w:p>
    <w:p>
      <w:pPr>
        <w:pStyle w:val="ListBullet"/>
        <w:spacing w:before="0" w:after="40"/>
      </w:pPr>
      <w:r>
        <w:rPr/>
        <w:t>For each element, ask whether it helps you do what you came for (an appointment, a medication note) or only pulls the eye.</w:t>
      </w:r>
    </w:p>
    <w:p>
      <w:pPr>
        <w:pStyle w:val="ListBullet"/>
        <w:spacing w:before="0" w:after="100"/>
      </w:pPr>
      <w:r>
        <w:rPr/>
        <w:t>Write one element per line, in the description's own words, and add “binds” or “distracts” with a reason.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2 of 5 · Assign the possible problems to the categories attention, orientation, trust, emotional effect and cognitive load</w:t>
      </w:r>
    </w:p>
    <w:p>
      <w:pPr>
        <w:spacing w:before="0" w:after="100"/>
      </w:pPr>
      <w:r>
        <w:rPr/>
        <w:t>Write the problems that belong to each category in a few words. One problem may fit two categories; put it where its effect is strongest and mention it again if you like.</w:t>
      </w:r>
    </w:p>
    <w:p>
      <w:pPr>
        <w:spacing w:before="0" w:after="100"/>
      </w:pPr>
      <w:r>
        <w:rPr>
          <w:i/>
        </w:rPr>
        <w:t>How to build the answer:</w:t>
      </w:r>
    </w:p>
    <w:p>
      <w:pPr>
        <w:pStyle w:val="ListBullet"/>
        <w:spacing w:before="0" w:after="40"/>
      </w:pPr>
      <w:r>
        <w:rPr/>
        <w:t>Take the elements from question 1 one at a time.</w:t>
      </w:r>
    </w:p>
    <w:p>
      <w:pPr>
        <w:pStyle w:val="ListBullet"/>
        <w:spacing w:before="0" w:after="40"/>
      </w:pPr>
      <w:r>
        <w:rPr/>
        <w:t>Ask what each one does: pull attention, hide the way, weaken belief in the app, raise a feeling, or add mental effort.</w:t>
      </w:r>
    </w:p>
    <w:p>
      <w:pPr>
        <w:pStyle w:val="ListBullet"/>
        <w:spacing w:before="0" w:after="100"/>
      </w:pPr>
      <w:r>
        <w:rPr/>
        <w:t>Write it under that category. If a category seems empty, look again at the description: each of the five is touched by CarePath.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80"/>
        <w:gridCol w:w="5258"/>
      </w:tblGrid>
      <w:tr>
        <w:trPr>
          <w:cantSplit/>
          <w:tblHeader/>
        </w:trPr>
        <w:tc>
          <w:tcPr>
            <w:tcW w:type="dxa" w:w="4380"/>
            <w:shd w:val="clear" w:color="auto" w:fill="E6ECF4"/>
          </w:tcPr>
          <w:p>
            <w:pPr>
              <w:spacing w:before="0" w:after="0"/>
            </w:pPr>
            <w:r>
              <w:rPr>
                <w:b/>
                <w:sz w:val="20"/>
              </w:rPr>
              <w:t>Category</w:t>
            </w:r>
          </w:p>
        </w:tc>
        <w:tc>
          <w:tcPr>
            <w:tcW w:type="dxa" w:w="5258"/>
            <w:shd w:val="clear" w:color="auto" w:fill="E6ECF4"/>
          </w:tcPr>
          <w:p>
            <w:pPr>
              <w:spacing w:before="0" w:after="0"/>
            </w:pPr>
            <w:r>
              <w:rPr>
                <w:b/>
                <w:sz w:val="20"/>
              </w:rPr>
              <w:t>The problems in this category</w:t>
            </w:r>
          </w:p>
        </w:tc>
      </w:tr>
      <w:tr>
        <w:trPr>
          <w:cantSplit/>
          <w:trHeight w:val="538" w:hRule="atLeast"/>
        </w:trPr>
        <w:tc>
          <w:tcPr>
            <w:tcW w:type="dxa" w:w="4380"/>
          </w:tcPr>
          <w:p>
            <w:pPr>
              <w:spacing w:before="0" w:after="0"/>
            </w:pPr>
            <w:r>
              <w:rPr>
                <w:sz w:val="20"/>
              </w:rPr>
              <w:t>Attention</w:t>
            </w:r>
          </w:p>
        </w:tc>
        <w:tc>
          <w:tcPr>
            <w:tcW w:type="dxa" w:w="5258"/>
          </w:tcPr>
          <w:p/>
        </w:tc>
      </w:tr>
      <w:tr>
        <w:trPr>
          <w:cantSplit/>
          <w:trHeight w:val="538" w:hRule="atLeast"/>
        </w:trPr>
        <w:tc>
          <w:tcPr>
            <w:tcW w:type="dxa" w:w="4380"/>
          </w:tcPr>
          <w:p>
            <w:pPr>
              <w:spacing w:before="0" w:after="0"/>
            </w:pPr>
            <w:r>
              <w:rPr>
                <w:sz w:val="20"/>
              </w:rPr>
              <w:t>Orientation</w:t>
            </w:r>
          </w:p>
        </w:tc>
        <w:tc>
          <w:tcPr>
            <w:tcW w:type="dxa" w:w="5258"/>
          </w:tcPr>
          <w:p/>
        </w:tc>
      </w:tr>
      <w:tr>
        <w:trPr>
          <w:cantSplit/>
          <w:trHeight w:val="538" w:hRule="atLeast"/>
        </w:trPr>
        <w:tc>
          <w:tcPr>
            <w:tcW w:type="dxa" w:w="4380"/>
          </w:tcPr>
          <w:p>
            <w:pPr>
              <w:spacing w:before="0" w:after="0"/>
            </w:pPr>
            <w:r>
              <w:rPr>
                <w:sz w:val="20"/>
              </w:rPr>
              <w:t>Trust</w:t>
            </w:r>
          </w:p>
        </w:tc>
        <w:tc>
          <w:tcPr>
            <w:tcW w:type="dxa" w:w="5258"/>
          </w:tcPr>
          <w:p/>
        </w:tc>
      </w:tr>
      <w:tr>
        <w:trPr>
          <w:cantSplit/>
          <w:trHeight w:val="538" w:hRule="atLeast"/>
        </w:trPr>
        <w:tc>
          <w:tcPr>
            <w:tcW w:type="dxa" w:w="4380"/>
          </w:tcPr>
          <w:p>
            <w:pPr>
              <w:spacing w:before="0" w:after="0"/>
            </w:pPr>
            <w:r>
              <w:rPr>
                <w:sz w:val="20"/>
              </w:rPr>
              <w:t>Emotional effect</w:t>
            </w:r>
          </w:p>
        </w:tc>
        <w:tc>
          <w:tcPr>
            <w:tcW w:type="dxa" w:w="5258"/>
          </w:tcPr>
          <w:p/>
        </w:tc>
      </w:tr>
      <w:tr>
        <w:trPr>
          <w:cantSplit/>
          <w:trHeight w:val="538" w:hRule="atLeast"/>
        </w:trPr>
        <w:tc>
          <w:tcPr>
            <w:tcW w:type="dxa" w:w="4380"/>
          </w:tcPr>
          <w:p>
            <w:pPr>
              <w:spacing w:before="0" w:after="0"/>
            </w:pPr>
            <w:r>
              <w:rPr>
                <w:sz w:val="20"/>
              </w:rPr>
              <w:t>Cognitive load</w:t>
            </w:r>
          </w:p>
        </w:tc>
        <w:tc>
          <w:tcPr>
            <w:tcW w:type="dxa" w:w="5258"/>
          </w:tcPr>
          <w:p/>
        </w:tc>
      </w:tr>
    </w:tbl>
    <w:p>
      <w:pPr>
        <w:spacing w:before="0" w:after="80"/>
      </w:pPr>
    </w:p>
    <w:p>
      <w:pPr>
        <w:spacing w:before="0" w:after="100"/>
      </w:pPr>
      <w:r>
        <w:rPr>
          <w:b/>
        </w:rPr>
        <w:t>Question 3 of 5 · Formulate a hypothesis for each category: “This design element could trigger the following effect in the user …”</w:t>
      </w:r>
    </w:p>
    <w:p>
      <w:pPr>
        <w:spacing w:before="0" w:after="100"/>
      </w:pPr>
      <w:r>
        <w:rPr/>
        <w:t>One hypothesis per category, as one sentence that starts with the element and says what it could trigger: “The red warning at the top could …”. Say “could”: a hypothesis is an assumption you could test.</w:t>
      </w:r>
    </w:p>
    <w:p>
      <w:pPr>
        <w:spacing w:before="0" w:after="100"/>
      </w:pPr>
      <w:r>
        <w:rPr>
          <w:i/>
        </w:rPr>
        <w:t>How to build the answer:</w:t>
      </w:r>
    </w:p>
    <w:p>
      <w:pPr>
        <w:pStyle w:val="ListBullet"/>
        <w:spacing w:before="0" w:after="40"/>
      </w:pPr>
      <w:r>
        <w:rPr/>
        <w:t>Pick for each category the element you placed there in question 2.</w:t>
      </w:r>
    </w:p>
    <w:p>
      <w:pPr>
        <w:pStyle w:val="ListBullet"/>
        <w:spacing w:before="0" w:after="40"/>
      </w:pPr>
      <w:r>
        <w:rPr/>
        <w:t>Finish the plan's sentence with a feeling or an action of the user, not with a judgement of the design.</w:t>
      </w:r>
    </w:p>
    <w:p>
      <w:pPr>
        <w:pStyle w:val="ListBullet"/>
        <w:spacing w:before="0" w:after="100"/>
      </w:pPr>
      <w:r>
        <w:rPr/>
        <w:t>Keep it to one effect per sentence, and say “could”.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97"/>
        <w:gridCol w:w="3370"/>
        <w:gridCol w:w="3371"/>
      </w:tblGrid>
      <w:tr>
        <w:trPr>
          <w:cantSplit/>
          <w:tblHeader/>
        </w:trPr>
        <w:tc>
          <w:tcPr>
            <w:tcW w:type="dxa" w:w="2897"/>
            <w:shd w:val="clear" w:color="auto" w:fill="E6ECF4"/>
          </w:tcPr>
          <w:p>
            <w:pPr>
              <w:spacing w:before="0" w:after="0"/>
            </w:pPr>
            <w:r>
              <w:rPr>
                <w:b/>
                <w:sz w:val="20"/>
              </w:rPr>
              <w:t>Category</w:t>
            </w:r>
          </w:p>
        </w:tc>
        <w:tc>
          <w:tcPr>
            <w:tcW w:type="dxa" w:w="3370"/>
            <w:shd w:val="clear" w:color="auto" w:fill="E6ECF4"/>
          </w:tcPr>
          <w:p>
            <w:pPr>
              <w:spacing w:before="0" w:after="0"/>
            </w:pPr>
            <w:r>
              <w:rPr>
                <w:b/>
                <w:sz w:val="20"/>
              </w:rPr>
              <w:t>This design element …</w:t>
            </w:r>
          </w:p>
        </w:tc>
        <w:tc>
          <w:tcPr>
            <w:tcW w:type="dxa" w:w="3371"/>
            <w:shd w:val="clear" w:color="auto" w:fill="E6ECF4"/>
          </w:tcPr>
          <w:p>
            <w:pPr>
              <w:spacing w:before="0" w:after="0"/>
            </w:pPr>
            <w:r>
              <w:rPr>
                <w:b/>
                <w:sz w:val="20"/>
              </w:rPr>
              <w:t>… could trigger this effect in the user</w:t>
            </w:r>
          </w:p>
        </w:tc>
      </w:tr>
      <w:tr>
        <w:trPr>
          <w:cantSplit/>
          <w:trHeight w:val="538" w:hRule="atLeast"/>
          <w:trHeight w:val="538" w:hRule="atLeast"/>
        </w:trPr>
        <w:tc>
          <w:tcPr>
            <w:tcW w:type="dxa" w:w="2897"/>
          </w:tcPr>
          <w:p>
            <w:pPr>
              <w:spacing w:before="0" w:after="0"/>
            </w:pPr>
            <w:r>
              <w:rPr>
                <w:sz w:val="20"/>
              </w:rPr>
              <w:t>Attention</w:t>
            </w:r>
          </w:p>
        </w:tc>
        <w:tc>
          <w:tcPr>
            <w:tcW w:type="dxa" w:w="3370"/>
          </w:tcPr>
          <w:p/>
        </w:tc>
        <w:tc>
          <w:tcPr>
            <w:tcW w:type="dxa" w:w="3371"/>
          </w:tcPr>
          <w:p/>
        </w:tc>
      </w:tr>
      <w:tr>
        <w:trPr>
          <w:cantSplit/>
          <w:trHeight w:val="538" w:hRule="atLeast"/>
          <w:trHeight w:val="538" w:hRule="atLeast"/>
        </w:trPr>
        <w:tc>
          <w:tcPr>
            <w:tcW w:type="dxa" w:w="2897"/>
          </w:tcPr>
          <w:p>
            <w:pPr>
              <w:spacing w:before="0" w:after="0"/>
            </w:pPr>
            <w:r>
              <w:rPr>
                <w:sz w:val="20"/>
              </w:rPr>
              <w:t>Orientation</w:t>
            </w:r>
          </w:p>
        </w:tc>
        <w:tc>
          <w:tcPr>
            <w:tcW w:type="dxa" w:w="3370"/>
          </w:tcPr>
          <w:p/>
        </w:tc>
        <w:tc>
          <w:tcPr>
            <w:tcW w:type="dxa" w:w="3371"/>
          </w:tcPr>
          <w:p/>
        </w:tc>
      </w:tr>
      <w:tr>
        <w:trPr>
          <w:cantSplit/>
          <w:trHeight w:val="538" w:hRule="atLeast"/>
          <w:trHeight w:val="538" w:hRule="atLeast"/>
        </w:trPr>
        <w:tc>
          <w:tcPr>
            <w:tcW w:type="dxa" w:w="2897"/>
          </w:tcPr>
          <w:p>
            <w:pPr>
              <w:spacing w:before="0" w:after="0"/>
            </w:pPr>
            <w:r>
              <w:rPr>
                <w:sz w:val="20"/>
              </w:rPr>
              <w:t>Trust</w:t>
            </w:r>
          </w:p>
        </w:tc>
        <w:tc>
          <w:tcPr>
            <w:tcW w:type="dxa" w:w="3370"/>
          </w:tcPr>
          <w:p/>
        </w:tc>
        <w:tc>
          <w:tcPr>
            <w:tcW w:type="dxa" w:w="3371"/>
          </w:tcPr>
          <w:p/>
        </w:tc>
      </w:tr>
      <w:tr>
        <w:trPr>
          <w:cantSplit/>
          <w:trHeight w:val="538" w:hRule="atLeast"/>
          <w:trHeight w:val="538" w:hRule="atLeast"/>
        </w:trPr>
        <w:tc>
          <w:tcPr>
            <w:tcW w:type="dxa" w:w="2897"/>
          </w:tcPr>
          <w:p>
            <w:pPr>
              <w:spacing w:before="0" w:after="0"/>
            </w:pPr>
            <w:r>
              <w:rPr>
                <w:sz w:val="20"/>
              </w:rPr>
              <w:t>Emotional effect</w:t>
            </w:r>
          </w:p>
        </w:tc>
        <w:tc>
          <w:tcPr>
            <w:tcW w:type="dxa" w:w="3370"/>
          </w:tcPr>
          <w:p/>
        </w:tc>
        <w:tc>
          <w:tcPr>
            <w:tcW w:type="dxa" w:w="3371"/>
          </w:tcPr>
          <w:p/>
        </w:tc>
      </w:tr>
      <w:tr>
        <w:trPr>
          <w:cantSplit/>
          <w:trHeight w:val="538" w:hRule="atLeast"/>
          <w:trHeight w:val="538" w:hRule="atLeast"/>
        </w:trPr>
        <w:tc>
          <w:tcPr>
            <w:tcW w:type="dxa" w:w="2897"/>
          </w:tcPr>
          <w:p>
            <w:pPr>
              <w:spacing w:before="0" w:after="0"/>
            </w:pPr>
            <w:r>
              <w:rPr>
                <w:sz w:val="20"/>
              </w:rPr>
              <w:t>Cognitive load</w:t>
            </w:r>
          </w:p>
        </w:tc>
        <w:tc>
          <w:tcPr>
            <w:tcW w:type="dxa" w:w="3370"/>
          </w:tcPr>
          <w:p/>
        </w:tc>
        <w:tc>
          <w:tcPr>
            <w:tcW w:type="dxa" w:w="3371"/>
          </w:tcPr>
          <w:p/>
        </w:tc>
      </w:tr>
    </w:tbl>
    <w:p>
      <w:pPr>
        <w:spacing w:before="0" w:after="80"/>
      </w:pPr>
    </w:p>
    <w:p>
      <w:pPr>
        <w:spacing w:before="0" w:after="100"/>
      </w:pPr>
      <w:r>
        <w:rPr>
          <w:b/>
        </w:rPr>
        <w:t>Question 4 of 5 · Name three places where an unconscious design effect could play a role</w:t>
      </w:r>
    </w:p>
    <w:p>
      <w:pPr>
        <w:spacing w:before="0" w:after="100"/>
      </w:pPr>
      <w:r>
        <w:rPr>
          <w:i/>
        </w:rPr>
        <w:t>How to build the answer:</w:t>
      </w:r>
    </w:p>
    <w:p>
      <w:pPr>
        <w:pStyle w:val="ListBullet"/>
        <w:spacing w:before="0" w:after="40"/>
      </w:pPr>
      <w:r>
        <w:rPr/>
        <w:t>Think of the first second on the start screen, before anything is read: what would you feel?</w:t>
      </w:r>
    </w:p>
    <w:p>
      <w:pPr>
        <w:pStyle w:val="ListBullet"/>
        <w:spacing w:before="0" w:after="100"/>
      </w:pPr>
      <w:r>
        <w:rPr/>
        <w:t>Name the place (an element or a combination of elements) and what it could do before the user notices it.</w:t>
      </w:r>
    </w:p>
    <w:p>
      <w:pPr>
        <w:spacing w:before="0" w:after="100"/>
      </w:pPr>
      <w:r>
        <w:rPr/>
        <w:t>Write them as a list, one place per line, with what it could do before the user notices.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Develop a first simple prioritisation: what would have to be improved first, and why?</w:t>
      </w:r>
    </w:p>
    <w:p>
      <w:pPr>
        <w:spacing w:before="0" w:after="100"/>
      </w:pPr>
      <w:r>
        <w:rPr/>
        <w:t>Say what you would improve first and why, and what can wait.</w:t>
      </w:r>
    </w:p>
    <w:p>
      <w:pPr>
        <w:spacing w:before="0" w:after="100"/>
      </w:pPr>
      <w:r>
        <w:rPr>
          <w:i/>
        </w:rPr>
        <w:t>How to build the answer:</w:t>
      </w:r>
    </w:p>
    <w:p>
      <w:pPr>
        <w:pStyle w:val="ListBullet"/>
        <w:spacing w:before="0" w:after="40"/>
      </w:pPr>
      <w:r>
        <w:rPr/>
        <w:t>Pick the problem that affects the most later steps, or the one that could do harm if it stays.</w:t>
      </w:r>
    </w:p>
    <w:p>
      <w:pPr>
        <w:pStyle w:val="ListBullet"/>
        <w:spacing w:before="0" w:after="40"/>
      </w:pPr>
      <w:r>
        <w:rPr/>
        <w:t>Say what you would change first and what you expect it to change for the user.</w:t>
      </w:r>
    </w:p>
    <w:p>
      <w:pPr>
        <w:pStyle w:val="ListBullet"/>
        <w:spacing w:before="0" w:after="100"/>
      </w:pPr>
      <w:r>
        <w:rPr/>
        <w:t>Say in one sentence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design effects and decide under uncertainty: SkillFlow · JUDGED · Core · about 8 min</w:t>
      </w:r>
    </w:p>
    <w:p>
      <w:pPr>
        <w:spacing w:before="0" w:after="100"/>
      </w:pPr>
      <w:r>
        <w:rPr>
          <w:b/>
        </w:rPr>
        <w:t>Draws on:</w:t>
      </w:r>
      <w:r>
        <w:rPr/>
        <w:t xml:space="preserve"> A3 · Expectations and habits, and three aims of an interface · A4 · Feelings that work before thinking · A5 · Weighing a design measure.</w:t>
      </w:r>
    </w:p>
    <w:p>
      <w:pPr>
        <w:spacing w:before="0" w:after="100"/>
      </w:pPr>
      <w:r>
        <w:rPr/>
        <w:t>SkillFlow is a learning platform. Three alternative designs for its start page are described in words: A) modern, strongly animated and emotionally activating, but dense with information; B) very sober and factual, clearly structured, but not very motivating; C) visually high quality with strong imagery and a reduced navigation, but less transparent about the next steps. The conditions: the product goes live within 8 weeks, the target group is working adults between 25 and 55, the budget for the revision is limited, management asks for a “modern effect” and the support team for “as few questions as possible”, and there are no user tests yet. As in most projects, how large the budget is and how many users there are is not set. Decide anyway, and say what you assume.</w:t>
      </w:r>
    </w:p>
    <w:p>
      <w:pPr>
        <w:keepNext/>
        <w:spacing w:before="80" w:after="40"/>
        <w:jc w:val="center"/>
      </w:pPr>
      <w:r>
        <w:drawing>
          <wp:inline xmlns:a="http://schemas.openxmlformats.org/drawingml/2006/main" xmlns:pic="http://schemas.openxmlformats.org/drawingml/2006/picture">
            <wp:extent cx="5940000" cy="2693584"/>
            <wp:docPr id="2" name="Picture 2"/>
            <wp:cNvGraphicFramePr>
              <a:graphicFrameLocks noChangeAspect="1"/>
            </wp:cNvGraphicFramePr>
            <a:graphic>
              <a:graphicData uri="http://schemas.openxmlformats.org/drawingml/2006/picture">
                <pic:pic>
                  <pic:nvPicPr>
                    <pic:cNvPr id="0" name="d1_b1-2_0-43857c1b0500.png"/>
                    <pic:cNvPicPr/>
                  </pic:nvPicPr>
                  <pic:blipFill>
                    <a:blip r:embed="rId11"/>
                    <a:stretch>
                      <a:fillRect/>
                    </a:stretch>
                  </pic:blipFill>
                  <pic:spPr>
                    <a:xfrm>
                      <a:off x="0" y="0"/>
                      <a:ext cx="5940000" cy="2693584"/>
                    </a:xfrm>
                    <a:prstGeom prst="rect"/>
                  </pic:spPr>
                </pic:pic>
              </a:graphicData>
            </a:graphic>
          </wp:inline>
        </w:drawing>
      </w:r>
    </w:p>
    <w:p>
      <w:pPr>
        <w:spacing w:before="0" w:after="160"/>
        <w:jc w:val="center"/>
      </w:pPr>
      <w:r>
        <w:rPr>
          <w:i/>
          <w:color w:val="556274"/>
          <w:sz w:val="18"/>
        </w:rPr>
        <w:t>Figure 2 · The product to read, as the lab shows it (variants).</w:t>
      </w:r>
    </w:p>
    <w:p>
      <w:pPr>
        <w:spacing w:before="0" w:after="100"/>
      </w:pPr>
      <w:r>
        <w:rPr>
          <w:b/>
        </w:rPr>
        <w:t>Question 1 of 5 · Rate each variant on orientation, cognitive load, trust, activation and understandability</w:t>
      </w:r>
    </w:p>
    <w:p>
      <w:pPr>
        <w:spacing w:before="0" w:after="100"/>
      </w:pPr>
      <w:r>
        <w:rPr/>
        <w:t>Write a few sentences for each variant that cover all five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target group in mind: working adults with little time.</w:t>
      </w:r>
    </w:p>
    <w:p>
      <w:pPr>
        <w:pStyle w:val="ListBullet"/>
        <w:spacing w:before="0" w:after="40"/>
      </w:pPr>
      <w:r>
        <w:rPr/>
        <w:t>For each of the five criteria, say how the variant does and which feature of its description makes you say so.</w:t>
      </w:r>
    </w:p>
    <w:p>
      <w:pPr>
        <w:pStyle w:val="ListBullet"/>
        <w:spacing w:before="0" w:after="100"/>
      </w:pPr>
      <w:r>
        <w:rPr/>
        <w:t>Use the same five criteria for every variant, so you can compare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89"/>
        <w:gridCol w:w="1528"/>
        <w:gridCol w:w="1528"/>
        <w:gridCol w:w="1528"/>
        <w:gridCol w:w="1528"/>
        <w:gridCol w:w="2037"/>
      </w:tblGrid>
      <w:tr>
        <w:trPr>
          <w:cantSplit/>
          <w:tblHeader/>
        </w:trPr>
        <w:tc>
          <w:tcPr>
            <w:tcW w:type="dxa" w:w="1489"/>
            <w:shd w:val="clear" w:color="auto" w:fill="E6ECF4"/>
          </w:tcPr>
          <w:p>
            <w:pPr>
              <w:spacing w:before="0" w:after="0"/>
            </w:pPr>
            <w:r>
              <w:rPr>
                <w:b/>
                <w:sz w:val="19"/>
              </w:rPr>
              <w:t>Variant</w:t>
            </w:r>
          </w:p>
        </w:tc>
        <w:tc>
          <w:tcPr>
            <w:tcW w:type="dxa" w:w="1528"/>
            <w:shd w:val="clear" w:color="auto" w:fill="E6ECF4"/>
          </w:tcPr>
          <w:p>
            <w:pPr>
              <w:spacing w:before="0" w:after="0"/>
            </w:pPr>
            <w:r>
              <w:rPr>
                <w:b/>
                <w:sz w:val="19"/>
              </w:rPr>
              <w:t>Orientation</w:t>
            </w:r>
          </w:p>
        </w:tc>
        <w:tc>
          <w:tcPr>
            <w:tcW w:type="dxa" w:w="1528"/>
            <w:shd w:val="clear" w:color="auto" w:fill="E6ECF4"/>
          </w:tcPr>
          <w:p>
            <w:pPr>
              <w:spacing w:before="0" w:after="0"/>
            </w:pPr>
            <w:r>
              <w:rPr>
                <w:b/>
                <w:sz w:val="19"/>
              </w:rPr>
              <w:t>Cognitive load</w:t>
            </w:r>
          </w:p>
        </w:tc>
        <w:tc>
          <w:tcPr>
            <w:tcW w:type="dxa" w:w="1528"/>
            <w:shd w:val="clear" w:color="auto" w:fill="E6ECF4"/>
          </w:tcPr>
          <w:p>
            <w:pPr>
              <w:spacing w:before="0" w:after="0"/>
            </w:pPr>
            <w:r>
              <w:rPr>
                <w:b/>
                <w:sz w:val="19"/>
              </w:rPr>
              <w:t>Trust</w:t>
            </w:r>
          </w:p>
        </w:tc>
        <w:tc>
          <w:tcPr>
            <w:tcW w:type="dxa" w:w="1528"/>
            <w:shd w:val="clear" w:color="auto" w:fill="E6ECF4"/>
          </w:tcPr>
          <w:p>
            <w:pPr>
              <w:spacing w:before="0" w:after="0"/>
            </w:pPr>
            <w:r>
              <w:rPr>
                <w:b/>
                <w:sz w:val="19"/>
              </w:rPr>
              <w:t>Activation</w:t>
            </w:r>
          </w:p>
        </w:tc>
        <w:tc>
          <w:tcPr>
            <w:tcW w:type="dxa" w:w="2037"/>
            <w:shd w:val="clear" w:color="auto" w:fill="E6ECF4"/>
          </w:tcPr>
          <w:p>
            <w:pPr>
              <w:spacing w:before="0" w:after="0"/>
            </w:pPr>
            <w:r>
              <w:rPr>
                <w:b/>
                <w:sz w:val="19"/>
              </w:rPr>
              <w:t>Understandability</w:t>
            </w:r>
          </w:p>
        </w:tc>
      </w:tr>
      <w:tr>
        <w:trPr>
          <w:cantSplit/>
          <w:trHeight w:val="538" w:hRule="atLeast"/>
          <w:trHeight w:val="538" w:hRule="atLeast"/>
          <w:trHeight w:val="538" w:hRule="atLeast"/>
          <w:trHeight w:val="538" w:hRule="atLeast"/>
          <w:trHeight w:val="538" w:hRule="atLeast"/>
        </w:trPr>
        <w:tc>
          <w:tcPr>
            <w:tcW w:type="dxa" w:w="1489"/>
          </w:tcPr>
          <w:p>
            <w:pPr>
              <w:spacing w:before="0" w:after="0"/>
            </w:pPr>
            <w:r>
              <w:rPr>
                <w:sz w:val="19"/>
              </w:rPr>
              <w:t>Variant A · modern, animated, activating, dense</w:t>
            </w:r>
          </w:p>
        </w:tc>
        <w:tc>
          <w:tcPr>
            <w:tcW w:type="dxa" w:w="1528"/>
          </w:tcPr>
          <w:p/>
        </w:tc>
        <w:tc>
          <w:tcPr>
            <w:tcW w:type="dxa" w:w="1528"/>
          </w:tcPr>
          <w:p/>
        </w:tc>
        <w:tc>
          <w:tcPr>
            <w:tcW w:type="dxa" w:w="1528"/>
          </w:tcPr>
          <w:p/>
        </w:tc>
        <w:tc>
          <w:tcPr>
            <w:tcW w:type="dxa" w:w="1528"/>
          </w:tcPr>
          <w:p/>
        </w:tc>
        <w:tc>
          <w:tcPr>
            <w:tcW w:type="dxa" w:w="2037"/>
          </w:tcPr>
          <w:p/>
        </w:tc>
      </w:tr>
      <w:tr>
        <w:trPr>
          <w:cantSplit/>
          <w:trHeight w:val="538" w:hRule="atLeast"/>
          <w:trHeight w:val="538" w:hRule="atLeast"/>
          <w:trHeight w:val="538" w:hRule="atLeast"/>
          <w:trHeight w:val="538" w:hRule="atLeast"/>
          <w:trHeight w:val="538" w:hRule="atLeast"/>
        </w:trPr>
        <w:tc>
          <w:tcPr>
            <w:tcW w:type="dxa" w:w="1489"/>
          </w:tcPr>
          <w:p>
            <w:pPr>
              <w:spacing w:before="0" w:after="0"/>
            </w:pPr>
            <w:r>
              <w:rPr>
                <w:sz w:val="19"/>
              </w:rPr>
              <w:t>Variant B · sober, clear, not very motivating</w:t>
            </w:r>
          </w:p>
        </w:tc>
        <w:tc>
          <w:tcPr>
            <w:tcW w:type="dxa" w:w="1528"/>
          </w:tcPr>
          <w:p/>
        </w:tc>
        <w:tc>
          <w:tcPr>
            <w:tcW w:type="dxa" w:w="1528"/>
          </w:tcPr>
          <w:p/>
        </w:tc>
        <w:tc>
          <w:tcPr>
            <w:tcW w:type="dxa" w:w="1528"/>
          </w:tcPr>
          <w:p/>
        </w:tc>
        <w:tc>
          <w:tcPr>
            <w:tcW w:type="dxa" w:w="1528"/>
          </w:tcPr>
          <w:p/>
        </w:tc>
        <w:tc>
          <w:tcPr>
            <w:tcW w:type="dxa" w:w="2037"/>
          </w:tcPr>
          <w:p/>
        </w:tc>
      </w:tr>
      <w:tr>
        <w:trPr>
          <w:cantSplit/>
          <w:trHeight w:val="538" w:hRule="atLeast"/>
          <w:trHeight w:val="538" w:hRule="atLeast"/>
          <w:trHeight w:val="538" w:hRule="atLeast"/>
          <w:trHeight w:val="538" w:hRule="atLeast"/>
          <w:trHeight w:val="538" w:hRule="atLeast"/>
        </w:trPr>
        <w:tc>
          <w:tcPr>
            <w:tcW w:type="dxa" w:w="1489"/>
          </w:tcPr>
          <w:p>
            <w:pPr>
              <w:spacing w:before="0" w:after="0"/>
            </w:pPr>
            <w:r>
              <w:rPr>
                <w:sz w:val="19"/>
              </w:rPr>
              <w:t>Variant C · strong imagery, reduced navigation, next steps unclear</w:t>
            </w:r>
          </w:p>
        </w:tc>
        <w:tc>
          <w:tcPr>
            <w:tcW w:type="dxa" w:w="1528"/>
          </w:tcPr>
          <w:p/>
        </w:tc>
        <w:tc>
          <w:tcPr>
            <w:tcW w:type="dxa" w:w="1528"/>
          </w:tcPr>
          <w:p/>
        </w:tc>
        <w:tc>
          <w:tcPr>
            <w:tcW w:type="dxa" w:w="1528"/>
          </w:tcPr>
          <w:p/>
        </w:tc>
        <w:tc>
          <w:tcPr>
            <w:tcW w:type="dxa" w:w="1528"/>
          </w:tcPr>
          <w:p/>
        </w:tc>
        <w:tc>
          <w:tcPr>
            <w:tcW w:type="dxa" w:w="2037"/>
          </w:tcPr>
          <w:p/>
        </w:tc>
      </w:tr>
    </w:tbl>
    <w:p>
      <w:pPr>
        <w:spacing w:before="0" w:after="80"/>
      </w:pPr>
    </w:p>
    <w:p>
      <w:pPr>
        <w:spacing w:before="0" w:after="100"/>
      </w:pPr>
      <w:r>
        <w:rPr>
          <w:b/>
        </w:rPr>
        <w:t>Question 2 of 5 · Make a reasoned prioritisation decision: which variant would be the most viable under the given conditions?</w:t>
      </w:r>
    </w:p>
    <w:p>
      <w:pPr>
        <w:spacing w:before="0" w:after="100"/>
      </w:pPr>
      <w:r>
        <w:rPr/>
        <w:t>Choose one variant, then give your reason below. There is no single right choice; the reason has to rest on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modern, animated, activating, dense</w:t>
      </w:r>
    </w:p>
    <w:p>
      <w:pPr>
        <w:spacing w:before="0" w:after="20"/>
        <w:ind w:left="340" w:hanging="340"/>
      </w:pPr>
      <w:r>
        <w:rPr/>
        <w:t>☐ Variant B · sober, clear, not very motivating</w:t>
      </w:r>
    </w:p>
    <w:p>
      <w:pPr>
        <w:spacing w:before="0" w:after="120"/>
        <w:ind w:left="340" w:hanging="340"/>
      </w:pPr>
      <w:r>
        <w:rPr/>
        <w:t>☐ Variant C · strong imagery, reduced navigation, next steps unclear</w:t>
      </w:r>
    </w:p>
    <w:p>
      <w:pPr>
        <w:spacing w:before="0" w:after="100"/>
      </w:pPr>
      <w:r>
        <w:rPr>
          <w:b/>
        </w:rPr>
        <w:t>Why this variant, under these conditions?</w:t>
      </w:r>
    </w:p>
    <w:p>
      <w:pPr>
        <w:spacing w:before="0" w:after="100"/>
      </w:pPr>
      <w:r>
        <w:rPr/>
        <w:t>Give your reason with the conditions: 8 weeks, working adults 25 to 55, a limited budget, management against support, no tests.</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Which risks are you knowingly taking with your decision?</w:t>
      </w:r>
    </w:p>
    <w:p>
      <w:pPr>
        <w:spacing w:before="0" w:after="100"/>
      </w:pPr>
      <w:r>
        <w:rPr/>
        <w:t>Name at least one risk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(users, management, support)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information is missing for a safe decision?</w:t>
      </w:r>
    </w:p>
    <w:p>
      <w:pPr>
        <w:spacing w:before="0" w:after="100"/>
      </w:pPr>
      <w:r>
        <w:rPr/>
        <w:t>Say what you would want to know and how you could find it out.</w:t>
      </w:r>
    </w:p>
    <w:p>
      <w:pPr>
        <w:spacing w:before="0" w:after="100"/>
      </w:pPr>
      <w:r>
        <w:rPr>
          <w:i/>
        </w:rPr>
        <w:t>How to build the answer:</w:t>
      </w:r>
    </w:p>
    <w:p>
      <w:pPr>
        <w:pStyle w:val="ListBullet"/>
        <w:spacing w:before="0" w:after="40"/>
      </w:pPr>
      <w:r>
        <w:rPr/>
        <w:t>Name the assumption your decision rests on.</w:t>
      </w:r>
    </w:p>
    <w:p>
      <w:pPr>
        <w:pStyle w:val="ListBullet"/>
        <w:spacing w:before="0" w:after="100"/>
      </w:pPr>
      <w:r>
        <w:rPr/>
        <w:t>Say what would confirm or refute it, and who or what could supply 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management statement: “Under uncertainty we provisionally decide for …, because …”</w:t>
      </w:r>
    </w:p>
    <w:p>
      <w:pPr>
        <w:spacing w:before="0" w:after="100"/>
      </w:pPr>
      <w:r>
        <w:rPr/>
        <w:t>Complete the plan's sentence in one or two sentences.</w:t>
      </w:r>
    </w:p>
    <w:p>
      <w:pPr>
        <w:spacing w:before="0" w:after="100"/>
      </w:pPr>
      <w:r>
        <w:rPr>
          <w:i/>
        </w:rPr>
        <w:t>How to build the answer:</w:t>
      </w:r>
    </w:p>
    <w:p>
      <w:pPr>
        <w:pStyle w:val="ListBullet"/>
        <w:spacing w:before="0" w:after="40"/>
      </w:pPr>
      <w:r>
        <w:rPr/>
        <w:t>Fill both gaps of the plan's sentence.</w:t>
      </w:r>
    </w:p>
    <w:p>
      <w:pPr>
        <w:pStyle w:val="ListBullet"/>
        <w:spacing w:before="0" w:after="100"/>
      </w:pPr>
      <w:r>
        <w:rPr/>
        <w:t>Add what you will check next, if it fits.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redesigning SafeHome Online · JUDGED · Core · about 15 min</w:t>
      </w:r>
    </w:p>
    <w:p>
      <w:pPr>
        <w:spacing w:before="0" w:after="100"/>
      </w:pPr>
      <w:r>
        <w:rPr>
          <w:b/>
        </w:rPr>
        <w:t>Draws on:</w:t>
      </w:r>
      <w:r>
        <w:rPr/>
        <w:t xml:space="preserve"> A1 · UX, UI and the psychology behind them · A2 · How people see · A3 · Expectations and habits, and three aims of an interface · A4 · Feelings that work before thinking · A5 · Weighing a design measure.</w:t>
      </w:r>
    </w:p>
    <w:p>
      <w:pPr>
        <w:spacing w:before="0" w:after="100"/>
      </w:pPr>
      <w:r>
        <w:rPr/>
        <w:t>An insurance company runs SafeHome Online, a self-service portal for damage reports, contract overviews and document downloads. It is judged complete in content but has massive usage problems: 46 % of damage reports are abandoned, many customers call the service centre although the functions exist online, users call the portal “complicated”, “cold” and “unsafe”, the specialist departments want to add more notices and safeguards, and the management wants a modern, trustworthy and more efficient customer experience. The current portal: very many blocks of text and legal notices on the entry page, primary actions that are not visually emphasised, no visible progress in the process, warning colours used often, even for neutral information, an upload that is formally correct but worded in an off-putting way, and important actions partly placed below long texts. The conditions: €180,000 and 12 weeks for a first optimisation, the legal notices must stay, IT can only intervene to a limited extent at short notice, and there is no full relaunch, so the measures must be targeted. You carry out a simplified psychological UX analysis in five steps.</w:t>
      </w:r>
    </w:p>
    <w:p>
      <w:pPr>
        <w:keepNext/>
        <w:spacing w:before="80" w:after="40"/>
        <w:jc w:val="center"/>
      </w:pPr>
      <w:r>
        <w:drawing>
          <wp:inline xmlns:a="http://schemas.openxmlformats.org/drawingml/2006/main" xmlns:pic="http://schemas.openxmlformats.org/drawingml/2006/picture">
            <wp:extent cx="5202276" cy="5579999"/>
            <wp:docPr id="3" name="Picture 3"/>
            <wp:cNvGraphicFramePr>
              <a:graphicFrameLocks noChangeAspect="1"/>
            </wp:cNvGraphicFramePr>
            <a:graphic>
              <a:graphicData uri="http://schemas.openxmlformats.org/drawingml/2006/picture">
                <pic:pic>
                  <pic:nvPicPr>
                    <pic:cNvPr id="0" name="d1_b2-1_0-c2f0ddcc8a1b.png"/>
                    <pic:cNvPicPr/>
                  </pic:nvPicPr>
                  <pic:blipFill>
                    <a:blip r:embed="rId12"/>
                    <a:stretch>
                      <a:fillRect/>
                    </a:stretch>
                  </pic:blipFill>
                  <pic:spPr>
                    <a:xfrm>
                      <a:off x="0" y="0"/>
                      <a:ext cx="5202276" cy="5579999"/>
                    </a:xfrm>
                    <a:prstGeom prst="rect"/>
                  </pic:spPr>
                </pic:pic>
              </a:graphicData>
            </a:graphic>
          </wp:inline>
        </w:drawing>
      </w:r>
    </w:p>
    <w:p>
      <w:pPr>
        <w:spacing w:before="0" w:after="160"/>
        <w:jc w:val="center"/>
      </w:pPr>
      <w:r>
        <w:rPr>
          <w:i/>
          <w:color w:val="556274"/>
          <w:sz w:val="18"/>
        </w:rPr>
        <w:t>Figure 3 · SafeHome Online today, as the portal shows it.</w:t>
      </w:r>
    </w:p>
    <w:p>
      <w:pPr>
        <w:spacing w:before="0" w:after="100"/>
      </w:pPr>
      <w:r>
        <w:rPr>
          <w:b/>
        </w:rPr>
        <w:t>Question 1 of 5 · Identify at least 5 central effect problems in the current portal</w:t>
      </w:r>
    </w:p>
    <w:p>
      <w:pPr>
        <w:spacing w:before="0" w:after="100"/>
      </w:pPr>
      <w:r>
        <w:rPr>
          <w:i/>
        </w:rPr>
        <w:t>How to build the answer:</w:t>
      </w:r>
    </w:p>
    <w:p>
      <w:pPr>
        <w:pStyle w:val="ListBullet"/>
        <w:spacing w:before="0" w:after="40"/>
      </w:pPr>
      <w:r>
        <w:rPr/>
        <w:t>Open SafeHome Online and start a damage report as a customer would.</w:t>
      </w:r>
    </w:p>
    <w:p>
      <w:pPr>
        <w:pStyle w:val="ListBullet"/>
        <w:spacing w:before="0" w:after="100"/>
      </w:pPr>
      <w:r>
        <w:rPr/>
        <w:t>Write one problem per line as an effect: what the design does to the customer, not only what is wrong with it.</w:t>
      </w:r>
    </w:p>
    <w:p>
      <w:pPr>
        <w:spacing w:before="0" w:after="100"/>
      </w:pPr>
      <w:r>
        <w:rPr/>
        <w:t>Write them as a list, one problem per line, each as an effect on the customer.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5 · Assign the problems to the categories perception, cognitive load, trust, emotional effect and action guidance</w:t>
      </w:r>
    </w:p>
    <w:p>
      <w:pPr>
        <w:spacing w:before="0" w:after="100"/>
      </w:pPr>
      <w:r>
        <w:rPr/>
        <w:t>Write the problems that belong to each category in a few words. A problem may fit two categories.</w:t>
      </w:r>
    </w:p>
    <w:p>
      <w:pPr>
        <w:spacing w:before="0" w:after="100"/>
      </w:pPr>
      <w:r>
        <w:rPr>
          <w:i/>
        </w:rPr>
        <w:t>How to build the answer:</w:t>
      </w:r>
    </w:p>
    <w:p>
      <w:pPr>
        <w:pStyle w:val="ListBullet"/>
        <w:spacing w:before="0" w:after="40"/>
      </w:pPr>
      <w:r>
        <w:rPr/>
        <w:t>Take your five problems from question 1.</w:t>
      </w:r>
    </w:p>
    <w:p>
      <w:pPr>
        <w:pStyle w:val="ListBullet"/>
        <w:spacing w:before="0" w:after="100"/>
      </w:pPr>
      <w:r>
        <w:rPr/>
        <w:t>Ask which of the five categories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66"/>
        <w:gridCol w:w="5172"/>
      </w:tblGrid>
      <w:tr>
        <w:trPr>
          <w:cantSplit/>
          <w:tblHeader/>
        </w:trPr>
        <w:tc>
          <w:tcPr>
            <w:tcW w:type="dxa" w:w="4466"/>
            <w:shd w:val="clear" w:color="auto" w:fill="E6ECF4"/>
          </w:tcPr>
          <w:p>
            <w:pPr>
              <w:spacing w:before="0" w:after="0"/>
            </w:pPr>
            <w:r>
              <w:rPr>
                <w:b/>
                <w:sz w:val="20"/>
              </w:rPr>
              <w:t>Category</w:t>
            </w:r>
          </w:p>
        </w:tc>
        <w:tc>
          <w:tcPr>
            <w:tcW w:type="dxa" w:w="5172"/>
            <w:shd w:val="clear" w:color="auto" w:fill="E6ECF4"/>
          </w:tcPr>
          <w:p>
            <w:pPr>
              <w:spacing w:before="0" w:after="0"/>
            </w:pPr>
            <w:r>
              <w:rPr>
                <w:b/>
                <w:sz w:val="20"/>
              </w:rPr>
              <w:t>The problems in this category</w:t>
            </w:r>
          </w:p>
        </w:tc>
      </w:tr>
      <w:tr>
        <w:trPr>
          <w:cantSplit/>
          <w:trHeight w:val="538" w:hRule="atLeast"/>
        </w:trPr>
        <w:tc>
          <w:tcPr>
            <w:tcW w:type="dxa" w:w="4466"/>
          </w:tcPr>
          <w:p>
            <w:pPr>
              <w:spacing w:before="0" w:after="0"/>
            </w:pPr>
            <w:r>
              <w:rPr>
                <w:sz w:val="20"/>
              </w:rPr>
              <w:t>Perception</w:t>
            </w:r>
          </w:p>
        </w:tc>
        <w:tc>
          <w:tcPr>
            <w:tcW w:type="dxa" w:w="5172"/>
          </w:tcPr>
          <w:p/>
        </w:tc>
      </w:tr>
      <w:tr>
        <w:trPr>
          <w:cantSplit/>
          <w:trHeight w:val="538" w:hRule="atLeast"/>
        </w:trPr>
        <w:tc>
          <w:tcPr>
            <w:tcW w:type="dxa" w:w="4466"/>
          </w:tcPr>
          <w:p>
            <w:pPr>
              <w:spacing w:before="0" w:after="0"/>
            </w:pPr>
            <w:r>
              <w:rPr>
                <w:sz w:val="20"/>
              </w:rPr>
              <w:t>Cognitive load</w:t>
            </w:r>
          </w:p>
        </w:tc>
        <w:tc>
          <w:tcPr>
            <w:tcW w:type="dxa" w:w="5172"/>
          </w:tcPr>
          <w:p/>
        </w:tc>
      </w:tr>
      <w:tr>
        <w:trPr>
          <w:cantSplit/>
          <w:trHeight w:val="538" w:hRule="atLeast"/>
        </w:trPr>
        <w:tc>
          <w:tcPr>
            <w:tcW w:type="dxa" w:w="4466"/>
          </w:tcPr>
          <w:p>
            <w:pPr>
              <w:spacing w:before="0" w:after="0"/>
            </w:pPr>
            <w:r>
              <w:rPr>
                <w:sz w:val="20"/>
              </w:rPr>
              <w:t>Trust</w:t>
            </w:r>
          </w:p>
        </w:tc>
        <w:tc>
          <w:tcPr>
            <w:tcW w:type="dxa" w:w="5172"/>
          </w:tcPr>
          <w:p/>
        </w:tc>
      </w:tr>
      <w:tr>
        <w:trPr>
          <w:cantSplit/>
          <w:trHeight w:val="538" w:hRule="atLeast"/>
        </w:trPr>
        <w:tc>
          <w:tcPr>
            <w:tcW w:type="dxa" w:w="4466"/>
          </w:tcPr>
          <w:p>
            <w:pPr>
              <w:spacing w:before="0" w:after="0"/>
            </w:pPr>
            <w:r>
              <w:rPr>
                <w:sz w:val="20"/>
              </w:rPr>
              <w:t>Emotional effect</w:t>
            </w:r>
          </w:p>
        </w:tc>
        <w:tc>
          <w:tcPr>
            <w:tcW w:type="dxa" w:w="5172"/>
          </w:tcPr>
          <w:p/>
        </w:tc>
      </w:tr>
      <w:tr>
        <w:trPr>
          <w:cantSplit/>
          <w:trHeight w:val="538" w:hRule="atLeast"/>
        </w:trPr>
        <w:tc>
          <w:tcPr>
            <w:tcW w:type="dxa" w:w="4466"/>
          </w:tcPr>
          <w:p>
            <w:pPr>
              <w:spacing w:before="0" w:after="0"/>
            </w:pPr>
            <w:r>
              <w:rPr>
                <w:sz w:val="20"/>
              </w:rPr>
              <w:t>Action guidance</w:t>
            </w:r>
          </w:p>
        </w:tc>
        <w:tc>
          <w:tcPr>
            <w:tcW w:type="dxa" w:w="5172"/>
          </w:tcPr>
          <w:p/>
        </w:tc>
      </w:tr>
    </w:tbl>
    <w:p>
      <w:pPr>
        <w:spacing w:before="0" w:after="80"/>
      </w:pPr>
    </w:p>
    <w:p>
      <w:pPr>
        <w:spacing w:before="0" w:after="100"/>
      </w:pPr>
      <w:r>
        <w:rPr>
          <w:b/>
        </w:rPr>
        <w:t>Question 3 of 5 · Develop 4 prioritised improvement measures</w:t>
      </w:r>
    </w:p>
    <w:p>
      <w:pPr>
        <w:spacing w:before="0" w:after="100"/>
      </w:pPr>
      <w:r>
        <w:rPr>
          <w:i/>
        </w:rPr>
        <w:t>How to build the answer:</w:t>
      </w:r>
    </w:p>
    <w:p>
      <w:pPr>
        <w:pStyle w:val="ListBullet"/>
        <w:spacing w:before="0" w:after="40"/>
      </w:pPr>
      <w:r>
        <w:rPr/>
        <w:t>Turn each group of problems into something you could change within 12 weeks and with little IT capacity.</w:t>
      </w:r>
    </w:p>
    <w:p>
      <w:pPr>
        <w:pStyle w:val="ListBullet"/>
        <w:spacing w:before="0" w:after="100"/>
      </w:pPr>
      <w:r>
        <w:rPr/>
        <w:t>Put them in order: the measure that helps customers most within the conditions first.</w:t>
      </w:r>
    </w:p>
    <w:p>
      <w:pPr>
        <w:spacing w:before="0" w:after="100"/>
      </w:pPr>
      <w:r>
        <w:rPr/>
        <w:t>Write them as a numbered list, the first priority first, each with what it changes for customers.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5 · Justify your prioritisation using the criteria effect on users, feasibility, risk and time pressure</w:t>
      </w:r>
    </w:p>
    <w:p>
      <w:pPr>
        <w:spacing w:before="0" w:after="100"/>
      </w:pPr>
      <w:r>
        <w:rPr/>
        <w:t>Use all four criteria and say how they support your order.</w:t>
      </w:r>
    </w:p>
    <w:p>
      <w:pPr>
        <w:spacing w:before="0" w:after="100"/>
      </w:pPr>
      <w:r>
        <w:rPr>
          <w:i/>
        </w:rPr>
        <w:t>How to build the answer:</w:t>
      </w:r>
    </w:p>
    <w:p>
      <w:pPr>
        <w:pStyle w:val="ListBullet"/>
        <w:spacing w:before="0" w:after="40"/>
      </w:pPr>
      <w:r>
        <w:rPr/>
        <w:t>Say for your first measure what it changes for customers and why it is feasible with limited IT.</w:t>
      </w:r>
    </w:p>
    <w:p>
      <w:pPr>
        <w:pStyle w:val="ListBullet"/>
        <w:spacing w:before="0" w:after="40"/>
      </w:pPr>
      <w:r>
        <w:rPr/>
        <w:t>Say what risk each carries and how the 12 weeks shape the order.</w:t>
      </w:r>
    </w:p>
    <w:p>
      <w:pPr>
        <w:pStyle w:val="ListBullet"/>
        <w:spacing w:before="0" w:after="100"/>
      </w:pPr>
      <w:r>
        <w:rPr/>
        <w:t>Keep the legal notices in mind: they stay, but they can be placed and worded differently.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Formulate a short recommendation to the management</w:t>
      </w:r>
    </w:p>
    <w:p>
      <w:pPr>
        <w:spacing w:before="0" w:after="100"/>
      </w:pPr>
      <w:r>
        <w:rPr/>
        <w:t>Three to five sentences: what you recommend, what you do not,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that will carry the management.</w:t>
      </w:r>
    </w:p>
    <w:p>
      <w:pPr>
        <w:pStyle w:val="ListBullet"/>
        <w:spacing w:before="0" w:after="100"/>
      </w:pPr>
      <w:r>
        <w:rPr/>
        <w:t>Say what you expect to change.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insurer behind SafeHome Online, 24 months ahead</w:t>
      </w:r>
    </w:p>
    <w:p>
      <w:pPr>
        <w:spacing w:before="0" w:after="100"/>
      </w:pPr>
      <w:r>
        <w:rPr>
          <w:i/>
        </w:rPr>
        <w:t>Read once · about 2 min</w:t>
      </w:r>
    </w:p>
    <w:p>
      <w:pPr>
        <w:spacing w:before="0" w:after="100"/>
      </w:pPr>
      <w:r>
        <w:rPr/>
        <w:t>You take the perspective of the Chief Experience Officer of the insurer that runs SafeHome Online. The company has several digital touchpoints: a website, the customer portal, an app and a chatbot. It loses users when they move between them, complaints are rising, conversion is stagnating, and inside the company people discuss isolated design changes. The management wants a viable UX direction for the next 24 months. You are not to optimise single screens but to design a sound decision architecture for psychologically effective and responsible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10"/>
        <w:gridCol w:w="5828"/>
      </w:tblGrid>
      <w:tr>
        <w:trPr>
          <w:cantSplit/>
          <w:tblHeader/>
        </w:trPr>
        <w:tc>
          <w:tcPr>
            <w:tcW w:type="dxa" w:w="3810"/>
            <w:shd w:val="clear" w:color="auto" w:fill="E6ECF4"/>
          </w:tcPr>
          <w:p>
            <w:pPr>
              <w:spacing w:before="0" w:after="0"/>
            </w:pPr>
            <w:r>
              <w:rPr>
                <w:b/>
                <w:sz w:val="20"/>
              </w:rPr>
              <w:t>The framework</w:t>
            </w:r>
          </w:p>
        </w:tc>
        <w:tc>
          <w:tcPr>
            <w:tcW w:type="dxa" w:w="5828"/>
            <w:shd w:val="clear" w:color="auto" w:fill="E6ECF4"/>
          </w:tcPr>
          <w:p>
            <w:pPr>
              <w:spacing w:before="0" w:after="0"/>
            </w:pPr>
            <w:r>
              <w:rPr>
                <w:b/>
                <w:sz w:val="20"/>
              </w:rPr>
              <w:t>How the task runs · one block</w:t>
            </w:r>
          </w:p>
        </w:tc>
      </w:tr>
      <w:tr>
        <w:trPr>
          <w:cantSplit/>
        </w:trPr>
        <w:tc>
          <w:tcPr>
            <w:tcW w:type="dxa" w:w="3810"/>
          </w:tcPr>
          <w:p>
            <w:pPr>
              <w:spacing w:before="0" w:after="0"/>
            </w:pPr>
            <w:r>
              <w:rPr>
                <w:sz w:val="20"/>
              </w:rPr>
              <w:t>• The budget is limited: not all touchpoints can be reworked at the same time</w:t>
            </w:r>
            <w:r>
              <w:br/>
            </w:r>
            <w:r>
              <w:rPr>
                <w:sz w:val="20"/>
              </w:rPr>
              <w:t>• The data is incomplete: only partial information from support, web analytics and sales</w:t>
            </w:r>
            <w:r>
              <w:br/>
            </w:r>
            <w:r>
              <w:rPr>
                <w:sz w:val="20"/>
              </w:rPr>
              <w:t>• The company wants to appear more innovative but must not lose trust</w:t>
            </w:r>
            <w:r>
              <w:br/>
            </w:r>
            <w:r>
              <w:rPr>
                <w:sz w:val="20"/>
              </w:rPr>
              <w:t>• Marketing wants activation, compliance wants safety, IT wants standardisation, sales wants closing</w:t>
            </w:r>
            <w:r>
              <w:br/>
            </w:r>
            <w:r>
              <w:rPr>
                <w:sz w:val="20"/>
              </w:rPr>
              <w:t>• First results should be visible in 3 months</w:t>
            </w:r>
          </w:p>
        </w:tc>
        <w:tc>
          <w:tcPr>
            <w:tcW w:type="dxa" w:w="5828"/>
          </w:tcPr>
          <w:p>
            <w:pPr>
              <w:spacing w:before="0" w:after="0"/>
            </w:pPr>
            <w:r>
              <w:rPr>
                <w:sz w:val="20"/>
              </w:rPr>
              <w:t>• Block 3.1 asks seven questions: a Neuro-UX guiding vision, three strategic decisions for 24 months, a prioritised order of touchpoints,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06"/>
        <w:gridCol w:w="4416"/>
        <w:gridCol w:w="2416"/>
      </w:tblGrid>
      <w:tr>
        <w:trPr>
          <w:cantSplit/>
          <w:tblHeader/>
        </w:trPr>
        <w:tc>
          <w:tcPr>
            <w:tcW w:type="dxa" w:w="2806"/>
            <w:shd w:val="clear" w:color="auto" w:fill="E6ECF4"/>
          </w:tcPr>
          <w:p>
            <w:pPr>
              <w:spacing w:before="0" w:after="0"/>
            </w:pPr>
            <w:r>
              <w:rPr>
                <w:b/>
                <w:sz w:val="20"/>
              </w:rPr>
              <w:t>In the brief</w:t>
            </w:r>
          </w:p>
        </w:tc>
        <w:tc>
          <w:tcPr>
            <w:tcW w:type="dxa" w:w="4416"/>
            <w:shd w:val="clear" w:color="auto" w:fill="E6ECF4"/>
          </w:tcPr>
          <w:p>
            <w:pPr>
              <w:spacing w:before="0" w:after="0"/>
            </w:pPr>
            <w:r>
              <w:rPr>
                <w:b/>
                <w:sz w:val="20"/>
              </w:rPr>
              <w:t>Clear · Case assumption</w:t>
            </w:r>
          </w:p>
        </w:tc>
        <w:tc>
          <w:tcPr>
            <w:tcW w:type="dxa" w:w="2416"/>
            <w:shd w:val="clear" w:color="auto" w:fill="E6ECF4"/>
          </w:tcPr>
          <w:p>
            <w:pPr>
              <w:spacing w:before="0" w:after="0"/>
            </w:pPr>
            <w:r>
              <w:rPr>
                <w:b/>
                <w:sz w:val="20"/>
              </w:rPr>
              <w:t>Open · on purpose</w:t>
            </w:r>
          </w:p>
        </w:tc>
      </w:tr>
      <w:tr>
        <w:trPr>
          <w:cantSplit/>
        </w:trPr>
        <w:tc>
          <w:tcPr>
            <w:tcW w:type="dxa" w:w="2806"/>
          </w:tcPr>
          <w:p>
            <w:pPr>
              <w:spacing w:before="0" w:after="0"/>
            </w:pPr>
            <w:r>
              <w:rPr>
                <w:sz w:val="20"/>
              </w:rPr>
              <w:t>• Website, customer portal, app and chatbot; users are lost between them.</w:t>
            </w:r>
            <w:r>
              <w:br/>
            </w:r>
            <w:r>
              <w:rPr>
                <w:sz w:val="20"/>
              </w:rPr>
              <w:t>• Complaints are rising and conversion is stagnating.</w:t>
            </w:r>
            <w:r>
              <w:br/>
            </w:r>
            <w:r>
              <w:rPr>
                <w:sz w:val="20"/>
              </w:rPr>
              <w:t>• The direction is for 24 months; first results are expected in 3 months.</w:t>
            </w:r>
            <w:r>
              <w:br/>
            </w:r>
            <w:r>
              <w:rPr>
                <w:sz w:val="20"/>
              </w:rPr>
              <w:t>• Only partial data from support, web analytics and sales.</w:t>
            </w:r>
          </w:p>
        </w:tc>
        <w:tc>
          <w:tcPr>
            <w:tcW w:type="dxa" w:w="4416"/>
          </w:tcPr>
          <w:p>
            <w:pPr>
              <w:spacing w:before="0" w:after="0"/>
            </w:pPr>
            <w:r>
              <w:rPr>
                <w:sz w:val="20"/>
              </w:rPr>
              <w:t>• The company is the insurer of Route 1, and the customer portal is SafeHome Online.</w:t>
            </w:r>
            <w:r>
              <w:br/>
            </w:r>
            <w:r>
              <w:rPr>
                <w:sz w:val="20"/>
              </w:rPr>
              <w:t>• Each channel was built by a different team, so each one names and orders things in its own way.</w:t>
            </w:r>
            <w:r>
              <w:br/>
            </w:r>
            <w:r>
              <w:rPr>
                <w:sz w:val="20"/>
              </w:rPr>
              <w:t>• Support records the reason for a call; web analytics records page views; sales records signed contracts. Nobody records the path a customer takes across channels.</w:t>
            </w:r>
          </w:p>
        </w:tc>
        <w:tc>
          <w:tcPr>
            <w:tcW w:type="dxa" w:w="2416"/>
          </w:tcPr>
          <w:p>
            <w:pPr>
              <w:spacing w:before="0" w:after="0"/>
            </w:pPr>
            <w:r>
              <w:rPr>
                <w:sz w:val="20"/>
              </w:rPr>
              <w:t>• How large the budget is: “limited” is all the plan says.</w:t>
            </w:r>
            <w:r>
              <w:br/>
            </w:r>
            <w:r>
              <w:rPr>
                <w:sz w:val="20"/>
              </w:rPr>
              <w:t>• Where exactly customers are lost between channels.</w:t>
            </w:r>
            <w:r>
              <w:br/>
            </w:r>
            <w:r>
              <w:rPr>
                <w:sz w:val="20"/>
              </w:rPr>
              <w:t>• How customers would react to a more innovative look.</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mid-sized company with a website, a customer portal, an app and a chatbot that loses users between them, rising complaints, stagnating conversion, isolated design changes, a direction for 24 months, a limited budget, partial data, the wish to look more innovative without losing trust, four departments with competing goals and first results in 3 months. Those are the plan's facts. That the company is the insurer of Route 1 and the facts marked “Clear” are made up for this exercise.</w:t>
            </w:r>
          </w:p>
        </w:tc>
      </w:tr>
    </w:tbl>
    <w:p>
      <w:pPr>
        <w:spacing w:before="0" w:after="80"/>
      </w:pPr>
    </w:p>
    <w:p>
      <w:pPr>
        <w:spacing w:before="0" w:after="100"/>
      </w:pPr>
      <w:r>
        <w:rPr>
          <w:i/>
        </w:rPr>
        <w:t>The memo is addressed to: The management board. Subject: A Neuro-UX strategy for our digital touchpoints.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Neuro-UX strategy for a digital service ecosystem · JUDGED · Core · about 20 min</w:t>
      </w:r>
    </w:p>
    <w:p>
      <w:pPr>
        <w:spacing w:before="0" w:after="100"/>
      </w:pPr>
      <w:r>
        <w:rPr>
          <w:b/>
        </w:rPr>
        <w:t>Draws on:</w:t>
      </w:r>
      <w:r>
        <w:rPr/>
        <w:t xml:space="preserve"> B1 · Design steers perception, behaviour and decision · B2 · Conflicting goals · B3 · Accountable decisions under uncertainty.</w:t>
      </w:r>
    </w:p>
    <w:p>
      <w:pPr>
        <w:spacing w:before="0" w:after="100"/>
      </w:pPr>
      <w:r>
        <w:rPr/>
        <w:t>Develop a strategic decision concept for the insurer. Your desk holds what the management, the departments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1_b3-1_0-52bacc56259f.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7).</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1_b3-1_1-0d0ea3b68fcc.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7).</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1_b3-1_2-02821e8a05cf.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7).</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1_b3-1_3-6e622825c1c5.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7).</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1_b3-1_4-283322b0b063.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7).</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1_b3-1_5-ac9f849ced9f.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7).</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1_b3-1_6-2e12526f9779.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Your desk: the messages that wait for you, shown in the lab as a mailbox (7 of 7).</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1_b3-1_7-6db1920ed61d.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(1 of 6).</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1_b3-1_8-b737ef8f06d2.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(2 of 6).</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1_b3-1_9-2ec9aa560195.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(3 of 6).</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1_b3-1_10-30d35b715afc.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(4 of 6).</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1_b3-1_11-0c8bd050ace4.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The platform as it is today, as the lab lets you observe it (5 of 6).</w:t>
      </w:r>
    </w:p>
    <w:p>
      <w:pPr>
        <w:keepNext/>
        <w:spacing w:before="80" w:after="40"/>
        <w:jc w:val="center"/>
      </w:pPr>
      <w:r>
        <w:drawing>
          <wp:inline xmlns:a="http://schemas.openxmlformats.org/drawingml/2006/main" xmlns:pic="http://schemas.openxmlformats.org/drawingml/2006/picture">
            <wp:extent cx="5006355" cy="5580000"/>
            <wp:docPr id="16" name="Picture 16"/>
            <wp:cNvGraphicFramePr>
              <a:graphicFrameLocks noChangeAspect="1"/>
            </wp:cNvGraphicFramePr>
            <a:graphic>
              <a:graphicData uri="http://schemas.openxmlformats.org/drawingml/2006/picture">
                <pic:pic>
                  <pic:nvPicPr>
                    <pic:cNvPr id="0" name="d1_b3-1_12-f66c536a062d.png"/>
                    <pic:cNvPicPr/>
                  </pic:nvPicPr>
                  <pic:blipFill>
                    <a:blip r:embed="rId2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16 · The platform as it is today, as the lab lets you observe it (6 of 6).</w:t>
      </w:r>
    </w:p>
    <w:p>
      <w:pPr>
        <w:spacing w:before="0" w:after="100"/>
      </w:pPr>
      <w:r>
        <w:rPr>
          <w:b/>
        </w:rPr>
        <w:t>Question 1 of 7 · A Neuro-UX guiding vision for the company: which psychological effect on users should be created systematically?</w:t>
      </w:r>
    </w:p>
    <w:p>
      <w:pPr>
        <w:spacing w:before="0" w:after="100"/>
      </w:pPr>
      <w:r>
        <w:rPr/>
        <w:t>One or two sentences about the effect every channel should create: what customers should perceive, understand and feel.</w:t>
      </w:r>
    </w:p>
    <w:p>
      <w:pPr>
        <w:spacing w:before="0" w:after="100"/>
      </w:pPr>
      <w:r>
        <w:rPr>
          <w:i/>
        </w:rPr>
        <w:t>How to build the answer:</w:t>
      </w:r>
    </w:p>
    <w:p>
      <w:pPr>
        <w:pStyle w:val="ListBullet"/>
        <w:spacing w:before="0" w:after="40"/>
      </w:pPr>
      <w:r>
        <w:rPr/>
        <w:t>Say who the customers are and what they should feel and be able to do in every channel.</w:t>
      </w:r>
    </w:p>
    <w:p>
      <w:pPr>
        <w:pStyle w:val="ListBullet"/>
        <w:spacing w:before="0" w:after="100"/>
      </w:pPr>
      <w:r>
        <w:rPr/>
        <w:t>Keep it to one effect that every touchpoint can serve.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for the next 24 months, for example on the priority of orientation, trust design, reducing cognitive load or consistency across channels</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intervention architecture: which touchpoints are changed first, and why these in particular?</w:t>
      </w:r>
    </w:p>
    <w:p>
      <w:pPr>
        <w:spacing w:before="0" w:after="100"/>
      </w:pPr>
      <w:r>
        <w:rPr/>
        <w:t>Put the touchpoints in an order and give the reason for the first ones.</w:t>
      </w:r>
    </w:p>
    <w:p>
      <w:pPr>
        <w:spacing w:before="0" w:after="100"/>
      </w:pPr>
      <w:r>
        <w:rPr>
          <w:i/>
        </w:rPr>
        <w:t>How to build the answer:</w:t>
      </w:r>
    </w:p>
    <w:p>
      <w:pPr>
        <w:pStyle w:val="ListBullet"/>
        <w:spacing w:before="0" w:after="40"/>
      </w:pPr>
      <w:r>
        <w:rPr/>
        <w:t>List the four touchpoints the case names.</w:t>
      </w:r>
    </w:p>
    <w:p>
      <w:pPr>
        <w:pStyle w:val="ListBullet"/>
        <w:spacing w:before="0" w:after="40"/>
      </w:pPr>
      <w:r>
        <w:rPr/>
        <w:t>Put first where customers are lost, or where a change helps the other channels most.</w:t>
      </w:r>
    </w:p>
    <w:p>
      <w:pPr>
        <w:pStyle w:val="ListBullet"/>
        <w:spacing w:before="0" w:after="100"/>
      </w:pPr>
      <w:r>
        <w:rPr/>
        <w:t>Say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would be especially dangerous, and what happens if you optimise for aesthetics instead of effect?</w:t>
      </w:r>
    </w:p>
    <w:p>
      <w:pPr>
        <w:spacing w:before="0" w:after="100"/>
      </w:pPr>
      <w:r>
        <w:rPr/>
        <w:t>Name two or three assumptions your strategy makes and the harm if each is wrong, and say what optimising for looks would do.</w:t>
      </w:r>
    </w:p>
    <w:p>
      <w:pPr>
        <w:spacing w:before="0" w:after="100"/>
      </w:pPr>
      <w:r>
        <w:rPr>
          <w:i/>
        </w:rPr>
        <w:t>How to build the answer:</w:t>
      </w:r>
    </w:p>
    <w:p>
      <w:pPr>
        <w:pStyle w:val="ListBullet"/>
        <w:spacing w:before="0" w:after="40"/>
      </w:pPr>
      <w:r>
        <w:rPr/>
        <w:t>Write down what your strategy assumes about customers.</w:t>
      </w:r>
    </w:p>
    <w:p>
      <w:pPr>
        <w:pStyle w:val="ListBullet"/>
        <w:spacing w:before="0" w:after="40"/>
      </w:pPr>
      <w:r>
        <w:rPr/>
        <w:t>For each, say what happens if it is wrong.</w:t>
      </w:r>
    </w:p>
    <w:p>
      <w:pPr>
        <w:pStyle w:val="ListBullet"/>
        <w:spacing w:before="0" w:after="100"/>
      </w:pPr>
      <w:r>
        <w:rPr/>
        <w:t>Say what optimising for looks instead of effect would do.</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may take UX-relevant decisions, who carries the professional responsibility, and how are conflicts of goals decided?</w:t>
      </w:r>
    </w:p>
    <w:p>
      <w:pPr>
        <w:spacing w:before="0" w:after="100"/>
      </w:pPr>
      <w:r>
        <w:rPr/>
        <w:t>Name roles, not people: who decides, who answers for it, and how a conflict between marketing, compliance, IT and sales is settled.</w:t>
      </w:r>
    </w:p>
    <w:p>
      <w:pPr>
        <w:spacing w:before="0" w:after="100"/>
      </w:pPr>
      <w:r>
        <w:rPr>
          <w:i/>
        </w:rPr>
        <w:t>How to build the answer:</w:t>
      </w:r>
    </w:p>
    <w:p>
      <w:pPr>
        <w:pStyle w:val="ListBullet"/>
        <w:spacing w:before="0" w:after="40"/>
      </w:pPr>
      <w:r>
        <w:rPr/>
        <w:t>Name who may decide what.</w:t>
      </w:r>
    </w:p>
    <w:p>
      <w:pPr>
        <w:pStyle w:val="ListBullet"/>
        <w:spacing w:before="0" w:after="40"/>
      </w:pPr>
      <w:r>
        <w:rPr/>
        <w:t>Name who carries the professional responsibility.</w:t>
      </w:r>
    </w:p>
    <w:p>
      <w:pPr>
        <w:pStyle w:val="ListBullet"/>
        <w:spacing w:before="0" w:after="100"/>
      </w:pPr>
      <w:r>
        <w:rPr/>
        <w:t>Say how a conflict between the four departments is decided, and by whom.</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although important information is missing, and say why it is still responsible</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short statement to the board in which you stand for your strategy</w:t>
      </w:r>
    </w:p>
    <w:p>
      <w:pPr>
        <w:spacing w:before="0" w:after="100"/>
      </w:pPr>
      <w:r>
        <w:rPr/>
        <w:t>Four to six sentences: the direction first, then the reason, then what you ask of the board.</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Give the one reason that carries it.</w:t>
      </w:r>
    </w:p>
    <w:p>
      <w:pPr>
        <w:pStyle w:val="ListBullet"/>
        <w:spacing w:before="0" w:after="100"/>
      </w:pPr>
      <w:r>
        <w:rPr/>
        <w:t>Say what you ask of the board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11"/>
        <w:gridCol w:w="3491"/>
        <w:gridCol w:w="2336"/>
      </w:tblGrid>
      <w:tr>
        <w:trPr>
          <w:cantSplit/>
          <w:tblHeader/>
        </w:trPr>
        <w:tc>
          <w:tcPr>
            <w:tcW w:type="dxa" w:w="3811"/>
            <w:shd w:val="clear" w:color="auto" w:fill="E6ECF4"/>
          </w:tcPr>
          <w:p>
            <w:pPr>
              <w:spacing w:before="0" w:after="0"/>
            </w:pPr>
            <w:r>
              <w:rPr>
                <w:b/>
                <w:sz w:val="20"/>
              </w:rPr>
              <w:t>Part of the worksheet</w:t>
            </w:r>
          </w:p>
        </w:tc>
        <w:tc>
          <w:tcPr>
            <w:tcW w:type="dxa" w:w="3491"/>
            <w:shd w:val="clear" w:color="auto" w:fill="E6ECF4"/>
          </w:tcPr>
          <w:p>
            <w:pPr>
              <w:spacing w:before="0" w:after="0"/>
            </w:pPr>
            <w:r>
              <w:rPr>
                <w:b/>
                <w:sz w:val="20"/>
              </w:rPr>
              <w:t>Presentation (shown in the Neuro-UX Lab)</w:t>
            </w:r>
          </w:p>
        </w:tc>
        <w:tc>
          <w:tcPr>
            <w:tcW w:type="dxa" w:w="2336"/>
            <w:shd w:val="clear" w:color="auto" w:fill="E6ECF4"/>
          </w:tcPr>
          <w:p>
            <w:pPr>
              <w:spacing w:before="0" w:after="0"/>
            </w:pPr>
            <w:r>
              <w:rPr>
                <w:b/>
                <w:sz w:val="20"/>
              </w:rPr>
              <w:t>Handout</w:t>
            </w:r>
          </w:p>
        </w:tc>
      </w:tr>
      <w:tr>
        <w:trPr>
          <w:cantSplit/>
        </w:trPr>
        <w:tc>
          <w:tcPr>
            <w:tcW w:type="dxa" w:w="3811"/>
          </w:tcPr>
          <w:p>
            <w:pPr>
              <w:spacing w:before="0" w:after="0"/>
            </w:pPr>
            <w:r>
              <w:rPr>
                <w:sz w:val="20"/>
              </w:rPr>
              <w:t>The case: three products on the UX team's desk, and SafeHome Online</w:t>
            </w:r>
          </w:p>
        </w:tc>
        <w:tc>
          <w:tcPr>
            <w:tcW w:type="dxa" w:w="3491"/>
          </w:tcPr>
          <w:p>
            <w:pPr>
              <w:spacing w:before="0" w:after="0"/>
            </w:pPr>
            <w:r>
              <w:rPr>
                <w:sz w:val="20"/>
              </w:rPr>
              <w:t>The case read aloud or on screen</w:t>
            </w:r>
          </w:p>
        </w:tc>
        <w:tc>
          <w:tcPr>
            <w:tcW w:type="dxa" w:w="2336"/>
          </w:tcPr>
          <w:p>
            <w:pPr>
              <w:spacing w:before="0" w:after="0"/>
            </w:pPr>
            <w:r>
              <w:rPr>
                <w:sz w:val="20"/>
              </w:rPr>
              <w:t>The case text</w:t>
            </w:r>
          </w:p>
        </w:tc>
      </w:tr>
      <w:tr>
        <w:trPr>
          <w:cantSplit/>
        </w:trPr>
        <w:tc>
          <w:tcPr>
            <w:tcW w:type="dxa" w:w="3811"/>
          </w:tcPr>
          <w:p>
            <w:pPr>
              <w:spacing w:before="0" w:after="0"/>
            </w:pPr>
            <w:r>
              <w:rPr>
                <w:sz w:val="20"/>
              </w:rPr>
              <w:t>Block 1.1 · The effect of an unfamiliar interface: CarePath</w:t>
            </w:r>
          </w:p>
        </w:tc>
        <w:tc>
          <w:tcPr>
            <w:tcW w:type="dxa" w:w="3491"/>
          </w:tcPr>
          <w:p>
            <w:pPr>
              <w:spacing w:before="0" w:after="0"/>
            </w:pPr>
            <w:r>
              <w:rPr>
                <w:sz w:val="20"/>
              </w:rPr>
              <w:t>The task wording at the start of the block (no answers are shown)</w:t>
            </w:r>
          </w:p>
        </w:tc>
        <w:tc>
          <w:tcPr>
            <w:tcW w:type="dxa" w:w="2336"/>
          </w:tcPr>
          <w:p>
            <w:pPr>
              <w:spacing w:before="0" w:after="0"/>
            </w:pPr>
            <w:r>
              <w:rPr>
                <w:sz w:val="20"/>
              </w:rPr>
              <w:t>Worksheet block with answer boxes (Core)</w:t>
            </w:r>
          </w:p>
        </w:tc>
      </w:tr>
      <w:tr>
        <w:trPr>
          <w:cantSplit/>
        </w:trPr>
        <w:tc>
          <w:tcPr>
            <w:tcW w:type="dxa" w:w="3811"/>
          </w:tcPr>
          <w:p>
            <w:pPr>
              <w:spacing w:before="0" w:after="0"/>
            </w:pPr>
            <w:r>
              <w:rPr>
                <w:sz w:val="20"/>
              </w:rPr>
              <w:t>Block 1.2 · Rate design effects and decide under uncertainty: SkillFlow</w:t>
            </w:r>
          </w:p>
        </w:tc>
        <w:tc>
          <w:tcPr>
            <w:tcW w:type="dxa" w:w="3491"/>
          </w:tcPr>
          <w:p>
            <w:pPr>
              <w:spacing w:before="0" w:after="0"/>
            </w:pPr>
            <w:r>
              <w:rPr>
                <w:sz w:val="20"/>
              </w:rPr>
              <w:t>The task wording at the start of the block (no answers are shown)</w:t>
            </w:r>
          </w:p>
        </w:tc>
        <w:tc>
          <w:tcPr>
            <w:tcW w:type="dxa" w:w="2336"/>
          </w:tcPr>
          <w:p>
            <w:pPr>
              <w:spacing w:before="0" w:after="0"/>
            </w:pPr>
            <w:r>
              <w:rPr>
                <w:sz w:val="20"/>
              </w:rPr>
              <w:t>Worksheet block with answer boxes (Core)</w:t>
            </w:r>
          </w:p>
        </w:tc>
      </w:tr>
      <w:tr>
        <w:trPr>
          <w:cantSplit/>
        </w:trPr>
        <w:tc>
          <w:tcPr>
            <w:tcW w:type="dxa" w:w="3811"/>
          </w:tcPr>
          <w:p>
            <w:pPr>
              <w:spacing w:before="0" w:after="0"/>
            </w:pPr>
            <w:r>
              <w:rPr>
                <w:sz w:val="20"/>
              </w:rPr>
              <w:t>Block 2.1 · Case study: redesigning SafeHome Online</w:t>
            </w:r>
          </w:p>
        </w:tc>
        <w:tc>
          <w:tcPr>
            <w:tcW w:type="dxa" w:w="3491"/>
          </w:tcPr>
          <w:p>
            <w:pPr>
              <w:spacing w:before="0" w:after="0"/>
            </w:pPr>
            <w:r>
              <w:rPr>
                <w:sz w:val="20"/>
              </w:rPr>
              <w:t>The task wording at the start of the block (no answers are shown)</w:t>
            </w:r>
          </w:p>
        </w:tc>
        <w:tc>
          <w:tcPr>
            <w:tcW w:type="dxa" w:w="2336"/>
          </w:tcPr>
          <w:p>
            <w:pPr>
              <w:spacing w:before="0" w:after="0"/>
            </w:pPr>
            <w:r>
              <w:rPr>
                <w:sz w:val="20"/>
              </w:rPr>
              <w:t>Worksheet block with answer boxes (Core)</w:t>
            </w:r>
          </w:p>
        </w:tc>
      </w:tr>
      <w:tr>
        <w:trPr>
          <w:cantSplit/>
        </w:trPr>
        <w:tc>
          <w:tcPr>
            <w:tcW w:type="dxa" w:w="3811"/>
          </w:tcPr>
          <w:p>
            <w:pPr>
              <w:spacing w:before="0" w:after="0"/>
            </w:pPr>
            <w:r>
              <w:rPr>
                <w:sz w:val="20"/>
              </w:rPr>
              <w:t>The situation: the insurer behind SafeHome Online, 24 months ahead</w:t>
            </w:r>
          </w:p>
        </w:tc>
        <w:tc>
          <w:tcPr>
            <w:tcW w:type="dxa" w:w="3491"/>
          </w:tcPr>
          <w:p>
            <w:pPr>
              <w:spacing w:before="0" w:after="0"/>
            </w:pPr>
            <w:r>
              <w:rPr>
                <w:sz w:val="20"/>
              </w:rPr>
              <w:t>The case read aloud or on screen</w:t>
            </w:r>
          </w:p>
        </w:tc>
        <w:tc>
          <w:tcPr>
            <w:tcW w:type="dxa" w:w="2336"/>
          </w:tcPr>
          <w:p>
            <w:pPr>
              <w:spacing w:before="0" w:after="0"/>
            </w:pPr>
            <w:r>
              <w:rPr>
                <w:sz w:val="20"/>
              </w:rPr>
              <w:t>The case text</w:t>
            </w:r>
          </w:p>
        </w:tc>
      </w:tr>
      <w:tr>
        <w:trPr>
          <w:cantSplit/>
        </w:trPr>
        <w:tc>
          <w:tcPr>
            <w:tcW w:type="dxa" w:w="3811"/>
          </w:tcPr>
          <w:p>
            <w:pPr>
              <w:spacing w:before="0" w:after="0"/>
            </w:pPr>
            <w:r>
              <w:rPr>
                <w:sz w:val="20"/>
              </w:rPr>
              <w:t>Block 3.1 · A Neuro-UX strategy for a digital service ecosystem</w:t>
            </w:r>
          </w:p>
        </w:tc>
        <w:tc>
          <w:tcPr>
            <w:tcW w:type="dxa" w:w="3491"/>
          </w:tcPr>
          <w:p>
            <w:pPr>
              <w:spacing w:before="0" w:after="0"/>
            </w:pPr>
            <w:r>
              <w:rPr>
                <w:sz w:val="20"/>
              </w:rPr>
              <w:t>The task wording at the start of the block (no answers are shown)</w:t>
            </w:r>
          </w:p>
        </w:tc>
        <w:tc>
          <w:tcPr>
            <w:tcW w:type="dxa" w:w="2336"/>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16"/>
        <w:gridCol w:w="5216"/>
        <w:gridCol w:w="1504"/>
        <w:gridCol w:w="902"/>
      </w:tblGrid>
      <w:tr>
        <w:trPr>
          <w:cantSplit/>
          <w:tblHeader/>
        </w:trPr>
        <w:tc>
          <w:tcPr>
            <w:tcW w:type="dxa" w:w="2016"/>
            <w:shd w:val="clear" w:color="auto" w:fill="E6ECF4"/>
          </w:tcPr>
          <w:p>
            <w:pPr>
              <w:spacing w:before="0" w:after="0"/>
            </w:pPr>
            <w:r>
              <w:rPr>
                <w:b/>
                <w:sz w:val="19"/>
              </w:rPr>
              <w:t>Term</w:t>
            </w:r>
          </w:p>
        </w:tc>
        <w:tc>
          <w:tcPr>
            <w:tcW w:type="dxa" w:w="5216"/>
            <w:shd w:val="clear" w:color="auto" w:fill="E6ECF4"/>
          </w:tcPr>
          <w:p>
            <w:pPr>
              <w:spacing w:before="0" w:after="0"/>
            </w:pPr>
            <w:r>
              <w:rPr>
                <w:b/>
                <w:sz w:val="19"/>
              </w:rPr>
              <w:t>In plain words</w:t>
            </w:r>
          </w:p>
        </w:tc>
        <w:tc>
          <w:tcPr>
            <w:tcW w:type="dxa" w:w="1504"/>
            <w:shd w:val="clear" w:color="auto" w:fill="E6ECF4"/>
          </w:tcPr>
          <w:p>
            <w:pPr>
              <w:spacing w:before="0" w:after="0"/>
            </w:pPr>
            <w:r>
              <w:rPr>
                <w:b/>
                <w:sz w:val="19"/>
              </w:rPr>
              <w:t>Example</w:t>
            </w:r>
          </w:p>
        </w:tc>
        <w:tc>
          <w:tcPr>
            <w:tcW w:type="dxa" w:w="902"/>
            <w:shd w:val="clear" w:color="auto" w:fill="E6ECF4"/>
          </w:tcPr>
          <w:p>
            <w:pPr>
              <w:spacing w:before="0" w:after="0"/>
            </w:pPr>
            <w:r>
              <w:rPr>
                <w:b/>
                <w:sz w:val="19"/>
              </w:rPr>
              <w:t>Comes from</w:t>
            </w:r>
          </w:p>
        </w:tc>
      </w:tr>
      <w:tr>
        <w:trPr>
          <w:cantSplit/>
        </w:trPr>
        <w:tc>
          <w:tcPr>
            <w:tcW w:type="dxa" w:w="2016"/>
          </w:tcPr>
          <w:p>
            <w:pPr>
              <w:spacing w:before="0" w:after="0"/>
            </w:pPr>
            <w:r>
              <w:rPr>
                <w:b/>
                <w:sz w:val="19"/>
              </w:rPr>
              <w:t>Abandonment rate</w:t>
            </w:r>
          </w:p>
        </w:tc>
        <w:tc>
          <w:tcPr>
            <w:tcW w:type="dxa" w:w="5216"/>
          </w:tcPr>
          <w:p>
            <w:pPr>
              <w:spacing w:before="0" w:after="0"/>
            </w:pPr>
            <w:r>
              <w:rPr>
                <w:sz w:val="19"/>
              </w:rPr>
              <w:t>The share of people who start a process, such as a damage report, and leave before they finish it.</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Attention</w:t>
            </w:r>
          </w:p>
        </w:tc>
        <w:tc>
          <w:tcPr>
            <w:tcW w:type="dxa" w:w="5216"/>
          </w:tcPr>
          <w:p>
            <w:pPr>
              <w:spacing w:before="0" w:after="0"/>
            </w:pPr>
            <w:r>
              <w:rPr>
                <w:sz w:val="19"/>
              </w:rPr>
              <w:t>The mind's spotlight. Only a small part of a screen is processed at any moment; attention decides which part.</w:t>
            </w:r>
          </w:p>
        </w:tc>
        <w:tc>
          <w:tcPr>
            <w:tcW w:type="dxa" w:w="1504"/>
          </w:tcPr>
          <w:p>
            <w:pPr>
              <w:spacing w:before="0" w:after="0"/>
            </w:pPr>
            <w:r>
              <w:rPr>
                <w:sz w:val="19"/>
              </w:rPr>
              <w:t>A flashing banner takes attention away from the form you were filling in.</w:t>
            </w:r>
          </w:p>
        </w:tc>
        <w:tc>
          <w:tcPr>
            <w:tcW w:type="dxa" w:w="902"/>
          </w:tcPr>
          <w:p>
            <w:pPr>
              <w:spacing w:before="0" w:after="0"/>
            </w:pPr>
            <w:r>
              <w:rPr>
                <w:sz w:val="19"/>
              </w:rPr>
              <w:t>Day 1</w:t>
            </w:r>
          </w:p>
        </w:tc>
      </w:tr>
      <w:tr>
        <w:trPr>
          <w:cantSplit/>
        </w:trPr>
        <w:tc>
          <w:tcPr>
            <w:tcW w:type="dxa" w:w="2016"/>
          </w:tcPr>
          <w:p>
            <w:pPr>
              <w:spacing w:before="0" w:after="0"/>
            </w:pPr>
            <w:r>
              <w:rPr>
                <w:b/>
                <w:sz w:val="19"/>
              </w:rPr>
              <w:t>Case assumption</w:t>
            </w:r>
          </w:p>
        </w:tc>
        <w:tc>
          <w:tcPr>
            <w:tcW w:type="dxa" w:w="5216"/>
          </w:tcPr>
          <w:p>
            <w:pPr>
              <w:spacing w:before="0" w:after="0"/>
            </w:pPr>
            <w:r>
              <w:rPr>
                <w:sz w:val="19"/>
              </w:rPr>
              <w:t>A fact made up for this exercise to fill a gap in the plan's case. It is marked so you know it is not part of the plan.</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Chief Experience Officer</w:t>
            </w:r>
          </w:p>
        </w:tc>
        <w:tc>
          <w:tcPr>
            <w:tcW w:type="dxa" w:w="5216"/>
          </w:tcPr>
          <w:p>
            <w:pPr>
              <w:spacing w:before="0" w:after="0"/>
            </w:pPr>
            <w:r>
              <w:rPr>
                <w:sz w:val="19"/>
              </w:rPr>
              <w:t>The manager who is responsible for the experience customers have across all channels, and who decides where the company invests in it.</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Cognitive load</w:t>
            </w:r>
          </w:p>
        </w:tc>
        <w:tc>
          <w:tcPr>
            <w:tcW w:type="dxa" w:w="5216"/>
          </w:tcPr>
          <w:p>
            <w:pPr>
              <w:spacing w:before="0" w:after="0"/>
            </w:pPr>
            <w:r>
              <w:rPr>
                <w:sz w:val="19"/>
              </w:rPr>
              <w:t>How much a person has to hold in mind and work out at the same time. Every extra signal or choice adds to it; when it is too high, people skip, freeze or leave.</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Conversion</w:t>
            </w:r>
          </w:p>
        </w:tc>
        <w:tc>
          <w:tcPr>
            <w:tcW w:type="dxa" w:w="5216"/>
          </w:tcPr>
          <w:p>
            <w:pPr>
              <w:spacing w:before="0" w:after="0"/>
            </w:pPr>
            <w:r>
              <w:rPr>
                <w:sz w:val="19"/>
              </w:rPr>
              <w:t>The share of visitors who do what the company hopes for, such as signing a contract or finishing a request.</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Decision architecture</w:t>
            </w:r>
          </w:p>
        </w:tc>
        <w:tc>
          <w:tcPr>
            <w:tcW w:type="dxa" w:w="5216"/>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Governance</w:t>
            </w:r>
          </w:p>
        </w:tc>
        <w:tc>
          <w:tcPr>
            <w:tcW w:type="dxa" w:w="5216"/>
          </w:tcPr>
          <w:p>
            <w:pPr>
              <w:spacing w:before="0" w:after="0"/>
            </w:pPr>
            <w:r>
              <w:rPr>
                <w:sz w:val="19"/>
              </w:rPr>
              <w:t>The rules about who may decide what, who is answerable for it and how disagreements are settled.</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Hypothesis</w:t>
            </w:r>
          </w:p>
        </w:tc>
        <w:tc>
          <w:tcPr>
            <w:tcW w:type="dxa" w:w="5216"/>
          </w:tcPr>
          <w:p>
            <w:pPr>
              <w:spacing w:before="0" w:after="0"/>
            </w:pPr>
            <w:r>
              <w:rPr>
                <w:sz w:val="19"/>
              </w:rPr>
              <w:t>An assumption you could check later. “This red banner could make users uneasy” is a hypothesis; “this banner is bad” is only an opinion.</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Neuro-UX</w:t>
            </w:r>
          </w:p>
        </w:tc>
        <w:tc>
          <w:tcPr>
            <w:tcW w:type="dxa" w:w="5216"/>
          </w:tcPr>
          <w:p>
            <w:pPr>
              <w:spacing w:before="0" w:after="0"/>
            </w:pPr>
            <w:r>
              <w:rPr>
                <w:sz w:val="19"/>
              </w:rPr>
              <w:t>Designing an interface with knowledge of how the brain sees, attends, feels and decides, so that the design steers these processes on purpose and responsibly.</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Orientation</w:t>
            </w:r>
          </w:p>
        </w:tc>
        <w:tc>
          <w:tcPr>
            <w:tcW w:type="dxa" w:w="5216"/>
          </w:tcPr>
          <w:p>
            <w:pPr>
              <w:spacing w:before="0" w:after="0"/>
            </w:pPr>
            <w:r>
              <w:rPr>
                <w:sz w:val="19"/>
              </w:rPr>
              <w:t>Knowing where you are, what you can do here and what happens next.</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Perception</w:t>
            </w:r>
          </w:p>
        </w:tc>
        <w:tc>
          <w:tcPr>
            <w:tcW w:type="dxa" w:w="5216"/>
          </w:tcPr>
          <w:p>
            <w:pPr>
              <w:spacing w:before="0" w:after="0"/>
            </w:pPr>
            <w:r>
              <w:rPr>
                <w:sz w:val="19"/>
              </w:rPr>
              <w:t>Taking in what the senses deliver, for example what the eyes see on a screen, before thinking about it.</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Primary action</w:t>
            </w:r>
          </w:p>
        </w:tc>
        <w:tc>
          <w:tcPr>
            <w:tcW w:type="dxa" w:w="5216"/>
          </w:tcPr>
          <w:p>
            <w:pPr>
              <w:spacing w:before="0" w:after="0"/>
            </w:pPr>
            <w:r>
              <w:rPr>
                <w:sz w:val="19"/>
              </w:rPr>
              <w:t>The one thing most people on a screen came to do, such as “Report damage”. It should be the easiest thing to see and press.</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Psychological UX design</w:t>
            </w:r>
          </w:p>
        </w:tc>
        <w:tc>
          <w:tcPr>
            <w:tcW w:type="dxa" w:w="5216"/>
          </w:tcPr>
          <w:p>
            <w:pPr>
              <w:spacing w:before="0" w:after="0"/>
            </w:pPr>
            <w:r>
              <w:rPr>
                <w:sz w:val="19"/>
              </w:rPr>
              <w:t>Designing with knowledge of how people see, pay attention, feel and decide, and judging a design by what it does to them rather than only by how it looks.</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Self-service portal</w:t>
            </w:r>
          </w:p>
        </w:tc>
        <w:tc>
          <w:tcPr>
            <w:tcW w:type="dxa" w:w="5216"/>
          </w:tcPr>
          <w:p>
            <w:pPr>
              <w:spacing w:before="0" w:after="0"/>
            </w:pPr>
            <w:r>
              <w:rPr>
                <w:sz w:val="19"/>
              </w:rPr>
              <w:t>A website where customers do things themselves that once needed a call or a visit, such as reporting damage or downloading a document.</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Touchpoint</w:t>
            </w:r>
          </w:p>
        </w:tc>
        <w:tc>
          <w:tcPr>
            <w:tcW w:type="dxa" w:w="5216"/>
          </w:tcPr>
          <w:p>
            <w:pPr>
              <w:spacing w:before="0" w:after="0"/>
            </w:pPr>
            <w:r>
              <w:rPr>
                <w:sz w:val="19"/>
              </w:rPr>
              <w:t>Any place where a person meets the company: the website, the customer portal, the app, a chatbot or a phone call.</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UI (user interface)</w:t>
            </w:r>
          </w:p>
        </w:tc>
        <w:tc>
          <w:tcPr>
            <w:tcW w:type="dxa" w:w="5216"/>
          </w:tcPr>
          <w:p>
            <w:pPr>
              <w:spacing w:before="0" w:after="0"/>
            </w:pPr>
            <w:r>
              <w:rPr>
                <w:sz w:val="19"/>
              </w:rPr>
              <w:t>What a person sees and touches on a screen: buttons, colours, text, icons and their layout. It is the surface of the experience.</w:t>
            </w:r>
          </w:p>
        </w:tc>
        <w:tc>
          <w:tcPr>
            <w:tcW w:type="dxa" w:w="1504"/>
          </w:tcPr>
          <w:p>
            <w:pPr>
              <w:spacing w:before="0" w:after="0"/>
            </w:pPr>
            <w:r>
              <w:rPr>
                <w:sz w:val="19"/>
              </w:rPr>
              <w:t>Changing a button from grey to blue is a UI change.</w:t>
            </w:r>
          </w:p>
        </w:tc>
        <w:tc>
          <w:tcPr>
            <w:tcW w:type="dxa" w:w="902"/>
          </w:tcPr>
          <w:p>
            <w:pPr>
              <w:spacing w:before="0" w:after="0"/>
            </w:pPr>
            <w:r>
              <w:rPr>
                <w:sz w:val="19"/>
              </w:rPr>
              <w:t>Day 1</w:t>
            </w:r>
          </w:p>
        </w:tc>
      </w:tr>
      <w:tr>
        <w:trPr>
          <w:cantSplit/>
        </w:trPr>
        <w:tc>
          <w:tcPr>
            <w:tcW w:type="dxa" w:w="2016"/>
          </w:tcPr>
          <w:p>
            <w:pPr>
              <w:spacing w:before="0" w:after="0"/>
            </w:pPr>
            <w:r>
              <w:rPr>
                <w:b/>
                <w:sz w:val="19"/>
              </w:rPr>
              <w:t>Unconscious design effect</w:t>
            </w:r>
          </w:p>
        </w:tc>
        <w:tc>
          <w:tcPr>
            <w:tcW w:type="dxa" w:w="5216"/>
          </w:tcPr>
          <w:p>
            <w:pPr>
              <w:spacing w:before="0" w:after="0"/>
            </w:pPr>
            <w:r>
              <w:rPr>
                <w:sz w:val="19"/>
              </w:rPr>
              <w:t>An effect a design has before the person can say why: a screen feels unsafe, rushed or friendly in the first second, and that feeling colours what they do next.</w:t>
            </w:r>
          </w:p>
        </w:tc>
        <w:tc>
          <w:tcPr>
            <w:tcW w:type="dxa" w:w="1504"/>
          </w:tcPr>
          <w:p>
            <w:pPr>
              <w:spacing w:before="0" w:after="0"/>
            </w:pPr>
            <w:r>
              <w:rPr>
                <w:sz w:val="19"/>
              </w:rPr>
              <w:t>—</w:t>
            </w:r>
          </w:p>
        </w:tc>
        <w:tc>
          <w:tcPr>
            <w:tcW w:type="dxa" w:w="902"/>
          </w:tcPr>
          <w:p>
            <w:pPr>
              <w:spacing w:before="0" w:after="0"/>
            </w:pPr>
            <w:r>
              <w:rPr>
                <w:sz w:val="19"/>
              </w:rPr>
              <w:t>Day 1</w:t>
            </w:r>
          </w:p>
        </w:tc>
      </w:tr>
      <w:tr>
        <w:trPr>
          <w:cantSplit/>
        </w:trPr>
        <w:tc>
          <w:tcPr>
            <w:tcW w:type="dxa" w:w="2016"/>
          </w:tcPr>
          <w:p>
            <w:pPr>
              <w:spacing w:before="0" w:after="0"/>
            </w:pPr>
            <w:r>
              <w:rPr>
                <w:b/>
                <w:sz w:val="19"/>
              </w:rPr>
              <w:t>UX (user experience)</w:t>
            </w:r>
          </w:p>
        </w:tc>
        <w:tc>
          <w:tcPr>
            <w:tcW w:type="dxa" w:w="5216"/>
          </w:tcPr>
          <w:p>
            <w:pPr>
              <w:spacing w:before="0" w:after="0"/>
            </w:pPr>
            <w:r>
              <w:rPr>
                <w:sz w:val="19"/>
              </w:rPr>
              <w:t>Everything a person goes through when using a product: what they notice, understand, feel and do, from the first look to the last step. The screens are only one part of it.</w:t>
            </w:r>
          </w:p>
        </w:tc>
        <w:tc>
          <w:tcPr>
            <w:tcW w:type="dxa" w:w="1504"/>
          </w:tcPr>
          <w:p>
            <w:pPr>
              <w:spacing w:before="0" w:after="0"/>
            </w:pPr>
            <w:r>
              <w:rPr>
                <w:sz w:val="19"/>
              </w:rPr>
              <w:t>Finding the booking you want at once and feeling sure it went through is a good UX.</w:t>
            </w:r>
          </w:p>
        </w:tc>
        <w:tc>
          <w:tcPr>
            <w:tcW w:type="dxa" w:w="902"/>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1</w:t>
            </w:r>
          </w:p>
        </w:tc>
        <w:tc>
          <w:tcPr>
            <w:tcW w:type="dxa" w:w="7102"/>
          </w:tcPr>
          <w:p>
            <w:pPr>
              <w:spacing w:before="0" w:after="0"/>
            </w:pPr>
            <w:r>
              <w:rPr>
                <w:sz w:val="20"/>
              </w:rPr>
              <w:t>https://aion-ux-lab.vercel.app/day/1/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SafeHome Online: UX Analysis File and UX Strategy Memo</dc:title>
  <dc:subject>DAY 1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