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14 · TASK 1 AND TASK 2 · ROUTES 1 AND 2 · LEVELS 1 TO 3</w:t>
      </w:r>
    </w:p>
    <w:p>
      <w:pPr>
        <w:spacing w:before="0" w:after="80" w:line="240" w:lineRule="auto"/>
      </w:pPr>
      <w:r>
        <w:rPr>
          <w:b/>
          <w:sz w:val="52"/>
        </w:rPr>
        <w:t>IndustryXR: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14 · Module 7 (day 1 of 3): Immersive technologies and neuroscientific UX basics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https://aion-ux-lab.vercel.app/day/14/</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IndustryXR,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14.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two platforms on the UX team's desk, and IndustryXR</w:t>
            </w:r>
          </w:p>
          <w:p>
            <w:pPr>
              <w:spacing w:before="0" w:after="20"/>
              <w:ind w:left="170"/>
            </w:pPr>
            <w:r>
              <w:rPr>
                <w:sz w:val="20"/>
              </w:rPr>
              <w:t>Block 1.1 · Analyse immersive potentials and risks of a future scenario: BuildVision · JUDGED · Core · about 10 min</w:t>
            </w:r>
          </w:p>
          <w:p>
            <w:pPr>
              <w:spacing w:before="0" w:after="20"/>
              <w:ind w:left="170"/>
            </w:pPr>
            <w:r>
              <w:rPr>
                <w:sz w:val="20"/>
              </w:rPr>
              <w:t>Block 1.2 · Rate future technologies in UX design under conflicting goals: HealthSpace · JUDGED · Core · about 8 min</w:t>
            </w:r>
          </w:p>
          <w:p>
            <w:pPr>
              <w:spacing w:before="0" w:after="20"/>
              <w:ind w:left="170"/>
            </w:pPr>
            <w:r>
              <w:rPr>
                <w:sz w:val="20"/>
              </w:rPr>
              <w:t>Block 2.1 · Case study: a future strategy for the training and service offer IndustryXR · JUDGED · Core · about 15 min</w:t>
            </w:r>
          </w:p>
          <w:p>
            <w:pPr>
              <w:spacing w:before="0" w:after="20"/>
              <w:ind w:left="170"/>
            </w:pPr>
            <w:r>
              <w:rPr>
                <w:sz w:val="20"/>
              </w:rPr>
              <w:t>The situation: great enthusiasm, no priorities</w:t>
            </w:r>
          </w:p>
          <w:p>
            <w:pPr>
              <w:spacing w:before="0" w:after="20"/>
              <w:ind w:left="170"/>
            </w:pPr>
            <w:r>
              <w:rPr>
                <w:sz w:val="20"/>
              </w:rPr>
              <w:t>Block 3.1 · A strategic UX innovation architecture for immersive and neuro-based future technologies · JUDGED · Core · about 20 min</w:t>
            </w:r>
          </w:p>
        </w:tc>
      </w:tr>
    </w:tbl>
    <w:p>
      <w:pPr>
        <w:pStyle w:val="Heading1"/>
        <w:pBdr>
          <w:bottom w:val="single" w:sz="8" w:space="2" w:color="17212E"/>
        </w:pBdr>
      </w:pPr>
      <w:r>
        <w:rPr/>
        <w:t>Day at a glance</w:t>
      </w:r>
    </w:p>
    <w:p>
      <w:pPr>
        <w:spacing w:before="0" w:after="100"/>
      </w:pPr>
      <w:r>
        <w:rPr/>
        <w:t xml:space="preserve">Day 14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1"/>
        <w:gridCol w:w="3270"/>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1"/>
            <w:shd w:val="clear" w:color="auto" w:fill="E6ECF4"/>
          </w:tcPr>
          <w:p>
            <w:pPr>
              <w:spacing w:before="0" w:after="0"/>
            </w:pPr>
            <w:r>
              <w:rPr>
                <w:b/>
                <w:sz w:val="19"/>
              </w:rPr>
              <w:t>Plan item</w:t>
            </w:r>
          </w:p>
        </w:tc>
        <w:tc>
          <w:tcPr>
            <w:tcW w:type="dxa" w:w="3270"/>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1"/>
          </w:tcPr>
          <w:p>
            <w:pPr>
              <w:spacing w:before="0" w:after="0"/>
            </w:pPr>
            <w:r>
              <w:rPr>
                <w:sz w:val="19"/>
              </w:rPr>
              <w:t>Knowledge transfer · Level 1</w:t>
            </w:r>
          </w:p>
        </w:tc>
        <w:tc>
          <w:tcPr>
            <w:tcW w:type="dxa" w:w="3270"/>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1"/>
          </w:tcPr>
          <w:p>
            <w:pPr>
              <w:spacing w:before="0" w:after="0"/>
            </w:pPr>
            <w:r>
              <w:rPr>
                <w:sz w:val="19"/>
              </w:rPr>
              <w:t>Level 1 · Task 1</w:t>
            </w:r>
          </w:p>
        </w:tc>
        <w:tc>
          <w:tcPr>
            <w:tcW w:type="dxa" w:w="3270"/>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1"/>
          </w:tcPr>
          <w:p>
            <w:pPr>
              <w:spacing w:before="0" w:after="0"/>
            </w:pPr>
            <w:r>
              <w:rPr>
                <w:sz w:val="19"/>
              </w:rPr>
              <w:t>Level 1 · Task 2</w:t>
            </w:r>
          </w:p>
        </w:tc>
        <w:tc>
          <w:tcPr>
            <w:tcW w:type="dxa" w:w="3270"/>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1"/>
          </w:tcPr>
          <w:p>
            <w:pPr>
              <w:spacing w:before="0" w:after="0"/>
            </w:pPr>
            <w:r>
              <w:rPr>
                <w:sz w:val="19"/>
              </w:rPr>
              <w:t>Coaching · transition from Level 1 to Level 2</w:t>
            </w:r>
          </w:p>
        </w:tc>
        <w:tc>
          <w:tcPr>
            <w:tcW w:type="dxa" w:w="3270"/>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1"/>
          </w:tcPr>
          <w:p>
            <w:pPr>
              <w:spacing w:before="0" w:after="0"/>
            </w:pPr>
            <w:r>
              <w:rPr>
                <w:sz w:val="19"/>
              </w:rPr>
              <w:t>Level 2 · Case study IndustryXR (</w:t>
            </w:r>
            <w:r>
              <w:rPr>
                <w:b/>
                <w:sz w:val="19"/>
              </w:rPr>
              <w:t>2 UE</w:t>
            </w:r>
            <w:r>
              <w:rPr>
                <w:sz w:val="19"/>
              </w:rPr>
              <w:t>) incl. model solution</w:t>
            </w:r>
          </w:p>
        </w:tc>
        <w:tc>
          <w:tcPr>
            <w:tcW w:type="dxa" w:w="3270"/>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1"/>
          </w:tcPr>
          <w:p>
            <w:pPr>
              <w:spacing w:before="0" w:after="0"/>
            </w:pPr>
            <w:r>
              <w:rPr>
                <w:sz w:val="19"/>
              </w:rPr>
              <w:t>Level 2 + 3 · Feedback round with a management perspective</w:t>
            </w:r>
          </w:p>
        </w:tc>
        <w:tc>
          <w:tcPr>
            <w:tcW w:type="dxa" w:w="3270"/>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1"/>
          </w:tcPr>
          <w:p>
            <w:pPr>
              <w:spacing w:before="0" w:after="0"/>
            </w:pPr>
            <w:r>
              <w:rPr>
                <w:sz w:val="19"/>
              </w:rPr>
              <w:t>Level 3 · Transfer project, Chief Experience Officer (</w:t>
            </w:r>
            <w:r>
              <w:rPr>
                <w:b/>
                <w:sz w:val="19"/>
              </w:rPr>
              <w:t>3 UE</w:t>
            </w:r>
            <w:r>
              <w:rPr>
                <w:sz w:val="19"/>
              </w:rPr>
              <w:t>: UE8–10)</w:t>
            </w:r>
          </w:p>
        </w:tc>
        <w:tc>
          <w:tcPr>
            <w:tcW w:type="dxa" w:w="3270"/>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1"/>
          </w:tcPr>
          <w:p>
            <w:pPr>
              <w:spacing w:before="0" w:after="0"/>
            </w:pPr>
            <w:r>
              <w:rPr>
                <w:sz w:val="19"/>
              </w:rPr>
              <w:t>Level 3 · Transfer project</w:t>
            </w:r>
          </w:p>
        </w:tc>
        <w:tc>
          <w:tcPr>
            <w:tcW w:type="dxa" w:w="3270"/>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1"/>
          </w:tcPr>
          <w:p>
            <w:pPr>
              <w:spacing w:before="0" w:after="0"/>
            </w:pPr>
            <w:r>
              <w:rPr>
                <w:sz w:val="19"/>
              </w:rPr>
              <w:t>Level 3 · Transfer project</w:t>
            </w:r>
          </w:p>
        </w:tc>
        <w:tc>
          <w:tcPr>
            <w:tcW w:type="dxa" w:w="3270"/>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25"/>
        <w:gridCol w:w="1016"/>
        <w:gridCol w:w="1446"/>
        <w:gridCol w:w="2292"/>
        <w:gridCol w:w="2259"/>
      </w:tblGrid>
      <w:tr>
        <w:trPr>
          <w:cantSplit/>
          <w:tblHeader/>
        </w:trPr>
        <w:tc>
          <w:tcPr>
            <w:tcW w:type="dxa" w:w="2625"/>
            <w:shd w:val="clear" w:color="auto" w:fill="E6ECF4"/>
          </w:tcPr>
          <w:p>
            <w:pPr>
              <w:spacing w:before="0" w:after="0"/>
            </w:pPr>
            <w:r>
              <w:rPr>
                <w:b/>
                <w:sz w:val="19"/>
              </w:rPr>
              <w:t>Component</w:t>
            </w:r>
          </w:p>
        </w:tc>
        <w:tc>
          <w:tcPr>
            <w:tcW w:type="dxa" w:w="1016"/>
            <w:shd w:val="clear" w:color="auto" w:fill="E6ECF4"/>
          </w:tcPr>
          <w:p>
            <w:pPr>
              <w:spacing w:before="0" w:after="0"/>
            </w:pPr>
            <w:r>
              <w:rPr>
                <w:b/>
                <w:sz w:val="19"/>
              </w:rPr>
              <w:t>UE</w:t>
            </w:r>
          </w:p>
        </w:tc>
        <w:tc>
          <w:tcPr>
            <w:tcW w:type="dxa" w:w="1446"/>
            <w:shd w:val="clear" w:color="auto" w:fill="E6ECF4"/>
          </w:tcPr>
          <w:p>
            <w:pPr>
              <w:spacing w:before="0" w:after="0"/>
            </w:pPr>
            <w:r>
              <w:rPr>
                <w:b/>
                <w:sz w:val="19"/>
              </w:rPr>
              <w:t>Duration</w:t>
            </w:r>
          </w:p>
        </w:tc>
        <w:tc>
          <w:tcPr>
            <w:tcW w:type="dxa" w:w="2292"/>
            <w:shd w:val="clear" w:color="auto" w:fill="E6ECF4"/>
          </w:tcPr>
          <w:p>
            <w:pPr>
              <w:spacing w:before="0" w:after="0"/>
            </w:pPr>
            <w:r>
              <w:rPr>
                <w:b/>
                <w:sz w:val="19"/>
              </w:rPr>
              <w:t>Participants work in</w:t>
            </w:r>
          </w:p>
        </w:tc>
        <w:tc>
          <w:tcPr>
            <w:tcW w:type="dxa" w:w="2259"/>
            <w:shd w:val="clear" w:color="auto" w:fill="E6ECF4"/>
          </w:tcPr>
          <w:p>
            <w:pPr>
              <w:spacing w:before="0" w:after="0"/>
            </w:pPr>
            <w:r>
              <w:rPr>
                <w:b/>
                <w:sz w:val="19"/>
              </w:rPr>
              <w:t>Model solution in</w:t>
            </w:r>
          </w:p>
        </w:tc>
      </w:tr>
      <w:tr>
        <w:trPr>
          <w:cantSplit/>
        </w:trPr>
        <w:tc>
          <w:tcPr>
            <w:tcW w:type="dxa" w:w="2625"/>
          </w:tcPr>
          <w:p>
            <w:pPr>
              <w:spacing w:before="0" w:after="0"/>
            </w:pPr>
            <w:r>
              <w:rPr>
                <w:b/>
                <w:sz w:val="19"/>
              </w:rPr>
              <w:t>Level 2 case study</w:t>
            </w:r>
            <w:r>
              <w:rPr>
                <w:sz w:val="19"/>
              </w:rPr>
              <w:t xml:space="preserve"> (IndustryXR)</w:t>
            </w:r>
          </w:p>
        </w:tc>
        <w:tc>
          <w:tcPr>
            <w:tcW w:type="dxa" w:w="1016"/>
          </w:tcPr>
          <w:p>
            <w:pPr>
              <w:spacing w:before="0" w:after="0"/>
            </w:pPr>
            <w:r>
              <w:rPr>
                <w:sz w:val="19"/>
              </w:rPr>
              <w:t>UE5–6</w:t>
            </w:r>
          </w:p>
        </w:tc>
        <w:tc>
          <w:tcPr>
            <w:tcW w:type="dxa" w:w="1446"/>
          </w:tcPr>
          <w:p>
            <w:pPr>
              <w:spacing w:before="0" w:after="0"/>
            </w:pPr>
            <w:r>
              <w:rPr>
                <w:b/>
                <w:sz w:val="19"/>
              </w:rPr>
              <w:t>2 UE</w:t>
            </w:r>
            <w:r>
              <w:rPr>
                <w:sz w:val="19"/>
              </w:rPr>
              <w:t xml:space="preserve"> · 90 min</w:t>
            </w:r>
          </w:p>
        </w:tc>
        <w:tc>
          <w:tcPr>
            <w:tcW w:type="dxa" w:w="2292"/>
          </w:tcPr>
          <w:p>
            <w:pPr>
              <w:spacing w:before="0" w:after="0"/>
            </w:pPr>
            <w:r>
              <w:rPr>
                <w:sz w:val="19"/>
              </w:rPr>
              <w:t>Task 1 · Part 2 (Block 2.1)</w:t>
            </w:r>
          </w:p>
        </w:tc>
        <w:tc>
          <w:tcPr>
            <w:tcW w:type="dxa" w:w="2259"/>
          </w:tcPr>
          <w:p>
            <w:pPr>
              <w:spacing w:before="0" w:after="0"/>
            </w:pPr>
            <w:r>
              <w:rPr>
                <w:sz w:val="19"/>
              </w:rPr>
              <w:t>Trainer document, section Case study</w:t>
            </w:r>
          </w:p>
        </w:tc>
      </w:tr>
      <w:tr>
        <w:trPr>
          <w:cantSplit/>
        </w:trPr>
        <w:tc>
          <w:tcPr>
            <w:tcW w:type="dxa" w:w="2625"/>
          </w:tcPr>
          <w:p>
            <w:pPr>
              <w:spacing w:before="0" w:after="0"/>
            </w:pPr>
            <w:r>
              <w:rPr>
                <w:b/>
                <w:sz w:val="19"/>
              </w:rPr>
              <w:t>Level 3 transfer project</w:t>
            </w:r>
            <w:r>
              <w:rPr>
                <w:sz w:val="19"/>
              </w:rPr>
              <w:t xml:space="preserve"> (Chief Experience Officer)</w:t>
            </w:r>
          </w:p>
        </w:tc>
        <w:tc>
          <w:tcPr>
            <w:tcW w:type="dxa" w:w="1016"/>
          </w:tcPr>
          <w:p>
            <w:pPr>
              <w:spacing w:before="0" w:after="0"/>
            </w:pPr>
            <w:r>
              <w:rPr>
                <w:sz w:val="19"/>
              </w:rPr>
              <w:t>UE8–10</w:t>
            </w:r>
          </w:p>
        </w:tc>
        <w:tc>
          <w:tcPr>
            <w:tcW w:type="dxa" w:w="1446"/>
          </w:tcPr>
          <w:p>
            <w:pPr>
              <w:spacing w:before="0" w:after="0"/>
            </w:pPr>
            <w:r>
              <w:rPr>
                <w:b/>
                <w:sz w:val="19"/>
              </w:rPr>
              <w:t>3 UE</w:t>
            </w:r>
            <w:r>
              <w:rPr>
                <w:sz w:val="19"/>
              </w:rPr>
              <w:t xml:space="preserve"> · 135 min</w:t>
            </w:r>
          </w:p>
        </w:tc>
        <w:tc>
          <w:tcPr>
            <w:tcW w:type="dxa" w:w="2292"/>
          </w:tcPr>
          <w:p>
            <w:pPr>
              <w:spacing w:before="0" w:after="0"/>
            </w:pPr>
            <w:r>
              <w:rPr>
                <w:sz w:val="19"/>
              </w:rPr>
              <w:t>Materi B and Task 2 (Block 3.1)</w:t>
            </w:r>
          </w:p>
        </w:tc>
        <w:tc>
          <w:tcPr>
            <w:tcW w:type="dxa" w:w="2259"/>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71"/>
              <w:gridCol w:w="5378"/>
              <w:gridCol w:w="2829"/>
            </w:tblGrid>
            <w:tr>
              <w:trPr>
                <w:cantSplit/>
                <w:tblHeader/>
              </w:trPr>
              <w:tc>
                <w:tcPr>
                  <w:tcW w:type="dxa" w:w="1071"/>
                  <w:shd w:val="clear" w:color="auto" w:fill="E6ECF4"/>
                </w:tcPr>
                <w:p>
                  <w:pPr>
                    <w:spacing w:before="0" w:after="0"/>
                  </w:pPr>
                  <w:r>
                    <w:rPr>
                      <w:b/>
                      <w:sz w:val="20"/>
                    </w:rPr>
                    <w:t>UE</w:t>
                  </w:r>
                </w:p>
              </w:tc>
              <w:tc>
                <w:tcPr>
                  <w:tcW w:type="dxa" w:w="5378"/>
                  <w:shd w:val="clear" w:color="auto" w:fill="E6ECF4"/>
                </w:tcPr>
                <w:p>
                  <w:pPr>
                    <w:spacing w:before="0" w:after="0"/>
                  </w:pPr>
                  <w:r>
                    <w:rPr>
                      <w:b/>
                      <w:sz w:val="20"/>
                    </w:rPr>
                    <w:t>Plan item (Strukturplan, Day 14)</w:t>
                  </w:r>
                </w:p>
              </w:tc>
              <w:tc>
                <w:tcPr>
                  <w:tcW w:type="dxa" w:w="2829"/>
                  <w:shd w:val="clear" w:color="auto" w:fill="E6ECF4"/>
                </w:tcPr>
                <w:p>
                  <w:pPr>
                    <w:spacing w:before="0" w:after="0"/>
                  </w:pPr>
                  <w:r>
                    <w:rPr>
                      <w:b/>
                      <w:sz w:val="20"/>
                    </w:rPr>
                    <w:t>Block in this document</w:t>
                  </w:r>
                </w:p>
              </w:tc>
            </w:tr>
            <w:tr>
              <w:trPr>
                <w:cantSplit/>
              </w:trPr>
              <w:tc>
                <w:tcPr>
                  <w:tcW w:type="dxa" w:w="1071"/>
                </w:tcPr>
                <w:p>
                  <w:pPr>
                    <w:spacing w:before="0" w:after="0"/>
                  </w:pPr>
                  <w:r>
                    <w:rPr>
                      <w:sz w:val="20"/>
                    </w:rPr>
                    <w:t>UE2</w:t>
                  </w:r>
                </w:p>
              </w:tc>
              <w:tc>
                <w:tcPr>
                  <w:tcW w:type="dxa" w:w="5378"/>
                </w:tcPr>
                <w:p>
                  <w:pPr>
                    <w:spacing w:before="0" w:after="0"/>
                  </w:pPr>
                  <w:r>
                    <w:rPr>
                      <w:sz w:val="20"/>
                    </w:rPr>
                    <w:t>Level 1, task 1 · Analyse immersive potentials and risks of a future scenario: BuildVision</w:t>
                  </w:r>
                </w:p>
              </w:tc>
              <w:tc>
                <w:tcPr>
                  <w:tcW w:type="dxa" w:w="2829"/>
                </w:tcPr>
                <w:p>
                  <w:pPr>
                    <w:spacing w:before="0" w:after="0"/>
                  </w:pPr>
                  <w:r>
                    <w:rPr>
                      <w:sz w:val="20"/>
                    </w:rPr>
                    <w:t>Block 1.1 (Core)</w:t>
                  </w:r>
                </w:p>
              </w:tc>
            </w:tr>
            <w:tr>
              <w:trPr>
                <w:cantSplit/>
              </w:trPr>
              <w:tc>
                <w:tcPr>
                  <w:tcW w:type="dxa" w:w="1071"/>
                </w:tcPr>
                <w:p>
                  <w:pPr>
                    <w:spacing w:before="0" w:after="0"/>
                  </w:pPr>
                  <w:r>
                    <w:rPr>
                      <w:sz w:val="20"/>
                    </w:rPr>
                    <w:t>UE3</w:t>
                  </w:r>
                </w:p>
              </w:tc>
              <w:tc>
                <w:tcPr>
                  <w:tcW w:type="dxa" w:w="5378"/>
                </w:tcPr>
                <w:p>
                  <w:pPr>
                    <w:spacing w:before="0" w:after="0"/>
                  </w:pPr>
                  <w:r>
                    <w:rPr>
                      <w:sz w:val="20"/>
                    </w:rPr>
                    <w:t>Level 1, task 2 · Rate future technologies in UX design under conflicting goals: HealthSpace</w:t>
                  </w:r>
                </w:p>
              </w:tc>
              <w:tc>
                <w:tcPr>
                  <w:tcW w:type="dxa" w:w="2829"/>
                </w:tcPr>
                <w:p>
                  <w:pPr>
                    <w:spacing w:before="0" w:after="0"/>
                  </w:pPr>
                  <w:r>
                    <w:rPr>
                      <w:sz w:val="20"/>
                    </w:rPr>
                    <w:t>Block 1.2 (Core)</w:t>
                  </w:r>
                </w:p>
              </w:tc>
            </w:tr>
            <w:tr>
              <w:trPr>
                <w:cantSplit/>
              </w:trPr>
              <w:tc>
                <w:tcPr>
                  <w:tcW w:type="dxa" w:w="1071"/>
                </w:tcPr>
                <w:p>
                  <w:pPr>
                    <w:spacing w:before="0" w:after="0"/>
                  </w:pPr>
                  <w:r>
                    <w:rPr>
                      <w:sz w:val="20"/>
                    </w:rPr>
                    <w:t>UE4</w:t>
                  </w:r>
                </w:p>
              </w:tc>
              <w:tc>
                <w:tcPr>
                  <w:tcW w:type="dxa" w:w="5378"/>
                </w:tcPr>
                <w:p>
                  <w:pPr>
                    <w:spacing w:before="0" w:after="0"/>
                  </w:pPr>
                  <w:r>
                    <w:rPr>
                      <w:sz w:val="20"/>
                    </w:rPr>
                    <w:t>Coaching: from describing to deciding</w:t>
                  </w:r>
                </w:p>
              </w:tc>
              <w:tc>
                <w:tcPr>
                  <w:tcW w:type="dxa" w:w="2829"/>
                </w:tcPr>
                <w:p>
                  <w:pPr>
                    <w:spacing w:before="0" w:after="0"/>
                  </w:pPr>
                  <w:r>
                    <w:rPr>
                      <w:sz w:val="20"/>
                    </w:rPr>
                    <w:t>A classroom talk led by the trainer; not a worksheet block</w:t>
                  </w:r>
                </w:p>
              </w:tc>
            </w:tr>
            <w:tr>
              <w:trPr>
                <w:cantSplit/>
              </w:trPr>
              <w:tc>
                <w:tcPr>
                  <w:tcW w:type="dxa" w:w="1071"/>
                </w:tcPr>
                <w:p>
                  <w:pPr>
                    <w:spacing w:before="0" w:after="0"/>
                  </w:pPr>
                  <w:r>
                    <w:rPr>
                      <w:sz w:val="20"/>
                    </w:rPr>
                    <w:t>UE5–6</w:t>
                  </w:r>
                </w:p>
              </w:tc>
              <w:tc>
                <w:tcPr>
                  <w:tcW w:type="dxa" w:w="5378"/>
                </w:tcPr>
                <w:p>
                  <w:pPr>
                    <w:spacing w:before="0" w:after="0"/>
                  </w:pPr>
                  <w:r>
                    <w:rPr>
                      <w:sz w:val="20"/>
                    </w:rPr>
                    <w:t>Level 2 case study · Case study: a future strategy for the training and service offer IndustryXR</w:t>
                  </w:r>
                </w:p>
              </w:tc>
              <w:tc>
                <w:tcPr>
                  <w:tcW w:type="dxa" w:w="2829"/>
                </w:tcPr>
                <w:p>
                  <w:pPr>
                    <w:spacing w:before="0" w:after="0"/>
                  </w:pPr>
                  <w:r>
                    <w:rPr>
                      <w:sz w:val="20"/>
                    </w:rPr>
                    <w:t>Block 2.1 (Core)</w:t>
                  </w:r>
                </w:p>
              </w:tc>
            </w:tr>
            <w:tr>
              <w:trPr>
                <w:cantSplit/>
              </w:trPr>
              <w:tc>
                <w:tcPr>
                  <w:tcW w:type="dxa" w:w="1071"/>
                </w:tcPr>
                <w:p>
                  <w:pPr>
                    <w:spacing w:before="0" w:after="0"/>
                  </w:pPr>
                  <w:r>
                    <w:rPr>
                      <w:sz w:val="20"/>
                    </w:rPr>
                    <w:t>UE7</w:t>
                  </w:r>
                </w:p>
              </w:tc>
              <w:tc>
                <w:tcPr>
                  <w:tcW w:type="dxa" w:w="5378"/>
                </w:tcPr>
                <w:p>
                  <w:pPr>
                    <w:spacing w:before="0" w:after="0"/>
                  </w:pPr>
                  <w:r>
                    <w:rPr>
                      <w:sz w:val="20"/>
                    </w:rPr>
                    <w:t>Feedback round with a management perspective</w:t>
                  </w:r>
                </w:p>
              </w:tc>
              <w:tc>
                <w:tcPr>
                  <w:tcW w:type="dxa" w:w="2829"/>
                </w:tcPr>
                <w:p>
                  <w:pPr>
                    <w:spacing w:before="0" w:after="0"/>
                  </w:pPr>
                  <w:r>
                    <w:rPr>
                      <w:sz w:val="20"/>
                    </w:rPr>
                    <w:t>A classroom discussion led by the trainer; not a worksheet block</w:t>
                  </w:r>
                </w:p>
              </w:tc>
            </w:tr>
            <w:tr>
              <w:trPr>
                <w:cantSplit/>
              </w:trPr>
              <w:tc>
                <w:tcPr>
                  <w:tcW w:type="dxa" w:w="1071"/>
                </w:tcPr>
                <w:p>
                  <w:pPr>
                    <w:spacing w:before="0" w:after="0"/>
                  </w:pPr>
                  <w:r>
                    <w:rPr>
                      <w:sz w:val="20"/>
                    </w:rPr>
                    <w:t>UE8–10</w:t>
                  </w:r>
                </w:p>
              </w:tc>
              <w:tc>
                <w:tcPr>
                  <w:tcW w:type="dxa" w:w="5378"/>
                </w:tcPr>
                <w:p>
                  <w:pPr>
                    <w:spacing w:before="0" w:after="0"/>
                  </w:pPr>
                  <w:r>
                    <w:rPr>
                      <w:sz w:val="20"/>
                    </w:rPr>
                    <w:t>Level 3 transfer project · A strategic UX innovation architecture for immersive and neuro-based future technologies</w:t>
                  </w:r>
                </w:p>
              </w:tc>
              <w:tc>
                <w:tcPr>
                  <w:tcW w:type="dxa" w:w="2829"/>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find where immersion helps or overwhelms, then decide how to pilot</w:t>
      </w:r>
    </w:p>
    <w:p>
      <w:pPr>
        <w:pStyle w:val="Heading2"/>
      </w:pPr>
      <w:r>
        <w:rPr/>
        <w:t>The case: two platforms on the UX team's desk, and IndustryXR</w:t>
      </w:r>
    </w:p>
    <w:p>
      <w:pPr>
        <w:spacing w:before="0" w:after="100"/>
      </w:pPr>
      <w:r>
        <w:rPr>
          <w:i/>
        </w:rPr>
        <w:t>Read once · about 3 min</w:t>
      </w:r>
    </w:p>
    <w:p>
      <w:pPr>
        <w:spacing w:before="0" w:after="100"/>
      </w:pPr>
      <w:r>
        <w:rPr/>
        <w:t>You work in the UX team of a digital agency. This week three projects land on your desk. Two are warm-ups: BuildVision, a platform for planning, training and remote support in technical service, and HealthSpace, a health and prevention platform with three innovation approaches. The main case is IndustryXR: an industrial company plans to develop its training, maintenance and support processes with immersive technologies, discussing AR instructions, VR training environments and neuroscience-informed UX concepts for better attention steering. Inside, enthusiasm for the technology is high, but there is no robust experience of acceptance, economic viability or how it fits existing processes.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70"/>
        <w:gridCol w:w="4768"/>
      </w:tblGrid>
      <w:tr>
        <w:trPr>
          <w:cantSplit/>
          <w:tblHeader/>
        </w:trPr>
        <w:tc>
          <w:tcPr>
            <w:tcW w:type="dxa" w:w="4870"/>
            <w:shd w:val="clear" w:color="auto" w:fill="E6ECF4"/>
          </w:tcPr>
          <w:p>
            <w:pPr>
              <w:spacing w:before="0" w:after="0"/>
            </w:pPr>
            <w:r>
              <w:rPr>
                <w:b/>
                <w:sz w:val="20"/>
              </w:rPr>
              <w:t>What the plan gives you</w:t>
            </w:r>
          </w:p>
        </w:tc>
        <w:tc>
          <w:tcPr>
            <w:tcW w:type="dxa" w:w="4768"/>
            <w:shd w:val="clear" w:color="auto" w:fill="E6ECF4"/>
          </w:tcPr>
          <w:p>
            <w:pPr>
              <w:spacing w:before="0" w:after="0"/>
            </w:pPr>
            <w:r>
              <w:rPr>
                <w:b/>
                <w:sz w:val="20"/>
              </w:rPr>
              <w:t>How the task runs · three blocks</w:t>
            </w:r>
          </w:p>
        </w:tc>
      </w:tr>
      <w:tr>
        <w:trPr>
          <w:cantSplit/>
        </w:trPr>
        <w:tc>
          <w:tcPr>
            <w:tcW w:type="dxa" w:w="4870"/>
          </w:tcPr>
          <w:p>
            <w:pPr>
              <w:spacing w:before="0" w:after="0"/>
            </w:pPr>
            <w:r>
              <w:rPr>
                <w:sz w:val="20"/>
              </w:rPr>
              <w:t>• Block 1.1: BuildVision, with AR overlays of maintenance steps on the device, procedures in space instead of a PDF, a remote support mode, impressed but partly overwhelmed users in stress, technology that is not stable everywhere, and use cases that are partly demonstrative</w:t>
            </w:r>
            <w:r>
              <w:br/>
            </w:r>
            <w:r>
              <w:rPr>
                <w:sz w:val="20"/>
              </w:rPr>
              <w:t>• Block 1.2: three approaches for HealthSpace; innovative but trustworthy and economic, a limited budget, a heterogeneous and not always tech-savvy group, first pilots in 6 months, hardly any user data on immersive formats, management against departments</w:t>
            </w:r>
            <w:r>
              <w:br/>
            </w:r>
            <w:r>
              <w:rPr>
                <w:sz w:val="20"/>
              </w:rPr>
              <w:t>• Block 2.1: IndustryXR, with €220,000 for the first phase, 16 weeks for piloting and decision preparation, no full integration soon, several business units, hardly any test data, and first visible innovation steps wanted soon</w:t>
            </w:r>
          </w:p>
        </w:tc>
        <w:tc>
          <w:tcPr>
            <w:tcW w:type="dxa" w:w="4768"/>
          </w:tcPr>
          <w:p>
            <w:pPr>
              <w:spacing w:before="0" w:after="0"/>
            </w:pPr>
            <w:r>
              <w:rPr>
                <w:sz w:val="20"/>
              </w:rPr>
              <w:t>• Block 1.1: analyse BuildVision's chances and risks for users and the company. Describe them, name five places of real value or overload, sort them into six categories, write three effect statements and pick the two biggest chances and risks.</w:t>
            </w:r>
            <w:r>
              <w:br/>
            </w:r>
            <w:r>
              <w:rPr>
                <w:sz w:val="20"/>
              </w:rPr>
              <w:t>• Block 1.2: rate three innovation approaches under conflicting goals. Rate each on six criteria, choose one, name the conflicts between visible innovation and responsible introduction and the remaining risks, and write a recommendation to the project lead.</w:t>
            </w:r>
            <w:r>
              <w:br/>
            </w:r>
            <w:r>
              <w:rPr>
                <w:sz w:val="20"/>
              </w:rPr>
              <w:t>• Block 2.1: the case study. The central chances and risks, sorted into six categories, four measures for a responsible pilot strategy, justified on five criteria, a decision for the first 16 weeks and a recommendation to the division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38"/>
        <w:gridCol w:w="4190"/>
        <w:gridCol w:w="2210"/>
      </w:tblGrid>
      <w:tr>
        <w:trPr>
          <w:cantSplit/>
          <w:tblHeader/>
        </w:trPr>
        <w:tc>
          <w:tcPr>
            <w:tcW w:type="dxa" w:w="3238"/>
            <w:shd w:val="clear" w:color="auto" w:fill="E6ECF4"/>
          </w:tcPr>
          <w:p>
            <w:pPr>
              <w:spacing w:before="0" w:after="0"/>
            </w:pPr>
            <w:r>
              <w:rPr>
                <w:b/>
                <w:sz w:val="20"/>
              </w:rPr>
              <w:t>In the brief</w:t>
            </w:r>
          </w:p>
        </w:tc>
        <w:tc>
          <w:tcPr>
            <w:tcW w:type="dxa" w:w="4190"/>
            <w:shd w:val="clear" w:color="auto" w:fill="E6ECF4"/>
          </w:tcPr>
          <w:p>
            <w:pPr>
              <w:spacing w:before="0" w:after="0"/>
            </w:pPr>
            <w:r>
              <w:rPr>
                <w:b/>
                <w:sz w:val="20"/>
              </w:rPr>
              <w:t>Clear · Case assumption</w:t>
            </w:r>
          </w:p>
        </w:tc>
        <w:tc>
          <w:tcPr>
            <w:tcW w:type="dxa" w:w="2210"/>
            <w:shd w:val="clear" w:color="auto" w:fill="E6ECF4"/>
          </w:tcPr>
          <w:p>
            <w:pPr>
              <w:spacing w:before="0" w:after="0"/>
            </w:pPr>
            <w:r>
              <w:rPr>
                <w:b/>
                <w:sz w:val="20"/>
              </w:rPr>
              <w:t>Open · on purpose</w:t>
            </w:r>
          </w:p>
        </w:tc>
      </w:tr>
      <w:tr>
        <w:trPr>
          <w:cantSplit/>
        </w:trPr>
        <w:tc>
          <w:tcPr>
            <w:tcW w:type="dxa" w:w="3238"/>
          </w:tcPr>
          <w:p>
            <w:pPr>
              <w:spacing w:before="0" w:after="0"/>
            </w:pPr>
            <w:r>
              <w:rPr>
                <w:sz w:val="20"/>
              </w:rPr>
              <w:t>• BuildVision: AR overlays at the device, spatial procedures, remote support; impressive but overwhelming in stress; unstable in some environments.</w:t>
            </w:r>
            <w:r>
              <w:br/>
            </w:r>
            <w:r>
              <w:rPr>
                <w:sz w:val="20"/>
              </w:rPr>
              <w:t>• HealthSpace: three approaches in words; a heterogeneous group; pilots in 6 months; hardly any data on immersive formats.</w:t>
            </w:r>
            <w:r>
              <w:br/>
            </w:r>
            <w:r>
              <w:rPr>
                <w:sz w:val="20"/>
              </w:rPr>
              <w:t>• IndustryXR: unclear value, unprioritised pilots, divergent goals, unassessed risks, no roadmap; €220,000 and 16 weeks; hardly any test data.</w:t>
            </w:r>
          </w:p>
        </w:tc>
        <w:tc>
          <w:tcPr>
            <w:tcW w:type="dxa" w:w="4190"/>
          </w:tcPr>
          <w:p>
            <w:pPr>
              <w:spacing w:before="0" w:after="0"/>
            </w:pPr>
            <w:r>
              <w:rPr>
                <w:sz w:val="20"/>
              </w:rPr>
              <w:t>• You review BuildVision and HealthSpace as an agency would: by trying them, without access to their users or their data.</w:t>
            </w:r>
            <w:r>
              <w:br/>
            </w:r>
            <w:r>
              <w:rPr>
                <w:sz w:val="20"/>
              </w:rPr>
              <w:t>• IndustryXR's ideas on the table: AR maintenance instructions, a VR safety training, an AR remote expert, a VR showroom for trade fairs, and an attention-guidance overlay for assembly.</w:t>
            </w:r>
            <w:r>
              <w:br/>
            </w:r>
            <w:r>
              <w:rPr>
                <w:sz w:val="20"/>
              </w:rPr>
              <w:t>• The company has two headsets and a few tablets; most of its halls have Wi-Fi, the outdoor sites do not.</w:t>
            </w:r>
            <w:r>
              <w:br/>
            </w:r>
            <w:r>
              <w:rPr>
                <w:sz w:val="20"/>
              </w:rPr>
              <w:t>• Business units sales, service, training and safety each want their own pilot.</w:t>
            </w:r>
          </w:p>
        </w:tc>
        <w:tc>
          <w:tcPr>
            <w:tcW w:type="dxa" w:w="2210"/>
          </w:tcPr>
          <w:p>
            <w:pPr>
              <w:spacing w:before="0" w:after="0"/>
            </w:pPr>
            <w:r>
              <w:rPr>
                <w:sz w:val="20"/>
              </w:rPr>
              <w:t>• Which idea creates the most value: nobody has compared them.</w:t>
            </w:r>
            <w:r>
              <w:br/>
            </w:r>
            <w:r>
              <w:rPr>
                <w:sz w:val="20"/>
              </w:rPr>
              <w:t>• How technicians and trainees accept headsets: never tested.</w:t>
            </w:r>
            <w:r>
              <w:br/>
            </w:r>
            <w:r>
              <w:rPr>
                <w:sz w:val="20"/>
              </w:rPr>
              <w:t>• How much of the €220,000 each pilot would take: the plan does not say.</w:t>
            </w:r>
            <w:r>
              <w:br/>
            </w:r>
            <w:r>
              <w:rPr>
                <w:sz w:val="20"/>
              </w:rPr>
              <w:t>• Whether any pilot would scale beyond one site: unknown.</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BuildVision's AR overlays at the device, spatial procedures instead of a PDF, remote expert support, users impressed but overwhelmed in stress, technology unstable in some environments, use cases partly demonstrative; HealthSpace's three approaches (A strongly immersive with high effort, B single elements for defined situations, C classic UX with monitoring and later pilots), innovative but trustworthy and economic, a limited budget, a heterogeneous and not tech-savvy group, pilots in 6 months, hardly any data, management against departments; IndustryXR's unclear value, unprioritised pilots, divergent goals, unassessed risks, an unclear link between fascination and relevance and no roadmap, €220,000, 16 weeks, no full integration, several business units, hardly any test data, first visible steps wanted soon. Those are the plan's facts and its only figures. Everything else is made up for this exercise: the agency, the pages, the 3D scene and the facts marked “Clear”.</w:t>
            </w:r>
          </w:p>
        </w:tc>
      </w:tr>
    </w:tbl>
    <w:p>
      <w:pPr>
        <w:spacing w:before="0" w:after="80"/>
      </w:pPr>
    </w:p>
    <w:p>
      <w:pPr>
        <w:pStyle w:val="Heading1"/>
        <w:pBdr>
          <w:bottom w:val="single" w:sz="8" w:space="2" w:color="17212E"/>
        </w:pBdr>
      </w:pPr>
      <w:r>
        <w:rPr/>
        <w:t>Part 1 · Analyse an immersive scenario, and weigh innovation approaches · Level 1 · Knowledge</w:t>
      </w:r>
    </w:p>
    <w:p>
      <w:pPr>
        <w:pStyle w:val="Heading2"/>
      </w:pPr>
      <w:r>
        <w:rPr/>
        <w:t>Block 1.1 · Analyse immersive potentials and risks of a future scenario: BuildVision · JUDGED · Core · about 10 min</w:t>
      </w:r>
    </w:p>
    <w:p>
      <w:pPr>
        <w:spacing w:before="0" w:after="100"/>
      </w:pPr>
      <w:r>
        <w:rPr>
          <w:b/>
        </w:rPr>
        <w:t>Draws on:</w:t>
      </w:r>
      <w:r>
        <w:rPr/>
        <w:t xml:space="preserve"> A1 · From screen to space · A2 · Presence, attention and load · A3 · Intensify or overwhelm · A4 · Fascination or impact.</w:t>
      </w:r>
    </w:p>
    <w:p>
      <w:pPr>
        <w:spacing w:before="0" w:after="100"/>
      </w:pPr>
      <w:r>
        <w:rPr/>
        <w:t>You receive the description of a fictional platform, BuildVision, for planning, training and remote support in technical service. Open it: a real 3D service device you can turn, with AR overlays of the maintenance steps. Compare the overlays with the PDF checklist, switch on the remote expert, then try it in a stressful situation and with a weak connection. You need no prior knowledge: notice what really helps you at the device and what only impresses. The aim is to analyse immersive technology not only as innovation, but as a system of effects with a logic of benefit and risk.</w:t>
      </w:r>
    </w:p>
    <w:p>
      <w:pPr>
        <w:keepNext/>
        <w:spacing w:before="80" w:after="40"/>
        <w:jc w:val="center"/>
      </w:pPr>
      <w:r>
        <w:drawing>
          <wp:inline xmlns:a="http://schemas.openxmlformats.org/drawingml/2006/main" xmlns:pic="http://schemas.openxmlformats.org/drawingml/2006/picture">
            <wp:extent cx="5940000" cy="1940792"/>
            <wp:docPr id="1" name="Picture 1"/>
            <wp:cNvGraphicFramePr>
              <a:graphicFrameLocks noChangeAspect="1"/>
            </wp:cNvGraphicFramePr>
            <a:graphic>
              <a:graphicData uri="http://schemas.openxmlformats.org/drawingml/2006/picture">
                <pic:pic>
                  <pic:nvPicPr>
                    <pic:cNvPr id="0" name="d14_b1-1_0-0663515da3ed.png"/>
                    <pic:cNvPicPr/>
                  </pic:nvPicPr>
                  <pic:blipFill>
                    <a:blip r:embed="rId10"/>
                    <a:stretch>
                      <a:fillRect/>
                    </a:stretch>
                  </pic:blipFill>
                  <pic:spPr>
                    <a:xfrm>
                      <a:off x="0" y="0"/>
                      <a:ext cx="5940000" cy="1940792"/>
                    </a:xfrm>
                    <a:prstGeom prst="rect"/>
                  </pic:spPr>
                </pic:pic>
              </a:graphicData>
            </a:graphic>
          </wp:inline>
        </w:drawing>
      </w:r>
    </w:p>
    <w:p>
      <w:pPr>
        <w:spacing w:before="0" w:after="160"/>
        <w:jc w:val="center"/>
      </w:pPr>
      <w:r>
        <w:rPr>
          <w:i/>
          <w:color w:val="556274"/>
          <w:sz w:val="18"/>
        </w:rPr>
        <w:t>Figure 1 · The product to read, as the lab shows it (buildvision).</w:t>
      </w:r>
    </w:p>
    <w:p>
      <w:pPr>
        <w:spacing w:before="0" w:after="100"/>
      </w:pPr>
      <w:r>
        <w:rPr>
          <w:b/>
        </w:rPr>
        <w:t>Question 1 of 5 · Describe spontaneously which chances and risks this scenario could have from the user's and the company's point of view</w:t>
      </w:r>
    </w:p>
    <w:p>
      <w:pPr>
        <w:spacing w:before="0" w:after="100"/>
      </w:pPr>
      <w:r>
        <w:rPr/>
        <w:t>Two to four sentences: for the technician and for the company, what helps and what worries you, and why.</w:t>
      </w:r>
    </w:p>
    <w:p>
      <w:pPr>
        <w:spacing w:before="0" w:after="100"/>
      </w:pPr>
      <w:r>
        <w:rPr>
          <w:i/>
        </w:rPr>
        <w:t>How to build the answer:</w:t>
      </w:r>
    </w:p>
    <w:p>
      <w:pPr>
        <w:pStyle w:val="ListBullet"/>
        <w:spacing w:before="0" w:after="40"/>
      </w:pPr>
      <w:r>
        <w:rPr/>
        <w:t>Open BuildVision, turn the device and compare the AR steps with the PDF checklist.</w:t>
      </w:r>
    </w:p>
    <w:p>
      <w:pPr>
        <w:pStyle w:val="ListBullet"/>
        <w:spacing w:before="0" w:after="40"/>
      </w:pPr>
      <w:r>
        <w:rPr/>
        <w:t>Switch on the remote expert, then the stressful situation and the weak connection.</w:t>
      </w:r>
    </w:p>
    <w:p>
      <w:pPr>
        <w:pStyle w:val="ListBullet"/>
        <w:spacing w:before="0" w:after="100"/>
      </w:pPr>
      <w:r>
        <w:rPr/>
        <w:t>Write what helps and what worries, for the technician and for the company.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Name at least 5 places where immersive technology creates real value or potential overload</w:t>
      </w:r>
    </w:p>
    <w:p>
      <w:pPr>
        <w:spacing w:before="0" w:after="100"/>
      </w:pPr>
      <w:r>
        <w:rPr>
          <w:i/>
        </w:rPr>
        <w:t>How to build the answer:</w:t>
      </w:r>
    </w:p>
    <w:p>
      <w:pPr>
        <w:pStyle w:val="ListBullet"/>
        <w:spacing w:before="0" w:after="40"/>
      </w:pPr>
      <w:r>
        <w:rPr/>
        <w:t>Go through your visit: the AR steps, the PDF, the remote expert, the stressful situation, the weak connection, the 3D show view.</w:t>
      </w:r>
    </w:p>
    <w:p>
      <w:pPr>
        <w:pStyle w:val="ListBullet"/>
        <w:spacing w:before="0" w:after="100"/>
      </w:pPr>
      <w:r>
        <w:rPr/>
        <w:t>For each place, say whether it creates value or overload, and why.</w:t>
      </w:r>
    </w:p>
    <w:p>
      <w:pPr>
        <w:spacing w:before="0" w:after="100"/>
      </w:pPr>
      <w:r>
        <w:rPr/>
        <w:t>Write them as a list, one place per line, and say whether it creates value or overload, and why.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3 of 5 · Assign the observations to the categories user value, orientation, load, maturity, acceptance and feasibility</w:t>
      </w:r>
    </w:p>
    <w:p>
      <w:pPr>
        <w:spacing w:before="0" w:after="100"/>
      </w:pPr>
      <w:r>
        <w:rPr/>
        <w:t>Write the observations that belong to each category in a few words. One may fit two; put it where its effect is strongest.</w:t>
      </w:r>
    </w:p>
    <w:p>
      <w:pPr>
        <w:spacing w:before="0" w:after="100"/>
      </w:pPr>
      <w:r>
        <w:rPr>
          <w:i/>
        </w:rPr>
        <w:t>How to build the answer:</w:t>
      </w:r>
    </w:p>
    <w:p>
      <w:pPr>
        <w:pStyle w:val="ListBullet"/>
        <w:spacing w:before="0" w:after="40"/>
      </w:pPr>
      <w:r>
        <w:rPr/>
        <w:t>Take your places from question 2.</w:t>
      </w:r>
    </w:p>
    <w:p>
      <w:pPr>
        <w:pStyle w:val="ListBullet"/>
        <w:spacing w:before="0" w:after="100"/>
      </w:pPr>
      <w:r>
        <w:rPr/>
        <w:t>Ask which of the six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39"/>
        <w:gridCol w:w="5599"/>
      </w:tblGrid>
      <w:tr>
        <w:trPr>
          <w:cantSplit/>
          <w:tblHeader/>
        </w:trPr>
        <w:tc>
          <w:tcPr>
            <w:tcW w:type="dxa" w:w="4039"/>
            <w:shd w:val="clear" w:color="auto" w:fill="E6ECF4"/>
          </w:tcPr>
          <w:p>
            <w:pPr>
              <w:spacing w:before="0" w:after="0"/>
            </w:pPr>
            <w:r>
              <w:rPr>
                <w:b/>
                <w:sz w:val="20"/>
              </w:rPr>
              <w:t>Category</w:t>
            </w:r>
          </w:p>
        </w:tc>
        <w:tc>
          <w:tcPr>
            <w:tcW w:type="dxa" w:w="5599"/>
            <w:shd w:val="clear" w:color="auto" w:fill="E6ECF4"/>
          </w:tcPr>
          <w:p>
            <w:pPr>
              <w:spacing w:before="0" w:after="0"/>
            </w:pPr>
            <w:r>
              <w:rPr>
                <w:b/>
                <w:sz w:val="20"/>
              </w:rPr>
              <w:t>The observations in this category</w:t>
            </w:r>
          </w:p>
        </w:tc>
      </w:tr>
      <w:tr>
        <w:trPr>
          <w:cantSplit/>
          <w:trHeight w:val="538" w:hRule="atLeast"/>
        </w:trPr>
        <w:tc>
          <w:tcPr>
            <w:tcW w:type="dxa" w:w="4039"/>
          </w:tcPr>
          <w:p>
            <w:pPr>
              <w:spacing w:before="0" w:after="0"/>
            </w:pPr>
            <w:r>
              <w:rPr>
                <w:sz w:val="20"/>
              </w:rPr>
              <w:t>User value</w:t>
            </w:r>
          </w:p>
        </w:tc>
        <w:tc>
          <w:tcPr>
            <w:tcW w:type="dxa" w:w="5599"/>
          </w:tcPr>
          <w:p/>
        </w:tc>
      </w:tr>
      <w:tr>
        <w:trPr>
          <w:cantSplit/>
          <w:trHeight w:val="538" w:hRule="atLeast"/>
        </w:trPr>
        <w:tc>
          <w:tcPr>
            <w:tcW w:type="dxa" w:w="4039"/>
          </w:tcPr>
          <w:p>
            <w:pPr>
              <w:spacing w:before="0" w:after="0"/>
            </w:pPr>
            <w:r>
              <w:rPr>
                <w:sz w:val="20"/>
              </w:rPr>
              <w:t>Orientation</w:t>
            </w:r>
          </w:p>
        </w:tc>
        <w:tc>
          <w:tcPr>
            <w:tcW w:type="dxa" w:w="5599"/>
          </w:tcPr>
          <w:p/>
        </w:tc>
      </w:tr>
      <w:tr>
        <w:trPr>
          <w:cantSplit/>
          <w:trHeight w:val="538" w:hRule="atLeast"/>
        </w:trPr>
        <w:tc>
          <w:tcPr>
            <w:tcW w:type="dxa" w:w="4039"/>
          </w:tcPr>
          <w:p>
            <w:pPr>
              <w:spacing w:before="0" w:after="0"/>
            </w:pPr>
            <w:r>
              <w:rPr>
                <w:sz w:val="20"/>
              </w:rPr>
              <w:t>Load</w:t>
            </w:r>
          </w:p>
        </w:tc>
        <w:tc>
          <w:tcPr>
            <w:tcW w:type="dxa" w:w="5599"/>
          </w:tcPr>
          <w:p/>
        </w:tc>
      </w:tr>
      <w:tr>
        <w:trPr>
          <w:cantSplit/>
          <w:trHeight w:val="538" w:hRule="atLeast"/>
        </w:trPr>
        <w:tc>
          <w:tcPr>
            <w:tcW w:type="dxa" w:w="4039"/>
          </w:tcPr>
          <w:p>
            <w:pPr>
              <w:spacing w:before="0" w:after="0"/>
            </w:pPr>
            <w:r>
              <w:rPr>
                <w:sz w:val="20"/>
              </w:rPr>
              <w:t>Maturity</w:t>
            </w:r>
          </w:p>
        </w:tc>
        <w:tc>
          <w:tcPr>
            <w:tcW w:type="dxa" w:w="5599"/>
          </w:tcPr>
          <w:p/>
        </w:tc>
      </w:tr>
      <w:tr>
        <w:trPr>
          <w:cantSplit/>
          <w:trHeight w:val="538" w:hRule="atLeast"/>
        </w:trPr>
        <w:tc>
          <w:tcPr>
            <w:tcW w:type="dxa" w:w="4039"/>
          </w:tcPr>
          <w:p>
            <w:pPr>
              <w:spacing w:before="0" w:after="0"/>
            </w:pPr>
            <w:r>
              <w:rPr>
                <w:sz w:val="20"/>
              </w:rPr>
              <w:t>Acceptance</w:t>
            </w:r>
          </w:p>
        </w:tc>
        <w:tc>
          <w:tcPr>
            <w:tcW w:type="dxa" w:w="5599"/>
          </w:tcPr>
          <w:p/>
        </w:tc>
      </w:tr>
      <w:tr>
        <w:trPr>
          <w:cantSplit/>
          <w:trHeight w:val="538" w:hRule="atLeast"/>
        </w:trPr>
        <w:tc>
          <w:tcPr>
            <w:tcW w:type="dxa" w:w="4039"/>
          </w:tcPr>
          <w:p>
            <w:pPr>
              <w:spacing w:before="0" w:after="0"/>
            </w:pPr>
            <w:r>
              <w:rPr>
                <w:sz w:val="20"/>
              </w:rPr>
              <w:t>Feasibility</w:t>
            </w:r>
          </w:p>
        </w:tc>
        <w:tc>
          <w:tcPr>
            <w:tcW w:type="dxa" w:w="5599"/>
          </w:tcPr>
          <w:p/>
        </w:tc>
      </w:tr>
    </w:tbl>
    <w:p>
      <w:pPr>
        <w:spacing w:before="0" w:after="80"/>
      </w:pPr>
    </w:p>
    <w:p>
      <w:pPr>
        <w:spacing w:before="0" w:after="100"/>
      </w:pPr>
      <w:r>
        <w:rPr>
          <w:b/>
        </w:rPr>
        <w:t>Question 4 of 5 · Write an effect statement for three points: “For users or the organisation this could mean that …”</w:t>
      </w:r>
    </w:p>
    <w:p>
      <w:pPr>
        <w:spacing w:before="0" w:after="100"/>
      </w:pPr>
      <w:r>
        <w:rPr>
          <w:i/>
        </w:rPr>
        <w:t>How to build the answer:</w:t>
      </w:r>
    </w:p>
    <w:p>
      <w:pPr>
        <w:pStyle w:val="ListBullet"/>
        <w:spacing w:before="0" w:after="40"/>
      </w:pPr>
      <w:r>
        <w:rPr/>
        <w:t>Pick three places from question 2.</w:t>
      </w:r>
    </w:p>
    <w:p>
      <w:pPr>
        <w:pStyle w:val="ListBullet"/>
        <w:spacing w:before="0" w:after="100"/>
      </w:pPr>
      <w:r>
        <w:rPr/>
        <w:t>Finish the plan's sentence with what users or the organisation would feel, do or fail to do.</w:t>
      </w:r>
    </w:p>
    <w:p>
      <w:pPr>
        <w:spacing w:before="0" w:after="100"/>
      </w:pPr>
      <w:r>
        <w:rPr/>
        <w:t>Write them as a list, one statement per line, each starting with the observation and ending with what it could mean for users or the organisation.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biggest chances and the two biggest risks of the scenario</w:t>
      </w:r>
    </w:p>
    <w:p>
      <w:pPr>
        <w:spacing w:before="0" w:after="100"/>
      </w:pPr>
      <w:r>
        <w:rPr>
          <w:i/>
        </w:rPr>
        <w:t>How to build the answer:</w:t>
      </w:r>
    </w:p>
    <w:p>
      <w:pPr>
        <w:pStyle w:val="ListBullet"/>
        <w:spacing w:before="0" w:after="40"/>
      </w:pPr>
      <w:r>
        <w:rPr/>
        <w:t>Look at your places with two questions: what helps most technicians most, and what could do the most harm?</w:t>
      </w:r>
    </w:p>
    <w:p>
      <w:pPr>
        <w:pStyle w:val="ListBullet"/>
        <w:spacing w:before="0" w:after="100"/>
      </w:pPr>
      <w:r>
        <w:rPr/>
        <w:t>Write the two chances first, then the two risks, each with why.</w:t>
      </w:r>
    </w:p>
    <w:p>
      <w:pPr>
        <w:spacing w:before="0" w:after="100"/>
      </w:pPr>
      <w:r>
        <w:rPr/>
        <w:t>Write four lines: chance 1, chance 2, risk 1, risk 2, each with why it weighs most.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pStyle w:val="Heading2"/>
      </w:pPr>
      <w:r>
        <w:rPr/>
        <w:t>Block 1.2 · Rate future technologies in UX design under conflicting goals: HealthSpace · JUDGED · Core · about 8 min</w:t>
      </w:r>
    </w:p>
    <w:p>
      <w:pPr>
        <w:spacing w:before="0" w:after="100"/>
      </w:pPr>
      <w:r>
        <w:rPr>
          <w:b/>
        </w:rPr>
        <w:t>Draws on:</w:t>
      </w:r>
      <w:r>
        <w:rPr/>
        <w:t xml:space="preserve"> A3 · Intensify or overwhelm · A4 · Fascination or impact · A5 · Ethics and responsibility, and weighing a measure.</w:t>
      </w:r>
    </w:p>
    <w:p>
      <w:pPr>
        <w:spacing w:before="0" w:after="100"/>
      </w:pPr>
      <w:r>
        <w:rPr/>
        <w:t>HealthSpace is a platform in health and prevention. Three innovation approaches are described in words: A) a strongly immersive application with AR and VR components for counselling, training and motivation, but a high technical and organisational effort; B) targeted use of single immersive elements for clearly defined situations, with high practical relevance and a controllable scope; C) classic UX for now, with preparatory technology monitoring and later piloting. The conditions: the company wants to act innovatively but trustworthily and economically, the budget for future projects is limited, the target group is heterogeneous and not always tech-savvy, first pilot solutions can be released in 6 months, there is hardly any real user data on immersive formats yet, and the management wants visible innovation signals while the departments want robust value. Decide anyway, and say what you assume.</w:t>
      </w:r>
    </w:p>
    <w:p>
      <w:pPr>
        <w:keepNext/>
        <w:spacing w:before="80" w:after="40"/>
        <w:jc w:val="center"/>
      </w:pPr>
      <w:r>
        <w:drawing>
          <wp:inline xmlns:a="http://schemas.openxmlformats.org/drawingml/2006/main" xmlns:pic="http://schemas.openxmlformats.org/drawingml/2006/picture">
            <wp:extent cx="5940000" cy="2121149"/>
            <wp:docPr id="2" name="Picture 2"/>
            <wp:cNvGraphicFramePr>
              <a:graphicFrameLocks noChangeAspect="1"/>
            </wp:cNvGraphicFramePr>
            <a:graphic>
              <a:graphicData uri="http://schemas.openxmlformats.org/drawingml/2006/picture">
                <pic:pic>
                  <pic:nvPicPr>
                    <pic:cNvPr id="0" name="d14_b1-2_0-399102322e5e.png"/>
                    <pic:cNvPicPr/>
                  </pic:nvPicPr>
                  <pic:blipFill>
                    <a:blip r:embed="rId11"/>
                    <a:stretch>
                      <a:fillRect/>
                    </a:stretch>
                  </pic:blipFill>
                  <pic:spPr>
                    <a:xfrm>
                      <a:off x="0" y="0"/>
                      <a:ext cx="5940000" cy="2121149"/>
                    </a:xfrm>
                    <a:prstGeom prst="rect"/>
                  </pic:spPr>
                </pic:pic>
              </a:graphicData>
            </a:graphic>
          </wp:inline>
        </w:drawing>
      </w:r>
    </w:p>
    <w:p>
      <w:pPr>
        <w:spacing w:before="0" w:after="160"/>
        <w:jc w:val="center"/>
      </w:pPr>
      <w:r>
        <w:rPr>
          <w:i/>
          <w:color w:val="556274"/>
          <w:sz w:val="18"/>
        </w:rPr>
        <w:t>Figure 2 · The product to read, as the lab shows it (designs).</w:t>
      </w:r>
    </w:p>
    <w:p>
      <w:pPr>
        <w:spacing w:before="0" w:after="100"/>
      </w:pPr>
      <w:r>
        <w:rPr>
          <w:b/>
        </w:rPr>
        <w:t>Question 1 of 5 · Rate each variant on user value, degree of innovation, maturity, acceptance, risk and economic viability</w:t>
      </w:r>
    </w:p>
    <w:p>
      <w:pPr>
        <w:spacing w:before="0" w:after="100"/>
      </w:pPr>
      <w:r>
        <w:rPr/>
        <w:t>Write a few sentences for each variant that cover all six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the conditions in mind: a heterogeneous group, 6 months, hardly any user data.</w:t>
      </w:r>
    </w:p>
    <w:p>
      <w:pPr>
        <w:pStyle w:val="ListBullet"/>
        <w:spacing w:before="0" w:after="40"/>
      </w:pPr>
      <w:r>
        <w:rPr/>
        <w:t>For each criterion, say how the variant does and why.</w:t>
      </w:r>
    </w:p>
    <w:p>
      <w:pPr>
        <w:pStyle w:val="ListBullet"/>
        <w:spacing w:before="0" w:after="100"/>
      </w:pPr>
      <w:r>
        <w:rPr/>
        <w:t>Use the same six criteria for every variant.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284"/>
        <w:gridCol w:w="1392"/>
        <w:gridCol w:w="1392"/>
        <w:gridCol w:w="1392"/>
        <w:gridCol w:w="1392"/>
        <w:gridCol w:w="1392"/>
        <w:gridCol w:w="1394"/>
      </w:tblGrid>
      <w:tr>
        <w:trPr>
          <w:cantSplit/>
          <w:tblHeader/>
        </w:trPr>
        <w:tc>
          <w:tcPr>
            <w:tcW w:type="dxa" w:w="1284"/>
            <w:shd w:val="clear" w:color="auto" w:fill="E6ECF4"/>
          </w:tcPr>
          <w:p>
            <w:pPr>
              <w:spacing w:before="0" w:after="0"/>
            </w:pPr>
            <w:r>
              <w:rPr>
                <w:b/>
                <w:sz w:val="19"/>
              </w:rPr>
              <w:t>Variant</w:t>
            </w:r>
          </w:p>
        </w:tc>
        <w:tc>
          <w:tcPr>
            <w:tcW w:type="dxa" w:w="1392"/>
            <w:shd w:val="clear" w:color="auto" w:fill="E6ECF4"/>
          </w:tcPr>
          <w:p>
            <w:pPr>
              <w:spacing w:before="0" w:after="0"/>
            </w:pPr>
            <w:r>
              <w:rPr>
                <w:b/>
                <w:sz w:val="19"/>
              </w:rPr>
              <w:t>User value</w:t>
            </w:r>
          </w:p>
        </w:tc>
        <w:tc>
          <w:tcPr>
            <w:tcW w:type="dxa" w:w="1392"/>
            <w:shd w:val="clear" w:color="auto" w:fill="E6ECF4"/>
          </w:tcPr>
          <w:p>
            <w:pPr>
              <w:spacing w:before="0" w:after="0"/>
            </w:pPr>
            <w:r>
              <w:rPr>
                <w:b/>
                <w:sz w:val="19"/>
              </w:rPr>
              <w:t>Degree of innovation</w:t>
            </w:r>
          </w:p>
        </w:tc>
        <w:tc>
          <w:tcPr>
            <w:tcW w:type="dxa" w:w="1392"/>
            <w:shd w:val="clear" w:color="auto" w:fill="E6ECF4"/>
          </w:tcPr>
          <w:p>
            <w:pPr>
              <w:spacing w:before="0" w:after="0"/>
            </w:pPr>
            <w:r>
              <w:rPr>
                <w:b/>
                <w:sz w:val="19"/>
              </w:rPr>
              <w:t>Maturity</w:t>
            </w:r>
          </w:p>
        </w:tc>
        <w:tc>
          <w:tcPr>
            <w:tcW w:type="dxa" w:w="1392"/>
            <w:shd w:val="clear" w:color="auto" w:fill="E6ECF4"/>
          </w:tcPr>
          <w:p>
            <w:pPr>
              <w:spacing w:before="0" w:after="0"/>
            </w:pPr>
            <w:r>
              <w:rPr>
                <w:b/>
                <w:sz w:val="19"/>
              </w:rPr>
              <w:t>Acceptance</w:t>
            </w:r>
          </w:p>
        </w:tc>
        <w:tc>
          <w:tcPr>
            <w:tcW w:type="dxa" w:w="1392"/>
            <w:shd w:val="clear" w:color="auto" w:fill="E6ECF4"/>
          </w:tcPr>
          <w:p>
            <w:pPr>
              <w:spacing w:before="0" w:after="0"/>
            </w:pPr>
            <w:r>
              <w:rPr>
                <w:b/>
                <w:sz w:val="19"/>
              </w:rPr>
              <w:t>Risk</w:t>
            </w:r>
          </w:p>
        </w:tc>
        <w:tc>
          <w:tcPr>
            <w:tcW w:type="dxa" w:w="1394"/>
            <w:shd w:val="clear" w:color="auto" w:fill="E6ECF4"/>
          </w:tcPr>
          <w:p>
            <w:pPr>
              <w:spacing w:before="0" w:after="0"/>
            </w:pPr>
            <w:r>
              <w:rPr>
                <w:b/>
                <w:sz w:val="19"/>
              </w:rPr>
              <w:t>Economic viability</w:t>
            </w:r>
          </w:p>
        </w:tc>
      </w:tr>
      <w:tr>
        <w:trPr>
          <w:cantSplit/>
          <w:trHeight w:val="538" w:hRule="atLeast"/>
          <w:trHeight w:val="538" w:hRule="atLeast"/>
          <w:trHeight w:val="538" w:hRule="atLeast"/>
          <w:trHeight w:val="538" w:hRule="atLeast"/>
          <w:trHeight w:val="538" w:hRule="atLeast"/>
          <w:trHeight w:val="538" w:hRule="atLeast"/>
        </w:trPr>
        <w:tc>
          <w:tcPr>
            <w:tcW w:type="dxa" w:w="1284"/>
          </w:tcPr>
          <w:p>
            <w:pPr>
              <w:spacing w:before="0" w:after="0"/>
            </w:pPr>
            <w:r>
              <w:rPr>
                <w:sz w:val="19"/>
              </w:rPr>
              <w:t>Variant A · strongly immersive, AR and VR</w:t>
            </w:r>
          </w:p>
        </w:tc>
        <w:tc>
          <w:tcPr>
            <w:tcW w:type="dxa" w:w="1392"/>
          </w:tcPr>
          <w:p/>
        </w:tc>
        <w:tc>
          <w:tcPr>
            <w:tcW w:type="dxa" w:w="1392"/>
          </w:tcPr>
          <w:p/>
        </w:tc>
        <w:tc>
          <w:tcPr>
            <w:tcW w:type="dxa" w:w="1392"/>
          </w:tcPr>
          <w:p/>
        </w:tc>
        <w:tc>
          <w:tcPr>
            <w:tcW w:type="dxa" w:w="1392"/>
          </w:tcPr>
          <w:p/>
        </w:tc>
        <w:tc>
          <w:tcPr>
            <w:tcW w:type="dxa" w:w="1392"/>
          </w:tcPr>
          <w:p/>
        </w:tc>
        <w:tc>
          <w:tcPr>
            <w:tcW w:type="dxa" w:w="1394"/>
          </w:tcPr>
          <w:p/>
        </w:tc>
      </w:tr>
      <w:tr>
        <w:trPr>
          <w:cantSplit/>
          <w:trHeight w:val="538" w:hRule="atLeast"/>
          <w:trHeight w:val="538" w:hRule="atLeast"/>
          <w:trHeight w:val="538" w:hRule="atLeast"/>
          <w:trHeight w:val="538" w:hRule="atLeast"/>
          <w:trHeight w:val="538" w:hRule="atLeast"/>
          <w:trHeight w:val="538" w:hRule="atLeast"/>
        </w:trPr>
        <w:tc>
          <w:tcPr>
            <w:tcW w:type="dxa" w:w="1284"/>
          </w:tcPr>
          <w:p>
            <w:pPr>
              <w:spacing w:before="0" w:after="0"/>
            </w:pPr>
            <w:r>
              <w:rPr>
                <w:sz w:val="19"/>
              </w:rPr>
              <w:t>Variant B · single immersive elements, defined situations</w:t>
            </w:r>
          </w:p>
        </w:tc>
        <w:tc>
          <w:tcPr>
            <w:tcW w:type="dxa" w:w="1392"/>
          </w:tcPr>
          <w:p/>
        </w:tc>
        <w:tc>
          <w:tcPr>
            <w:tcW w:type="dxa" w:w="1392"/>
          </w:tcPr>
          <w:p/>
        </w:tc>
        <w:tc>
          <w:tcPr>
            <w:tcW w:type="dxa" w:w="1392"/>
          </w:tcPr>
          <w:p/>
        </w:tc>
        <w:tc>
          <w:tcPr>
            <w:tcW w:type="dxa" w:w="1392"/>
          </w:tcPr>
          <w:p/>
        </w:tc>
        <w:tc>
          <w:tcPr>
            <w:tcW w:type="dxa" w:w="1392"/>
          </w:tcPr>
          <w:p/>
        </w:tc>
        <w:tc>
          <w:tcPr>
            <w:tcW w:type="dxa" w:w="1394"/>
          </w:tcPr>
          <w:p/>
        </w:tc>
      </w:tr>
      <w:tr>
        <w:trPr>
          <w:cantSplit/>
          <w:trHeight w:val="538" w:hRule="atLeast"/>
          <w:trHeight w:val="538" w:hRule="atLeast"/>
          <w:trHeight w:val="538" w:hRule="atLeast"/>
          <w:trHeight w:val="538" w:hRule="atLeast"/>
          <w:trHeight w:val="538" w:hRule="atLeast"/>
          <w:trHeight w:val="538" w:hRule="atLeast"/>
        </w:trPr>
        <w:tc>
          <w:tcPr>
            <w:tcW w:type="dxa" w:w="1284"/>
          </w:tcPr>
          <w:p>
            <w:pPr>
              <w:spacing w:before="0" w:after="0"/>
            </w:pPr>
            <w:r>
              <w:rPr>
                <w:sz w:val="19"/>
              </w:rPr>
              <w:t>Variant C · classic UX, monitoring, later pilots</w:t>
            </w:r>
          </w:p>
        </w:tc>
        <w:tc>
          <w:tcPr>
            <w:tcW w:type="dxa" w:w="1392"/>
          </w:tcPr>
          <w:p/>
        </w:tc>
        <w:tc>
          <w:tcPr>
            <w:tcW w:type="dxa" w:w="1392"/>
          </w:tcPr>
          <w:p/>
        </w:tc>
        <w:tc>
          <w:tcPr>
            <w:tcW w:type="dxa" w:w="1392"/>
          </w:tcPr>
          <w:p/>
        </w:tc>
        <w:tc>
          <w:tcPr>
            <w:tcW w:type="dxa" w:w="1392"/>
          </w:tcPr>
          <w:p/>
        </w:tc>
        <w:tc>
          <w:tcPr>
            <w:tcW w:type="dxa" w:w="1392"/>
          </w:tcPr>
          <w:p/>
        </w:tc>
        <w:tc>
          <w:tcPr>
            <w:tcW w:type="dxa" w:w="1394"/>
          </w:tcPr>
          <w:p/>
        </w:tc>
      </w:tr>
    </w:tbl>
    <w:p>
      <w:pPr>
        <w:spacing w:before="0" w:after="80"/>
      </w:pPr>
    </w:p>
    <w:p>
      <w:pPr>
        <w:spacing w:before="0" w:after="100"/>
      </w:pPr>
      <w:r>
        <w:rPr>
          <w:b/>
        </w:rPr>
        <w:t>Question 2 of 5 · Decide which variant is the most viable under the given conditions</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condition weighs most for you.</w:t>
      </w:r>
    </w:p>
    <w:p>
      <w:pPr>
        <w:pStyle w:val="ListBullet"/>
        <w:spacing w:before="0" w:after="100"/>
      </w:pPr>
      <w:r>
        <w:rPr/>
        <w:t>Say how your choice meets it better than the other two.</w:t>
      </w:r>
    </w:p>
    <w:p>
      <w:pPr>
        <w:keepNext/>
        <w:spacing w:before="0" w:after="20"/>
      </w:pPr>
      <w:r>
        <w:rPr>
          <w:i/>
          <w:color w:val="556274"/>
          <w:sz w:val="19"/>
        </w:rPr>
        <w:t xml:space="preserve">Tick one:  </w:t>
      </w:r>
    </w:p>
    <w:p>
      <w:pPr>
        <w:spacing w:before="0" w:after="20"/>
        <w:ind w:left="340" w:hanging="340"/>
      </w:pPr>
      <w:r>
        <w:rPr/>
        <w:t>☐ Variant A · strongly immersive, AR and VR</w:t>
      </w:r>
    </w:p>
    <w:p>
      <w:pPr>
        <w:spacing w:before="0" w:after="20"/>
        <w:ind w:left="340" w:hanging="340"/>
      </w:pPr>
      <w:r>
        <w:rPr/>
        <w:t>☐ Variant B · single immersive elements, defined situations</w:t>
      </w:r>
    </w:p>
    <w:p>
      <w:pPr>
        <w:spacing w:before="0" w:after="120"/>
        <w:ind w:left="340" w:hanging="340"/>
      </w:pPr>
      <w:r>
        <w:rPr/>
        <w:t>☐ Variant C · classic UX, monitoring, later pilots</w:t>
      </w:r>
    </w:p>
    <w:p>
      <w:pPr>
        <w:spacing w:before="0" w:after="100"/>
      </w:pPr>
      <w:r>
        <w:rPr>
          <w:b/>
        </w:rPr>
        <w:t>Why this variant, under these conditions?</w:t>
      </w:r>
    </w:p>
    <w:p>
      <w:pPr>
        <w:spacing w:before="0" w:after="100"/>
      </w:pPr>
      <w:r>
        <w:rPr/>
        <w:t>Give your reason with the conditions: innovative but trustworthy and economic, a limited budget, a heterogeneous and not tech-savvy group, pilots in 6 months, hardly any user data, management against departments.</w:t>
      </w:r>
    </w:p>
    <w:p>
      <w:pPr>
        <w:spacing w:before="0" w:after="100"/>
      </w:pPr>
      <w:r>
        <w:rPr>
          <w:i/>
        </w:rPr>
        <w:t>How to build the answer:</w:t>
      </w:r>
    </w:p>
    <w:p>
      <w:pPr>
        <w:pStyle w:val="ListBullet"/>
        <w:spacing w:before="0" w:after="40"/>
      </w:pPr>
      <w:r>
        <w:rPr/>
        <w:t>Name the condition that weighs most for you.</w:t>
      </w:r>
    </w:p>
    <w:p>
      <w:pPr>
        <w:pStyle w:val="ListBullet"/>
        <w:spacing w:before="0" w:after="40"/>
      </w:pPr>
      <w:r>
        <w:rPr/>
        <w:t>Say how your variant meets it and why the other two meet it less well.</w:t>
      </w:r>
    </w:p>
    <w:p>
      <w:pPr>
        <w:pStyle w:val="ListBullet"/>
        <w:spacing w:before="0" w:after="100"/>
      </w:pPr>
      <w:r>
        <w:rPr/>
        <w:t>Say what your choice gives up and how you would deal with its weakness.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between visible innovation and responsible introduction</w:t>
      </w:r>
    </w:p>
    <w:p>
      <w:pPr>
        <w:spacing w:before="0" w:after="100"/>
      </w:pPr>
      <w:r>
        <w:rPr/>
        <w:t>Name at least two conflicts, each as one goal against another, and who stands for each side.</w:t>
      </w:r>
    </w:p>
    <w:p>
      <w:pPr>
        <w:spacing w:before="0" w:after="100"/>
      </w:pPr>
      <w:r>
        <w:rPr>
          <w:i/>
        </w:rPr>
        <w:t>How to build the answer:</w:t>
      </w:r>
    </w:p>
    <w:p>
      <w:pPr>
        <w:pStyle w:val="ListBullet"/>
        <w:spacing w:before="0" w:after="40"/>
      </w:pPr>
      <w:r>
        <w:rPr/>
        <w:t>Look at what visibility wants (an impressive signal, soon) and what responsibility needs (evidence, trust, inclusion, cost control).</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remain despite your decision?</w:t>
      </w:r>
    </w:p>
    <w:p>
      <w:pPr>
        <w:spacing w:before="0" w:after="100"/>
      </w:pPr>
      <w:r>
        <w:rPr/>
        <w:t>Name at least one risk that remains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recommendation to the project management</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management can follow.</w:t>
      </w:r>
    </w:p>
    <w:p>
      <w:pPr>
        <w:pStyle w:val="ListBullet"/>
        <w:spacing w:before="0" w:after="100"/>
      </w:pPr>
      <w:r>
        <w:rPr/>
        <w:t>Say what you will measure in the pilot.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a future strategy for the training and service offer IndustryXR · JUDGED · Core · about 15 min</w:t>
      </w:r>
    </w:p>
    <w:p>
      <w:pPr>
        <w:spacing w:before="0" w:after="100"/>
      </w:pPr>
      <w:r>
        <w:rPr>
          <w:b/>
        </w:rPr>
        <w:t>Draws on:</w:t>
      </w:r>
      <w:r>
        <w:rPr/>
        <w:t xml:space="preserve"> A1 · From screen to space · A2 · Presence, attention and load · A3 · Intensify or overwhelm · A4 · Fascination or impact · A5 · Ethics and responsibility, and weighing a measure.</w:t>
      </w:r>
    </w:p>
    <w:p>
      <w:pPr>
        <w:spacing w:before="0" w:after="100"/>
      </w:pPr>
      <w:r>
        <w:rPr/>
        <w:t>An industrial company plans to develop its training, maintenance and support processes with immersive technologies. AR instructions, VR training environments and neuroscience-informed UX concepts for better attention steering are being discussed. Inside there is enthusiasm for the technology, but robust experience of acceptance, economic viability and fit with existing processes is missing. The observed problems: it is unclear which use cases really offer immersive value; single pilot ideas are technically exciting but hardly prioritised by effect and benefit; stakeholders pursue divergent goals between innovation, safety, efficiency and cost control; usage risks such as overload, technical failures and acceptance problems have not been assessed enough; the link between technical fascination and strategic relevance is unclear; and there is no robust roadmap for introduction, testing and scaling. The conditions: a budget of €220,000 for the first phase, 16 weeks for piloting and decision preparation, full technological integration not possible in the short term, several business units that want to take part, hardly any data from real user tests, and first visible innovation steps the management wants to see soon. You work through six steps.</w:t>
      </w:r>
    </w:p>
    <w:p>
      <w:pPr>
        <w:keepNext/>
        <w:spacing w:before="80" w:after="40"/>
        <w:jc w:val="center"/>
      </w:pPr>
      <w:r>
        <w:drawing>
          <wp:inline xmlns:a="http://schemas.openxmlformats.org/drawingml/2006/main" xmlns:pic="http://schemas.openxmlformats.org/drawingml/2006/picture">
            <wp:extent cx="5940000" cy="2423050"/>
            <wp:docPr id="3" name="Picture 3"/>
            <wp:cNvGraphicFramePr>
              <a:graphicFrameLocks noChangeAspect="1"/>
            </wp:cNvGraphicFramePr>
            <a:graphic>
              <a:graphicData uri="http://schemas.openxmlformats.org/drawingml/2006/picture">
                <pic:pic>
                  <pic:nvPicPr>
                    <pic:cNvPr id="0" name="d14_b2-1_0-8dc6658217f6.png"/>
                    <pic:cNvPicPr/>
                  </pic:nvPicPr>
                  <pic:blipFill>
                    <a:blip r:embed="rId12"/>
                    <a:stretch>
                      <a:fillRect/>
                    </a:stretch>
                  </pic:blipFill>
                  <pic:spPr>
                    <a:xfrm>
                      <a:off x="0" y="0"/>
                      <a:ext cx="5940000" cy="2423050"/>
                    </a:xfrm>
                    <a:prstGeom prst="rect"/>
                  </pic:spPr>
                </pic:pic>
              </a:graphicData>
            </a:graphic>
          </wp:inline>
        </w:drawing>
      </w:r>
    </w:p>
    <w:p>
      <w:pPr>
        <w:spacing w:before="0" w:after="160"/>
        <w:jc w:val="center"/>
      </w:pPr>
      <w:r>
        <w:rPr>
          <w:i/>
          <w:color w:val="556274"/>
          <w:sz w:val="18"/>
        </w:rPr>
        <w:t>Figure 3 · The product to read, as the lab shows it (industryxr).</w:t>
      </w:r>
    </w:p>
    <w:p>
      <w:pPr>
        <w:spacing w:before="0" w:after="100"/>
      </w:pPr>
      <w:r>
        <w:rPr>
          <w:b/>
        </w:rPr>
        <w:t>Question 1 of 6 · Analyse the central chances and risks of the planned immersive development</w:t>
      </w:r>
    </w:p>
    <w:p>
      <w:pPr>
        <w:spacing w:before="0" w:after="100"/>
      </w:pPr>
      <w:r>
        <w:rPr>
          <w:i/>
        </w:rPr>
        <w:t>How to build the answer:</w:t>
      </w:r>
    </w:p>
    <w:p>
      <w:pPr>
        <w:pStyle w:val="ListBullet"/>
        <w:spacing w:before="0" w:after="40"/>
      </w:pPr>
      <w:r>
        <w:rPr/>
        <w:t>Open IndustryXR's pilot board and the VR training demo; read what each business unit wants.</w:t>
      </w:r>
    </w:p>
    <w:p>
      <w:pPr>
        <w:pStyle w:val="ListBullet"/>
        <w:spacing w:before="0" w:after="100"/>
      </w:pPr>
      <w:r>
        <w:rPr/>
        <w:t>Write one point per line: a chance or a risk, and what it does.</w:t>
      </w:r>
    </w:p>
    <w:p>
      <w:pPr>
        <w:spacing w:before="0" w:after="100"/>
      </w:pPr>
      <w:r>
        <w:rPr/>
        <w:t>Write them as a list, one point per line, each as a chance or a risk and what it does.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observations to the categories user value, maturity, acceptance, overload, economic viability and scalability</w:t>
      </w:r>
    </w:p>
    <w:p>
      <w:pPr>
        <w:spacing w:before="0" w:after="100"/>
      </w:pPr>
      <w:r>
        <w:rPr/>
        <w:t>Write the observations that belong to each category in a few words.</w:t>
      </w:r>
    </w:p>
    <w:p>
      <w:pPr>
        <w:spacing w:before="0" w:after="100"/>
      </w:pPr>
      <w:r>
        <w:rPr>
          <w:i/>
        </w:rPr>
        <w:t>How to build the answer:</w:t>
      </w:r>
    </w:p>
    <w:p>
      <w:pPr>
        <w:pStyle w:val="ListBullet"/>
        <w:spacing w:before="0" w:after="40"/>
      </w:pPr>
      <w:r>
        <w:rPr/>
        <w:t>Take your points from question 1.</w:t>
      </w:r>
    </w:p>
    <w:p>
      <w:pPr>
        <w:pStyle w:val="ListBullet"/>
        <w:spacing w:before="0" w:after="100"/>
      </w:pPr>
      <w:r>
        <w:rPr/>
        <w:t>Ask which category each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39"/>
        <w:gridCol w:w="5299"/>
      </w:tblGrid>
      <w:tr>
        <w:trPr>
          <w:cantSplit/>
          <w:tblHeader/>
        </w:trPr>
        <w:tc>
          <w:tcPr>
            <w:tcW w:type="dxa" w:w="4339"/>
            <w:shd w:val="clear" w:color="auto" w:fill="E6ECF4"/>
          </w:tcPr>
          <w:p>
            <w:pPr>
              <w:spacing w:before="0" w:after="0"/>
            </w:pPr>
            <w:r>
              <w:rPr>
                <w:b/>
                <w:sz w:val="20"/>
              </w:rPr>
              <w:t>Category</w:t>
            </w:r>
          </w:p>
        </w:tc>
        <w:tc>
          <w:tcPr>
            <w:tcW w:type="dxa" w:w="5299"/>
            <w:shd w:val="clear" w:color="auto" w:fill="E6ECF4"/>
          </w:tcPr>
          <w:p>
            <w:pPr>
              <w:spacing w:before="0" w:after="0"/>
            </w:pPr>
            <w:r>
              <w:rPr>
                <w:b/>
                <w:sz w:val="20"/>
              </w:rPr>
              <w:t>The observations in this category</w:t>
            </w:r>
          </w:p>
        </w:tc>
      </w:tr>
      <w:tr>
        <w:trPr>
          <w:cantSplit/>
          <w:trHeight w:val="538" w:hRule="atLeast"/>
        </w:trPr>
        <w:tc>
          <w:tcPr>
            <w:tcW w:type="dxa" w:w="4339"/>
          </w:tcPr>
          <w:p>
            <w:pPr>
              <w:spacing w:before="0" w:after="0"/>
            </w:pPr>
            <w:r>
              <w:rPr>
                <w:sz w:val="20"/>
              </w:rPr>
              <w:t>User value</w:t>
            </w:r>
          </w:p>
        </w:tc>
        <w:tc>
          <w:tcPr>
            <w:tcW w:type="dxa" w:w="5299"/>
          </w:tcPr>
          <w:p/>
        </w:tc>
      </w:tr>
      <w:tr>
        <w:trPr>
          <w:cantSplit/>
          <w:trHeight w:val="538" w:hRule="atLeast"/>
        </w:trPr>
        <w:tc>
          <w:tcPr>
            <w:tcW w:type="dxa" w:w="4339"/>
          </w:tcPr>
          <w:p>
            <w:pPr>
              <w:spacing w:before="0" w:after="0"/>
            </w:pPr>
            <w:r>
              <w:rPr>
                <w:sz w:val="20"/>
              </w:rPr>
              <w:t>Maturity</w:t>
            </w:r>
          </w:p>
        </w:tc>
        <w:tc>
          <w:tcPr>
            <w:tcW w:type="dxa" w:w="5299"/>
          </w:tcPr>
          <w:p/>
        </w:tc>
      </w:tr>
      <w:tr>
        <w:trPr>
          <w:cantSplit/>
          <w:trHeight w:val="538" w:hRule="atLeast"/>
        </w:trPr>
        <w:tc>
          <w:tcPr>
            <w:tcW w:type="dxa" w:w="4339"/>
          </w:tcPr>
          <w:p>
            <w:pPr>
              <w:spacing w:before="0" w:after="0"/>
            </w:pPr>
            <w:r>
              <w:rPr>
                <w:sz w:val="20"/>
              </w:rPr>
              <w:t>Acceptance</w:t>
            </w:r>
          </w:p>
        </w:tc>
        <w:tc>
          <w:tcPr>
            <w:tcW w:type="dxa" w:w="5299"/>
          </w:tcPr>
          <w:p/>
        </w:tc>
      </w:tr>
      <w:tr>
        <w:trPr>
          <w:cantSplit/>
          <w:trHeight w:val="538" w:hRule="atLeast"/>
        </w:trPr>
        <w:tc>
          <w:tcPr>
            <w:tcW w:type="dxa" w:w="4339"/>
          </w:tcPr>
          <w:p>
            <w:pPr>
              <w:spacing w:before="0" w:after="0"/>
            </w:pPr>
            <w:r>
              <w:rPr>
                <w:sz w:val="20"/>
              </w:rPr>
              <w:t>Overload</w:t>
            </w:r>
          </w:p>
        </w:tc>
        <w:tc>
          <w:tcPr>
            <w:tcW w:type="dxa" w:w="5299"/>
          </w:tcPr>
          <w:p/>
        </w:tc>
      </w:tr>
      <w:tr>
        <w:trPr>
          <w:cantSplit/>
          <w:trHeight w:val="538" w:hRule="atLeast"/>
        </w:trPr>
        <w:tc>
          <w:tcPr>
            <w:tcW w:type="dxa" w:w="4339"/>
          </w:tcPr>
          <w:p>
            <w:pPr>
              <w:spacing w:before="0" w:after="0"/>
            </w:pPr>
            <w:r>
              <w:rPr>
                <w:sz w:val="20"/>
              </w:rPr>
              <w:t>Economic viability</w:t>
            </w:r>
          </w:p>
        </w:tc>
        <w:tc>
          <w:tcPr>
            <w:tcW w:type="dxa" w:w="5299"/>
          </w:tcPr>
          <w:p/>
        </w:tc>
      </w:tr>
      <w:tr>
        <w:trPr>
          <w:cantSplit/>
          <w:trHeight w:val="538" w:hRule="atLeast"/>
        </w:trPr>
        <w:tc>
          <w:tcPr>
            <w:tcW w:type="dxa" w:w="4339"/>
          </w:tcPr>
          <w:p>
            <w:pPr>
              <w:spacing w:before="0" w:after="0"/>
            </w:pPr>
            <w:r>
              <w:rPr>
                <w:sz w:val="20"/>
              </w:rPr>
              <w:t>Scalability</w:t>
            </w:r>
          </w:p>
        </w:tc>
        <w:tc>
          <w:tcPr>
            <w:tcW w:type="dxa" w:w="5299"/>
          </w:tcPr>
          <w:p/>
        </w:tc>
      </w:tr>
    </w:tbl>
    <w:p>
      <w:pPr>
        <w:spacing w:before="0" w:after="80"/>
      </w:pPr>
    </w:p>
    <w:p>
      <w:pPr>
        <w:spacing w:before="0" w:after="100"/>
      </w:pPr>
      <w:r>
        <w:rPr>
          <w:b/>
        </w:rPr>
        <w:t>Question 3 of 6 · Develop 4 prioritised measures for a responsible pilot strategy</w:t>
      </w:r>
    </w:p>
    <w:p>
      <w:pPr>
        <w:spacing w:before="0" w:after="100"/>
      </w:pPr>
      <w:r>
        <w:rPr>
          <w:i/>
        </w:rPr>
        <w:t>How to build the answer:</w:t>
      </w:r>
    </w:p>
    <w:p>
      <w:pPr>
        <w:pStyle w:val="ListBullet"/>
        <w:spacing w:before="0" w:after="40"/>
      </w:pPr>
      <w:r>
        <w:rPr/>
        <w:t>Turn each group of problems into something you could do within 16 weeks and €220,000, without full integration.</w:t>
      </w:r>
    </w:p>
    <w:p>
      <w:pPr>
        <w:pStyle w:val="ListBullet"/>
        <w:spacing w:before="0" w:after="100"/>
      </w:pPr>
      <w:r>
        <w:rPr/>
        <w:t>Put them in order: what reduces investment and reputational risk first.</w:t>
      </w:r>
    </w:p>
    <w:p>
      <w:pPr>
        <w:spacing w:before="0" w:after="100"/>
      </w:pPr>
      <w:r>
        <w:rPr/>
        <w:t>Write them as a numbered list, the first priority first, each with what it changes.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feasibility, risk, time pressure and investment security</w:t>
      </w:r>
    </w:p>
    <w:p>
      <w:pPr>
        <w:spacing w:before="0" w:after="100"/>
      </w:pPr>
      <w:r>
        <w:rPr/>
        <w:t>Use all five criteria and say how they support your selection and its order.</w:t>
      </w:r>
    </w:p>
    <w:p>
      <w:pPr>
        <w:spacing w:before="0" w:after="100"/>
      </w:pPr>
      <w:r>
        <w:rPr>
          <w:i/>
        </w:rPr>
        <w:t>How to build the answer:</w:t>
      </w:r>
    </w:p>
    <w:p>
      <w:pPr>
        <w:pStyle w:val="ListBullet"/>
        <w:spacing w:before="0" w:after="40"/>
      </w:pPr>
      <w:r>
        <w:rPr/>
        <w:t>Say what your first measures change for investment and reputational risk.</w:t>
      </w:r>
    </w:p>
    <w:p>
      <w:pPr>
        <w:pStyle w:val="ListBullet"/>
        <w:spacing w:before="0" w:after="40"/>
      </w:pPr>
      <w:r>
        <w:rPr/>
        <w:t>Say what is feasible in 16 weeks and what makes the investment safer.</w:t>
      </w:r>
    </w:p>
    <w:p>
      <w:pPr>
        <w:pStyle w:val="ListBullet"/>
        <w:spacing w:before="0" w:after="100"/>
      </w:pPr>
      <w:r>
        <w:rPr/>
        <w:t>Keep the several business units and the visible steps wanted soon in mind.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Make a prioritisation decision for the first 16 weeks</w:t>
      </w:r>
    </w:p>
    <w:p>
      <w:pPr>
        <w:spacing w:before="0" w:after="100"/>
      </w:pPr>
      <w:r>
        <w:rPr/>
        <w:t>Say what you do in the first 16 weeks, in which order, and what you leave for later, with the reason.</w:t>
      </w:r>
    </w:p>
    <w:p>
      <w:pPr>
        <w:spacing w:before="0" w:after="100"/>
      </w:pPr>
      <w:r>
        <w:rPr>
          <w:i/>
        </w:rPr>
        <w:t>How to build the answer:</w:t>
      </w:r>
    </w:p>
    <w:p>
      <w:pPr>
        <w:pStyle w:val="ListBullet"/>
        <w:spacing w:before="0" w:after="40"/>
      </w:pPr>
      <w:r>
        <w:rPr/>
        <w:t>Say what comes first and why.</w:t>
      </w:r>
    </w:p>
    <w:p>
      <w:pPr>
        <w:pStyle w:val="ListBullet"/>
        <w:spacing w:before="0" w:after="40"/>
      </w:pPr>
      <w:r>
        <w:rPr/>
        <w:t>Say what you do in parallel and what waits.</w:t>
      </w:r>
    </w:p>
    <w:p>
      <w:pPr>
        <w:pStyle w:val="ListBullet"/>
        <w:spacing w:before="0" w:after="100"/>
      </w:pPr>
      <w:r>
        <w:rPr/>
        <w:t>Say what the management will see at the end.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management</w:t>
      </w:r>
    </w:p>
    <w:p>
      <w:pPr>
        <w:spacing w:before="0" w:after="100"/>
      </w:pPr>
      <w:r>
        <w:rPr/>
        <w:t>Three to five sentences: what you recommend, what has priority,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Name the priorities.</w:t>
      </w:r>
    </w:p>
    <w:p>
      <w:pPr>
        <w:pStyle w:val="ListBullet"/>
        <w:spacing w:before="0" w:after="100"/>
      </w:pPr>
      <w:r>
        <w:rPr/>
        <w:t>Say what you expect to change.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great enthusiasm, no priorities</w:t>
      </w:r>
    </w:p>
    <w:p>
      <w:pPr>
        <w:spacing w:before="0" w:after="100"/>
      </w:pPr>
      <w:r>
        <w:rPr>
          <w:i/>
        </w:rPr>
        <w:t>Read once · about 2 min</w:t>
      </w:r>
    </w:p>
    <w:p>
      <w:pPr>
        <w:spacing w:before="0" w:after="100"/>
      </w:pPr>
      <w:r>
        <w:rPr/>
        <w:t>You take the perspective of the Chief Experience Officer of the company behind IndustryXR, which offers digital service, training and support solutions. It wants to extend its UX strategy with immersive technologies and neuroscience-informed interaction concepts. AR, VR and other future technologies are seen inside as a great chance for innovation, but clear priorities, evaluation standards and governance rules are missing. The management expects a sound strategy for bringing future technologies with real user value, controlled risk and economic viability into the UX portfolio. You are not to pick single trend technologies, but to develop a sound decision architecture for immersive UX, neuroscience-based user guidance and innovation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23"/>
        <w:gridCol w:w="6615"/>
      </w:tblGrid>
      <w:tr>
        <w:trPr>
          <w:cantSplit/>
          <w:tblHeader/>
        </w:trPr>
        <w:tc>
          <w:tcPr>
            <w:tcW w:type="dxa" w:w="3023"/>
            <w:shd w:val="clear" w:color="auto" w:fill="E6ECF4"/>
          </w:tcPr>
          <w:p>
            <w:pPr>
              <w:spacing w:before="0" w:after="0"/>
            </w:pPr>
            <w:r>
              <w:rPr>
                <w:b/>
                <w:sz w:val="20"/>
              </w:rPr>
              <w:t>The framework</w:t>
            </w:r>
          </w:p>
        </w:tc>
        <w:tc>
          <w:tcPr>
            <w:tcW w:type="dxa" w:w="6615"/>
            <w:shd w:val="clear" w:color="auto" w:fill="E6ECF4"/>
          </w:tcPr>
          <w:p>
            <w:pPr>
              <w:spacing w:before="0" w:after="0"/>
            </w:pPr>
            <w:r>
              <w:rPr>
                <w:b/>
                <w:sz w:val="20"/>
              </w:rPr>
              <w:t>How the task runs · one block</w:t>
            </w:r>
          </w:p>
        </w:tc>
      </w:tr>
      <w:tr>
        <w:trPr>
          <w:cantSplit/>
        </w:trPr>
        <w:tc>
          <w:tcPr>
            <w:tcW w:type="dxa" w:w="3023"/>
          </w:tcPr>
          <w:p>
            <w:pPr>
              <w:spacing w:before="0" w:after="0"/>
            </w:pPr>
            <w:r>
              <w:rPr>
                <w:sz w:val="20"/>
              </w:rPr>
              <w:t>• The budget is limited</w:t>
            </w:r>
            <w:r>
              <w:br/>
            </w:r>
            <w:r>
              <w:rPr>
                <w:sz w:val="20"/>
              </w:rPr>
              <w:t>• Several stakeholders pursue different goals</w:t>
            </w:r>
            <w:r>
              <w:br/>
            </w:r>
            <w:r>
              <w:rPr>
                <w:sz w:val="20"/>
              </w:rPr>
              <w:t>• Technology maturity varies strongly by use case</w:t>
            </w:r>
            <w:r>
              <w:br/>
            </w:r>
            <w:r>
              <w:rPr>
                <w:sz w:val="20"/>
              </w:rPr>
              <w:t>• Data on real user acceptance is patchy</w:t>
            </w:r>
            <w:r>
              <w:br/>
            </w:r>
            <w:r>
              <w:rPr>
                <w:sz w:val="20"/>
              </w:rPr>
              <w:t>• First pilots must be visible at short notice</w:t>
            </w:r>
            <w:r>
              <w:br/>
            </w:r>
            <w:r>
              <w:rPr>
                <w:sz w:val="20"/>
              </w:rPr>
              <w:t>• Wrong decisions can raise costs, frustration and reputational damage</w:t>
            </w:r>
          </w:p>
        </w:tc>
        <w:tc>
          <w:tcPr>
            <w:tcW w:type="dxa" w:w="6615"/>
          </w:tcPr>
          <w:p>
            <w:pPr>
              <w:spacing w:before="0" w:after="0"/>
            </w:pPr>
            <w:r>
              <w:rPr>
                <w:sz w:val="20"/>
              </w:rPr>
              <w:t>• Block 3.1 asks seven questions: a guiding vision for future UX innovation,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19"/>
        <w:gridCol w:w="4030"/>
        <w:gridCol w:w="2489"/>
      </w:tblGrid>
      <w:tr>
        <w:trPr>
          <w:cantSplit/>
          <w:tblHeader/>
        </w:trPr>
        <w:tc>
          <w:tcPr>
            <w:tcW w:type="dxa" w:w="3119"/>
            <w:shd w:val="clear" w:color="auto" w:fill="E6ECF4"/>
          </w:tcPr>
          <w:p>
            <w:pPr>
              <w:spacing w:before="0" w:after="0"/>
            </w:pPr>
            <w:r>
              <w:rPr>
                <w:b/>
                <w:sz w:val="20"/>
              </w:rPr>
              <w:t>In the brief</w:t>
            </w:r>
          </w:p>
        </w:tc>
        <w:tc>
          <w:tcPr>
            <w:tcW w:type="dxa" w:w="4030"/>
            <w:shd w:val="clear" w:color="auto" w:fill="E6ECF4"/>
          </w:tcPr>
          <w:p>
            <w:pPr>
              <w:spacing w:before="0" w:after="0"/>
            </w:pPr>
            <w:r>
              <w:rPr>
                <w:b/>
                <w:sz w:val="20"/>
              </w:rPr>
              <w:t>Clear · Case assumption</w:t>
            </w:r>
          </w:p>
        </w:tc>
        <w:tc>
          <w:tcPr>
            <w:tcW w:type="dxa" w:w="2489"/>
            <w:shd w:val="clear" w:color="auto" w:fill="E6ECF4"/>
          </w:tcPr>
          <w:p>
            <w:pPr>
              <w:spacing w:before="0" w:after="0"/>
            </w:pPr>
            <w:r>
              <w:rPr>
                <w:b/>
                <w:sz w:val="20"/>
              </w:rPr>
              <w:t>Open · on purpose</w:t>
            </w:r>
          </w:p>
        </w:tc>
      </w:tr>
      <w:tr>
        <w:trPr>
          <w:cantSplit/>
        </w:trPr>
        <w:tc>
          <w:tcPr>
            <w:tcW w:type="dxa" w:w="3119"/>
          </w:tcPr>
          <w:p>
            <w:pPr>
              <w:spacing w:before="0" w:after="0"/>
            </w:pPr>
            <w:r>
              <w:rPr>
                <w:sz w:val="20"/>
              </w:rPr>
              <w:t>• Digital service, training and support solutions; plans for immersive and neuro-informed interaction.</w:t>
            </w:r>
            <w:r>
              <w:br/>
            </w:r>
            <w:r>
              <w:rPr>
                <w:sz w:val="20"/>
              </w:rPr>
              <w:t>• AR and VR seen as a great chance; no priorities, criteria or governance.</w:t>
            </w:r>
            <w:r>
              <w:br/>
            </w:r>
            <w:r>
              <w:rPr>
                <w:sz w:val="20"/>
              </w:rPr>
              <w:t>• Maturity varies by use case; acceptance data is patchy.</w:t>
            </w:r>
            <w:r>
              <w:br/>
            </w:r>
            <w:r>
              <w:rPr>
                <w:sz w:val="20"/>
              </w:rPr>
              <w:t>• First pilots must show soon; wrong decisions raise costs, frustration and reputational damage.</w:t>
            </w:r>
          </w:p>
        </w:tc>
        <w:tc>
          <w:tcPr>
            <w:tcW w:type="dxa" w:w="4030"/>
          </w:tcPr>
          <w:p>
            <w:pPr>
              <w:spacing w:before="0" w:after="0"/>
            </w:pPr>
            <w:r>
              <w:rPr>
                <w:sz w:val="20"/>
              </w:rPr>
              <w:t>• The company is the one behind IndustryXR in Route 1.</w:t>
            </w:r>
            <w:r>
              <w:br/>
            </w:r>
            <w:r>
              <w:rPr>
                <w:sz w:val="20"/>
              </w:rPr>
              <w:t>• The management wants a headset demo at next spring's trade fair; the training team wants a VR safety course; service wants AR instructions; finance wants a business case first.</w:t>
            </w:r>
            <w:r>
              <w:br/>
            </w:r>
            <w:r>
              <w:rPr>
                <w:sz w:val="20"/>
              </w:rPr>
              <w:t>• An innovation lab exists, but its projects end as demos; none has reached daily use.</w:t>
            </w:r>
          </w:p>
        </w:tc>
        <w:tc>
          <w:tcPr>
            <w:tcW w:type="dxa" w:w="2489"/>
          </w:tcPr>
          <w:p>
            <w:pPr>
              <w:spacing w:before="0" w:after="0"/>
            </w:pPr>
            <w:r>
              <w:rPr>
                <w:sz w:val="20"/>
              </w:rPr>
              <w:t>• How large the budget is: “limited” is all the plan says.</w:t>
            </w:r>
            <w:r>
              <w:br/>
            </w:r>
            <w:r>
              <w:rPr>
                <w:sz w:val="20"/>
              </w:rPr>
              <w:t>• Which technologies will be mature enough in two years: nobody knows.</w:t>
            </w:r>
            <w:r>
              <w:br/>
            </w:r>
            <w:r>
              <w:rPr>
                <w:sz w:val="20"/>
              </w:rPr>
              <w:t>• Whether customers would pay more for immersive services: never asked.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company with digital service, training and support solutions that wants immersive and neuro-informed interaction in its UX strategy, AR and VR seen as a great chance, no priorities, evaluation standards or governance, a limited budget, several stakeholders, maturity varying by use case, patchy acceptance data, first pilots visible soon, and the warning that wrong decisions can raise costs, frustration and reputational damage. Those are the plan's facts. That the company is the one behind IndustryXR and the facts marked “Clear” are made up for this exercise.</w:t>
            </w:r>
          </w:p>
        </w:tc>
      </w:tr>
    </w:tbl>
    <w:p>
      <w:pPr>
        <w:spacing w:before="0" w:after="80"/>
      </w:pPr>
    </w:p>
    <w:p>
      <w:pPr>
        <w:spacing w:before="0" w:after="100"/>
      </w:pPr>
      <w:r>
        <w:rPr>
          <w:i/>
        </w:rPr>
        <w:t>The memo is addressed to: The management. Subject: A UX innovation architecture for immersive and neuro-based technologies.</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strategic UX innovation architecture for immersive and neuro-based future technologies · JUDGED · Core · about 20 min</w:t>
      </w:r>
    </w:p>
    <w:p>
      <w:pPr>
        <w:spacing w:before="0" w:after="100"/>
      </w:pPr>
      <w:r>
        <w:rPr>
          <w:b/>
        </w:rPr>
        <w:t>Draws on:</w:t>
      </w:r>
      <w:r>
        <w:rPr/>
        <w:t xml:space="preserve"> B1 · Future technologies as decision architecture, not a trend · B2 · Innovation, value, maturity, risk, ethics · B3 · Who decides on future technologies, and deciding without test data.</w:t>
      </w:r>
    </w:p>
    <w:p>
      <w:pPr>
        <w:spacing w:before="0" w:after="100"/>
      </w:pPr>
      <w:r>
        <w:rPr/>
        <w:t>Develop a strategic concept for the company. Your desk holds what the management, the innovation lab, service, training, safety and finance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14_b3-1_0-5aa1bb75b4d9.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6).</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14_b3-1_1-4ee5a95c664c.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6).</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14_b3-1_2-72d8a29adbf1.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6).</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14_b3-1_3-212974b48a27.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6).</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14_b3-1_4-c085055c2f7b.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6).</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14_b3-1_5-ab02114a593c.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6).</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14_b3-1_6-c2f7e0dabc19.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The platform as it is today, as the lab lets you observe it (1 of 5).</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14_b3-1_7-97c134f9b574.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(2 of 5).</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14_b3-1_8-d699f5067c1b.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(3 of 5).</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14_b3-1_9-2aff832779ce.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(4 of 5).</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14_b3-1_10-313d09ee876d.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(5 of 5).</w:t>
      </w:r>
    </w:p>
    <w:p>
      <w:pPr>
        <w:keepNext/>
        <w:spacing w:before="80" w:after="40"/>
        <w:jc w:val="center"/>
      </w:pPr>
      <w:r>
        <w:drawing>
          <wp:inline xmlns:a="http://schemas.openxmlformats.org/drawingml/2006/main" xmlns:pic="http://schemas.openxmlformats.org/drawingml/2006/picture">
            <wp:extent cx="5006355" cy="5580000"/>
            <wp:docPr id="15" name="Picture 15"/>
            <wp:cNvGraphicFramePr>
              <a:graphicFrameLocks noChangeAspect="1"/>
            </wp:cNvGraphicFramePr>
            <a:graphic>
              <a:graphicData uri="http://schemas.openxmlformats.org/drawingml/2006/picture">
                <pic:pic>
                  <pic:nvPicPr>
                    <pic:cNvPr id="0" name="d14_b3-1_11-ac0d7a2a8528.png"/>
                    <pic:cNvPicPr/>
                  </pic:nvPicPr>
                  <pic:blipFill>
                    <a:blip r:embed="rId2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15 · A real platform that solved this, shown for the class discussion (1 of 3).</w:t>
      </w:r>
    </w:p>
    <w:p>
      <w:pPr>
        <w:keepNext/>
        <w:spacing w:before="80" w:after="40"/>
        <w:jc w:val="center"/>
      </w:pPr>
      <w:r>
        <w:drawing>
          <wp:inline xmlns:a="http://schemas.openxmlformats.org/drawingml/2006/main" xmlns:pic="http://schemas.openxmlformats.org/drawingml/2006/picture">
            <wp:extent cx="5006355" cy="5580000"/>
            <wp:docPr id="16" name="Picture 16"/>
            <wp:cNvGraphicFramePr>
              <a:graphicFrameLocks noChangeAspect="1"/>
            </wp:cNvGraphicFramePr>
            <a:graphic>
              <a:graphicData uri="http://schemas.openxmlformats.org/drawingml/2006/picture">
                <pic:pic>
                  <pic:nvPicPr>
                    <pic:cNvPr id="0" name="d14_b3-1_12-19761d30b5f0.png"/>
                    <pic:cNvPicPr/>
                  </pic:nvPicPr>
                  <pic:blipFill>
                    <a:blip r:embed="rId2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16 · A real platform that solved this, shown for the class discussion (2 of 3).</w:t>
      </w:r>
    </w:p>
    <w:p>
      <w:pPr>
        <w:keepNext/>
        <w:spacing w:before="80" w:after="40"/>
        <w:jc w:val="center"/>
      </w:pPr>
      <w:r>
        <w:drawing>
          <wp:inline xmlns:a="http://schemas.openxmlformats.org/drawingml/2006/main" xmlns:pic="http://schemas.openxmlformats.org/drawingml/2006/picture">
            <wp:extent cx="5006355" cy="5580000"/>
            <wp:docPr id="17" name="Picture 17"/>
            <wp:cNvGraphicFramePr>
              <a:graphicFrameLocks noChangeAspect="1"/>
            </wp:cNvGraphicFramePr>
            <a:graphic>
              <a:graphicData uri="http://schemas.openxmlformats.org/drawingml/2006/picture">
                <pic:pic>
                  <pic:nvPicPr>
                    <pic:cNvPr id="0" name="d14_b3-1_13-8625a8d5f01a.png"/>
                    <pic:cNvPicPr/>
                  </pic:nvPicPr>
                  <pic:blipFill>
                    <a:blip r:embed="rId2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17 · A real platform that solved this, shown for the class discussion (3 of 3).</w:t>
      </w:r>
    </w:p>
    <w:p>
      <w:pPr>
        <w:spacing w:before="0" w:after="100"/>
      </w:pPr>
      <w:r>
        <w:rPr>
          <w:b/>
        </w:rPr>
        <w:t>Question 1 of 7 · A guiding vision for future UX innovation: which form of immersive value and user experience should be aimed for systematically?</w:t>
      </w:r>
    </w:p>
    <w:p>
      <w:pPr>
        <w:spacing w:before="0" w:after="100"/>
      </w:pPr>
      <w:r>
        <w:rPr/>
        <w:t>One or two sentences about the kind of immersive value the company wants and for whom.</w:t>
      </w:r>
    </w:p>
    <w:p>
      <w:pPr>
        <w:spacing w:before="0" w:after="100"/>
      </w:pPr>
      <w:r>
        <w:rPr>
          <w:i/>
        </w:rPr>
        <w:t>How to build the answer:</w:t>
      </w:r>
    </w:p>
    <w:p>
      <w:pPr>
        <w:pStyle w:val="ListBullet"/>
        <w:spacing w:before="0" w:after="40"/>
      </w:pPr>
      <w:r>
        <w:rPr/>
        <w:t>Say what immersive value the company aims for, and for whom.</w:t>
      </w:r>
    </w:p>
    <w:p>
      <w:pPr>
        <w:pStyle w:val="ListBullet"/>
        <w:spacing w:before="0" w:after="100"/>
      </w:pPr>
      <w:r>
        <w:rPr/>
        <w:t>Say what it will not do for the sake of being seen.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on technology use, maturity assessment, user value and innovation portfolio</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use cases, touchpoints or product areas are piloted first, and why?</w:t>
      </w:r>
    </w:p>
    <w:p>
      <w:pPr>
        <w:spacing w:before="0" w:after="100"/>
      </w:pPr>
      <w:r>
        <w:rPr/>
        <w:t>Put the use cases, touchpoints or product areas in an order and give the reason for the first ones.</w:t>
      </w:r>
    </w:p>
    <w:p>
      <w:pPr>
        <w:spacing w:before="0" w:after="100"/>
      </w:pPr>
      <w:r>
        <w:rPr>
          <w:i/>
        </w:rPr>
        <w:t>How to build the answer:</w:t>
      </w:r>
    </w:p>
    <w:p>
      <w:pPr>
        <w:pStyle w:val="ListBullet"/>
        <w:spacing w:before="0" w:after="40"/>
      </w:pPr>
      <w:r>
        <w:rPr/>
        <w:t>List the candidates: AR maintenance instructions, AR remote expert, VR safety training, VR trade-fair showroom, attention-guidance overlay.</w:t>
      </w:r>
    </w:p>
    <w:p>
      <w:pPr>
        <w:pStyle w:val="ListBullet"/>
        <w:spacing w:before="0" w:after="40"/>
      </w:pPr>
      <w:r>
        <w:rPr/>
        <w:t>Put first what has a clear advantage, mature technology and a controllable risk.</w:t>
      </w:r>
    </w:p>
    <w:p>
      <w:pPr>
        <w:pStyle w:val="ListBullet"/>
        <w:spacing w:before="0" w:after="100"/>
      </w:pPr>
      <w:r>
        <w:rPr/>
        <w:t>Say why the others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innovation, user behaviour, market maturity and economic viability would be especially critical?</w:t>
      </w:r>
    </w:p>
    <w:p>
      <w:pPr>
        <w:spacing w:before="0" w:after="100"/>
      </w:pPr>
      <w:r>
        <w:rPr/>
        <w:t>Name two or three assumptions and the harm if each is wrong.</w:t>
      </w:r>
    </w:p>
    <w:p>
      <w:pPr>
        <w:spacing w:before="0" w:after="100"/>
      </w:pPr>
      <w:r>
        <w:rPr>
          <w:i/>
        </w:rPr>
        <w:t>How to build the answer:</w:t>
      </w:r>
    </w:p>
    <w:p>
      <w:pPr>
        <w:pStyle w:val="ListBullet"/>
        <w:spacing w:before="0" w:after="40"/>
      </w:pPr>
      <w:r>
        <w:rPr/>
        <w:t>Write down what your concept assumes about innovation and its effect.</w:t>
      </w:r>
    </w:p>
    <w:p>
      <w:pPr>
        <w:pStyle w:val="ListBullet"/>
        <w:spacing w:before="0" w:after="40"/>
      </w:pPr>
      <w:r>
        <w:rPr/>
        <w:t>Write down what it assumes about how people will use it.</w:t>
      </w:r>
    </w:p>
    <w:p>
      <w:pPr>
        <w:pStyle w:val="ListBullet"/>
        <w:spacing w:before="0" w:after="100"/>
      </w:pPr>
      <w:r>
        <w:rPr/>
        <w:t>Write down what it assumes about market maturity and money.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future technologies in the UX portfolio, and how are conflicts between visibility, effect, risk and effort decided?</w:t>
      </w:r>
    </w:p>
    <w:p>
      <w:pPr>
        <w:spacing w:before="0" w:after="100"/>
      </w:pPr>
      <w:r>
        <w:rPr/>
        <w:t>Name roles, not people: who owns the innovation portfolio, who uses the evaluation grid, who may stop a pilot, the roles of the business units, and how a conflict is decided.</w:t>
      </w:r>
    </w:p>
    <w:p>
      <w:pPr>
        <w:spacing w:before="0" w:after="100"/>
      </w:pPr>
      <w:r>
        <w:rPr>
          <w:i/>
        </w:rPr>
        <w:t>How to build the answer:</w:t>
      </w:r>
    </w:p>
    <w:p>
      <w:pPr>
        <w:pStyle w:val="ListBullet"/>
        <w:spacing w:before="0" w:after="40"/>
      </w:pPr>
      <w:r>
        <w:rPr/>
        <w:t>Name who owns the innovation portfolio and the evaluation grid.</w:t>
      </w:r>
    </w:p>
    <w:p>
      <w:pPr>
        <w:pStyle w:val="ListBullet"/>
        <w:spacing w:before="0" w:after="40"/>
      </w:pPr>
      <w:r>
        <w:rPr/>
        <w:t>Say who sets success measures and who may stop a pilot.</w:t>
      </w:r>
    </w:p>
    <w:p>
      <w:pPr>
        <w:pStyle w:val="ListBullet"/>
        <w:spacing w:before="0" w:after="100"/>
      </w:pPr>
      <w:r>
        <w:rPr/>
        <w:t>Say how a conflict between visibility, effect, risk and effort is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patchy practical tests and justify it responsibly</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00"/>
        <w:gridCol w:w="3371"/>
        <w:gridCol w:w="2267"/>
      </w:tblGrid>
      <w:tr>
        <w:trPr>
          <w:cantSplit/>
          <w:tblHeader/>
        </w:trPr>
        <w:tc>
          <w:tcPr>
            <w:tcW w:type="dxa" w:w="4000"/>
            <w:shd w:val="clear" w:color="auto" w:fill="E6ECF4"/>
          </w:tcPr>
          <w:p>
            <w:pPr>
              <w:spacing w:before="0" w:after="0"/>
            </w:pPr>
            <w:r>
              <w:rPr>
                <w:b/>
                <w:sz w:val="20"/>
              </w:rPr>
              <w:t>Part of the worksheet</w:t>
            </w:r>
          </w:p>
        </w:tc>
        <w:tc>
          <w:tcPr>
            <w:tcW w:type="dxa" w:w="3371"/>
            <w:shd w:val="clear" w:color="auto" w:fill="E6ECF4"/>
          </w:tcPr>
          <w:p>
            <w:pPr>
              <w:spacing w:before="0" w:after="0"/>
            </w:pPr>
            <w:r>
              <w:rPr>
                <w:b/>
                <w:sz w:val="20"/>
              </w:rPr>
              <w:t>Presentation (shown in the Neuro-UX Lab)</w:t>
            </w:r>
          </w:p>
        </w:tc>
        <w:tc>
          <w:tcPr>
            <w:tcW w:type="dxa" w:w="2267"/>
            <w:shd w:val="clear" w:color="auto" w:fill="E6ECF4"/>
          </w:tcPr>
          <w:p>
            <w:pPr>
              <w:spacing w:before="0" w:after="0"/>
            </w:pPr>
            <w:r>
              <w:rPr>
                <w:b/>
                <w:sz w:val="20"/>
              </w:rPr>
              <w:t>Handout</w:t>
            </w:r>
          </w:p>
        </w:tc>
      </w:tr>
      <w:tr>
        <w:trPr>
          <w:cantSplit/>
        </w:trPr>
        <w:tc>
          <w:tcPr>
            <w:tcW w:type="dxa" w:w="4000"/>
          </w:tcPr>
          <w:p>
            <w:pPr>
              <w:spacing w:before="0" w:after="0"/>
            </w:pPr>
            <w:r>
              <w:rPr>
                <w:sz w:val="20"/>
              </w:rPr>
              <w:t>The case: two platforms on the UX team's desk, and IndustryXR</w:t>
            </w:r>
          </w:p>
        </w:tc>
        <w:tc>
          <w:tcPr>
            <w:tcW w:type="dxa" w:w="3371"/>
          </w:tcPr>
          <w:p>
            <w:pPr>
              <w:spacing w:before="0" w:after="0"/>
            </w:pPr>
            <w:r>
              <w:rPr>
                <w:sz w:val="20"/>
              </w:rPr>
              <w:t>The case read aloud or on screen</w:t>
            </w:r>
          </w:p>
        </w:tc>
        <w:tc>
          <w:tcPr>
            <w:tcW w:type="dxa" w:w="2267"/>
          </w:tcPr>
          <w:p>
            <w:pPr>
              <w:spacing w:before="0" w:after="0"/>
            </w:pPr>
            <w:r>
              <w:rPr>
                <w:sz w:val="20"/>
              </w:rPr>
              <w:t>The case text</w:t>
            </w:r>
          </w:p>
        </w:tc>
      </w:tr>
      <w:tr>
        <w:trPr>
          <w:cantSplit/>
        </w:trPr>
        <w:tc>
          <w:tcPr>
            <w:tcW w:type="dxa" w:w="4000"/>
          </w:tcPr>
          <w:p>
            <w:pPr>
              <w:spacing w:before="0" w:after="0"/>
            </w:pPr>
            <w:r>
              <w:rPr>
                <w:sz w:val="20"/>
              </w:rPr>
              <w:t>Block 1.1 · Analyse immersive potentials and risks of a future scenario: BuildVisi</w:t>
            </w:r>
          </w:p>
        </w:tc>
        <w:tc>
          <w:tcPr>
            <w:tcW w:type="dxa" w:w="3371"/>
          </w:tcPr>
          <w:p>
            <w:pPr>
              <w:spacing w:before="0" w:after="0"/>
            </w:pPr>
            <w:r>
              <w:rPr>
                <w:sz w:val="20"/>
              </w:rPr>
              <w:t>The task wording at the start of the block (no answers are shown)</w:t>
            </w:r>
          </w:p>
        </w:tc>
        <w:tc>
          <w:tcPr>
            <w:tcW w:type="dxa" w:w="2267"/>
          </w:tcPr>
          <w:p>
            <w:pPr>
              <w:spacing w:before="0" w:after="0"/>
            </w:pPr>
            <w:r>
              <w:rPr>
                <w:sz w:val="20"/>
              </w:rPr>
              <w:t>Worksheet block with answer boxes (Core)</w:t>
            </w:r>
          </w:p>
        </w:tc>
      </w:tr>
      <w:tr>
        <w:trPr>
          <w:cantSplit/>
        </w:trPr>
        <w:tc>
          <w:tcPr>
            <w:tcW w:type="dxa" w:w="4000"/>
          </w:tcPr>
          <w:p>
            <w:pPr>
              <w:spacing w:before="0" w:after="0"/>
            </w:pPr>
            <w:r>
              <w:rPr>
                <w:sz w:val="20"/>
              </w:rPr>
              <w:t>Block 1.2 · Rate future technologies in UX design under conflicting goals: HealthS</w:t>
            </w:r>
          </w:p>
        </w:tc>
        <w:tc>
          <w:tcPr>
            <w:tcW w:type="dxa" w:w="3371"/>
          </w:tcPr>
          <w:p>
            <w:pPr>
              <w:spacing w:before="0" w:after="0"/>
            </w:pPr>
            <w:r>
              <w:rPr>
                <w:sz w:val="20"/>
              </w:rPr>
              <w:t>The task wording at the start of the block (no answers are shown)</w:t>
            </w:r>
          </w:p>
        </w:tc>
        <w:tc>
          <w:tcPr>
            <w:tcW w:type="dxa" w:w="2267"/>
          </w:tcPr>
          <w:p>
            <w:pPr>
              <w:spacing w:before="0" w:after="0"/>
            </w:pPr>
            <w:r>
              <w:rPr>
                <w:sz w:val="20"/>
              </w:rPr>
              <w:t>Worksheet block with answer boxes (Core)</w:t>
            </w:r>
          </w:p>
        </w:tc>
      </w:tr>
      <w:tr>
        <w:trPr>
          <w:cantSplit/>
        </w:trPr>
        <w:tc>
          <w:tcPr>
            <w:tcW w:type="dxa" w:w="4000"/>
          </w:tcPr>
          <w:p>
            <w:pPr>
              <w:spacing w:before="0" w:after="0"/>
            </w:pPr>
            <w:r>
              <w:rPr>
                <w:sz w:val="20"/>
              </w:rPr>
              <w:t>Block 2.1 · Case study: a future strategy for the training and service offer Indus</w:t>
            </w:r>
          </w:p>
        </w:tc>
        <w:tc>
          <w:tcPr>
            <w:tcW w:type="dxa" w:w="3371"/>
          </w:tcPr>
          <w:p>
            <w:pPr>
              <w:spacing w:before="0" w:after="0"/>
            </w:pPr>
            <w:r>
              <w:rPr>
                <w:sz w:val="20"/>
              </w:rPr>
              <w:t>The task wording at the start of the block (no answers are shown)</w:t>
            </w:r>
          </w:p>
        </w:tc>
        <w:tc>
          <w:tcPr>
            <w:tcW w:type="dxa" w:w="2267"/>
          </w:tcPr>
          <w:p>
            <w:pPr>
              <w:spacing w:before="0" w:after="0"/>
            </w:pPr>
            <w:r>
              <w:rPr>
                <w:sz w:val="20"/>
              </w:rPr>
              <w:t>Worksheet block with answer boxes (Core)</w:t>
            </w:r>
          </w:p>
        </w:tc>
      </w:tr>
      <w:tr>
        <w:trPr>
          <w:cantSplit/>
        </w:trPr>
        <w:tc>
          <w:tcPr>
            <w:tcW w:type="dxa" w:w="4000"/>
          </w:tcPr>
          <w:p>
            <w:pPr>
              <w:spacing w:before="0" w:after="0"/>
            </w:pPr>
            <w:r>
              <w:rPr>
                <w:sz w:val="20"/>
              </w:rPr>
              <w:t>The situation: great enthusiasm, no priorities</w:t>
            </w:r>
          </w:p>
        </w:tc>
        <w:tc>
          <w:tcPr>
            <w:tcW w:type="dxa" w:w="3371"/>
          </w:tcPr>
          <w:p>
            <w:pPr>
              <w:spacing w:before="0" w:after="0"/>
            </w:pPr>
            <w:r>
              <w:rPr>
                <w:sz w:val="20"/>
              </w:rPr>
              <w:t>The case read aloud or on screen</w:t>
            </w:r>
          </w:p>
        </w:tc>
        <w:tc>
          <w:tcPr>
            <w:tcW w:type="dxa" w:w="2267"/>
          </w:tcPr>
          <w:p>
            <w:pPr>
              <w:spacing w:before="0" w:after="0"/>
            </w:pPr>
            <w:r>
              <w:rPr>
                <w:sz w:val="20"/>
              </w:rPr>
              <w:t>The case text</w:t>
            </w:r>
          </w:p>
        </w:tc>
      </w:tr>
      <w:tr>
        <w:trPr>
          <w:cantSplit/>
        </w:trPr>
        <w:tc>
          <w:tcPr>
            <w:tcW w:type="dxa" w:w="4000"/>
          </w:tcPr>
          <w:p>
            <w:pPr>
              <w:spacing w:before="0" w:after="0"/>
            </w:pPr>
            <w:r>
              <w:rPr>
                <w:sz w:val="20"/>
              </w:rPr>
              <w:t>Block 3.1 · A strategic UX innovation architecture for immersive and neuro-based f</w:t>
            </w:r>
          </w:p>
        </w:tc>
        <w:tc>
          <w:tcPr>
            <w:tcW w:type="dxa" w:w="3371"/>
          </w:tcPr>
          <w:p>
            <w:pPr>
              <w:spacing w:before="0" w:after="0"/>
            </w:pPr>
            <w:r>
              <w:rPr>
                <w:sz w:val="20"/>
              </w:rPr>
              <w:t>The task wording at the start of the block (no answers are shown)</w:t>
            </w:r>
          </w:p>
        </w:tc>
        <w:tc>
          <w:tcPr>
            <w:tcW w:type="dxa" w:w="2267"/>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79"/>
        <w:gridCol w:w="5264"/>
        <w:gridCol w:w="1572"/>
        <w:gridCol w:w="923"/>
      </w:tblGrid>
      <w:tr>
        <w:trPr>
          <w:cantSplit/>
          <w:tblHeader/>
        </w:trPr>
        <w:tc>
          <w:tcPr>
            <w:tcW w:type="dxa" w:w="1879"/>
            <w:shd w:val="clear" w:color="auto" w:fill="E6ECF4"/>
          </w:tcPr>
          <w:p>
            <w:pPr>
              <w:spacing w:before="0" w:after="0"/>
            </w:pPr>
            <w:r>
              <w:rPr>
                <w:b/>
                <w:sz w:val="19"/>
              </w:rPr>
              <w:t>Term</w:t>
            </w:r>
          </w:p>
        </w:tc>
        <w:tc>
          <w:tcPr>
            <w:tcW w:type="dxa" w:w="5264"/>
            <w:shd w:val="clear" w:color="auto" w:fill="E6ECF4"/>
          </w:tcPr>
          <w:p>
            <w:pPr>
              <w:spacing w:before="0" w:after="0"/>
            </w:pPr>
            <w:r>
              <w:rPr>
                <w:b/>
                <w:sz w:val="19"/>
              </w:rPr>
              <w:t>In plain words</w:t>
            </w:r>
          </w:p>
        </w:tc>
        <w:tc>
          <w:tcPr>
            <w:tcW w:type="dxa" w:w="1572"/>
            <w:shd w:val="clear" w:color="auto" w:fill="E6ECF4"/>
          </w:tcPr>
          <w:p>
            <w:pPr>
              <w:spacing w:before="0" w:after="0"/>
            </w:pPr>
            <w:r>
              <w:rPr>
                <w:b/>
                <w:sz w:val="19"/>
              </w:rPr>
              <w:t>Example</w:t>
            </w:r>
          </w:p>
        </w:tc>
        <w:tc>
          <w:tcPr>
            <w:tcW w:type="dxa" w:w="923"/>
            <w:shd w:val="clear" w:color="auto" w:fill="E6ECF4"/>
          </w:tcPr>
          <w:p>
            <w:pPr>
              <w:spacing w:before="0" w:after="0"/>
            </w:pPr>
            <w:r>
              <w:rPr>
                <w:b/>
                <w:sz w:val="19"/>
              </w:rPr>
              <w:t>Comes from</w:t>
            </w:r>
          </w:p>
        </w:tc>
      </w:tr>
      <w:tr>
        <w:trPr>
          <w:cantSplit/>
        </w:trPr>
        <w:tc>
          <w:tcPr>
            <w:tcW w:type="dxa" w:w="1879"/>
          </w:tcPr>
          <w:p>
            <w:pPr>
              <w:spacing w:before="0" w:after="0"/>
            </w:pPr>
            <w:r>
              <w:rPr>
                <w:b/>
                <w:sz w:val="19"/>
              </w:rPr>
              <w:t>Attention</w:t>
            </w:r>
          </w:p>
        </w:tc>
        <w:tc>
          <w:tcPr>
            <w:tcW w:type="dxa" w:w="5264"/>
          </w:tcPr>
          <w:p>
            <w:pPr>
              <w:spacing w:before="0" w:after="0"/>
            </w:pPr>
            <w:r>
              <w:rPr>
                <w:sz w:val="19"/>
              </w:rPr>
              <w:t>The mind's spotlight. Only a small part of a screen is processed at any moment; attention decides which part.</w:t>
            </w:r>
          </w:p>
        </w:tc>
        <w:tc>
          <w:tcPr>
            <w:tcW w:type="dxa" w:w="1572"/>
          </w:tcPr>
          <w:p>
            <w:pPr>
              <w:spacing w:before="0" w:after="0"/>
            </w:pPr>
            <w:r>
              <w:rPr>
                <w:sz w:val="19"/>
              </w:rPr>
              <w:t>A flashing banner takes attention away from the form you were filling in.</w:t>
            </w:r>
          </w:p>
        </w:tc>
        <w:tc>
          <w:tcPr>
            <w:tcW w:type="dxa" w:w="923"/>
          </w:tcPr>
          <w:p>
            <w:pPr>
              <w:spacing w:before="0" w:after="0"/>
            </w:pPr>
            <w:r>
              <w:rPr>
                <w:sz w:val="19"/>
              </w:rPr>
              <w:t>Day 1</w:t>
            </w:r>
          </w:p>
        </w:tc>
      </w:tr>
      <w:tr>
        <w:trPr>
          <w:cantSplit/>
        </w:trPr>
        <w:tc>
          <w:tcPr>
            <w:tcW w:type="dxa" w:w="1879"/>
          </w:tcPr>
          <w:p>
            <w:pPr>
              <w:spacing w:before="0" w:after="0"/>
            </w:pPr>
            <w:r>
              <w:rPr>
                <w:b/>
                <w:sz w:val="19"/>
              </w:rPr>
              <w:t>Case assumption</w:t>
            </w:r>
          </w:p>
        </w:tc>
        <w:tc>
          <w:tcPr>
            <w:tcW w:type="dxa" w:w="5264"/>
          </w:tcPr>
          <w:p>
            <w:pPr>
              <w:spacing w:before="0" w:after="0"/>
            </w:pPr>
            <w:r>
              <w:rPr>
                <w:sz w:val="19"/>
              </w:rPr>
              <w:t>A fact made up for this exercise to fill a gap in the plan's case. It is marked so you know it is not part of the plan.</w:t>
            </w:r>
          </w:p>
        </w:tc>
        <w:tc>
          <w:tcPr>
            <w:tcW w:type="dxa" w:w="1572"/>
          </w:tcPr>
          <w:p>
            <w:pPr>
              <w:spacing w:before="0" w:after="0"/>
            </w:pPr>
            <w:r>
              <w:rPr>
                <w:sz w:val="19"/>
              </w:rPr>
              <w:t>—</w:t>
            </w:r>
          </w:p>
        </w:tc>
        <w:tc>
          <w:tcPr>
            <w:tcW w:type="dxa" w:w="923"/>
          </w:tcPr>
          <w:p>
            <w:pPr>
              <w:spacing w:before="0" w:after="0"/>
            </w:pPr>
            <w:r>
              <w:rPr>
                <w:sz w:val="19"/>
              </w:rPr>
              <w:t>Day 1</w:t>
            </w:r>
          </w:p>
        </w:tc>
      </w:tr>
      <w:tr>
        <w:trPr>
          <w:cantSplit/>
        </w:trPr>
        <w:tc>
          <w:tcPr>
            <w:tcW w:type="dxa" w:w="1879"/>
          </w:tcPr>
          <w:p>
            <w:pPr>
              <w:spacing w:before="0" w:after="0"/>
            </w:pPr>
            <w:r>
              <w:rPr>
                <w:b/>
                <w:sz w:val="19"/>
              </w:rPr>
              <w:t>Chief Experience Officer</w:t>
            </w:r>
          </w:p>
        </w:tc>
        <w:tc>
          <w:tcPr>
            <w:tcW w:type="dxa" w:w="5264"/>
          </w:tcPr>
          <w:p>
            <w:pPr>
              <w:spacing w:before="0" w:after="0"/>
            </w:pPr>
            <w:r>
              <w:rPr>
                <w:sz w:val="19"/>
              </w:rPr>
              <w:t>The manager who is responsible for the experience customers have across all channels, and who decides where the company invests in it.</w:t>
            </w:r>
          </w:p>
        </w:tc>
        <w:tc>
          <w:tcPr>
            <w:tcW w:type="dxa" w:w="1572"/>
          </w:tcPr>
          <w:p>
            <w:pPr>
              <w:spacing w:before="0" w:after="0"/>
            </w:pPr>
            <w:r>
              <w:rPr>
                <w:sz w:val="19"/>
              </w:rPr>
              <w:t>—</w:t>
            </w:r>
          </w:p>
        </w:tc>
        <w:tc>
          <w:tcPr>
            <w:tcW w:type="dxa" w:w="923"/>
          </w:tcPr>
          <w:p>
            <w:pPr>
              <w:spacing w:before="0" w:after="0"/>
            </w:pPr>
            <w:r>
              <w:rPr>
                <w:sz w:val="19"/>
              </w:rPr>
              <w:t>Day 1</w:t>
            </w:r>
          </w:p>
        </w:tc>
      </w:tr>
      <w:tr>
        <w:trPr>
          <w:cantSplit/>
        </w:trPr>
        <w:tc>
          <w:tcPr>
            <w:tcW w:type="dxa" w:w="1879"/>
          </w:tcPr>
          <w:p>
            <w:pPr>
              <w:spacing w:before="0" w:after="0"/>
            </w:pPr>
            <w:r>
              <w:rPr>
                <w:b/>
                <w:sz w:val="19"/>
              </w:rPr>
              <w:t>Component</w:t>
            </w:r>
          </w:p>
        </w:tc>
        <w:tc>
          <w:tcPr>
            <w:tcW w:type="dxa" w:w="5264"/>
          </w:tcPr>
          <w:p>
            <w:pPr>
              <w:spacing w:before="0" w:after="0"/>
            </w:pPr>
            <w:r>
              <w:rPr>
                <w:sz w:val="19"/>
              </w:rPr>
              <w:t>A reusable building block of an interface, such as a button, a form field or a status label, built once and used on many screens.</w:t>
            </w:r>
          </w:p>
        </w:tc>
        <w:tc>
          <w:tcPr>
            <w:tcW w:type="dxa" w:w="1572"/>
          </w:tcPr>
          <w:p>
            <w:pPr>
              <w:spacing w:before="0" w:after="0"/>
            </w:pPr>
            <w:r>
              <w:rPr>
                <w:sz w:val="19"/>
              </w:rPr>
              <w:t>—</w:t>
            </w:r>
          </w:p>
        </w:tc>
        <w:tc>
          <w:tcPr>
            <w:tcW w:type="dxa" w:w="923"/>
          </w:tcPr>
          <w:p>
            <w:pPr>
              <w:spacing w:before="0" w:after="0"/>
            </w:pPr>
            <w:r>
              <w:rPr>
                <w:sz w:val="19"/>
              </w:rPr>
              <w:t>Day 6</w:t>
            </w:r>
          </w:p>
        </w:tc>
      </w:tr>
      <w:tr>
        <w:trPr>
          <w:cantSplit/>
        </w:trPr>
        <w:tc>
          <w:tcPr>
            <w:tcW w:type="dxa" w:w="1879"/>
          </w:tcPr>
          <w:p>
            <w:pPr>
              <w:spacing w:before="0" w:after="0"/>
            </w:pPr>
            <w:r>
              <w:rPr>
                <w:b/>
                <w:sz w:val="19"/>
              </w:rPr>
              <w:t>Decision architecture</w:t>
            </w:r>
          </w:p>
        </w:tc>
        <w:tc>
          <w:tcPr>
            <w:tcW w:type="dxa" w:w="5264"/>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572"/>
          </w:tcPr>
          <w:p>
            <w:pPr>
              <w:spacing w:before="0" w:after="0"/>
            </w:pPr>
            <w:r>
              <w:rPr>
                <w:sz w:val="19"/>
              </w:rPr>
              <w:t>—</w:t>
            </w:r>
          </w:p>
        </w:tc>
        <w:tc>
          <w:tcPr>
            <w:tcW w:type="dxa" w:w="923"/>
          </w:tcPr>
          <w:p>
            <w:pPr>
              <w:spacing w:before="0" w:after="0"/>
            </w:pPr>
            <w:r>
              <w:rPr>
                <w:sz w:val="19"/>
              </w:rPr>
              <w:t>Day 1</w:t>
            </w:r>
          </w:p>
        </w:tc>
      </w:tr>
      <w:tr>
        <w:trPr>
          <w:cantSplit/>
        </w:trPr>
        <w:tc>
          <w:tcPr>
            <w:tcW w:type="dxa" w:w="1879"/>
          </w:tcPr>
          <w:p>
            <w:pPr>
              <w:spacing w:before="0" w:after="0"/>
            </w:pPr>
            <w:r>
              <w:rPr>
                <w:b/>
                <w:sz w:val="19"/>
              </w:rPr>
              <w:t>Governance</w:t>
            </w:r>
          </w:p>
        </w:tc>
        <w:tc>
          <w:tcPr>
            <w:tcW w:type="dxa" w:w="5264"/>
          </w:tcPr>
          <w:p>
            <w:pPr>
              <w:spacing w:before="0" w:after="0"/>
            </w:pPr>
            <w:r>
              <w:rPr>
                <w:sz w:val="19"/>
              </w:rPr>
              <w:t>The rules about who may decide what, who is answerable for it and how disagreements are settled.</w:t>
            </w:r>
          </w:p>
        </w:tc>
        <w:tc>
          <w:tcPr>
            <w:tcW w:type="dxa" w:w="1572"/>
          </w:tcPr>
          <w:p>
            <w:pPr>
              <w:spacing w:before="0" w:after="0"/>
            </w:pPr>
            <w:r>
              <w:rPr>
                <w:sz w:val="19"/>
              </w:rPr>
              <w:t>—</w:t>
            </w:r>
          </w:p>
        </w:tc>
        <w:tc>
          <w:tcPr>
            <w:tcW w:type="dxa" w:w="923"/>
          </w:tcPr>
          <w:p>
            <w:pPr>
              <w:spacing w:before="0" w:after="0"/>
            </w:pPr>
            <w:r>
              <w:rPr>
                <w:sz w:val="19"/>
              </w:rPr>
              <w:t>Day 1</w:t>
            </w:r>
          </w:p>
        </w:tc>
      </w:tr>
      <w:tr>
        <w:trPr>
          <w:cantSplit/>
        </w:trPr>
        <w:tc>
          <w:tcPr>
            <w:tcW w:type="dxa" w:w="1879"/>
          </w:tcPr>
          <w:p>
            <w:pPr>
              <w:spacing w:before="0" w:after="0"/>
            </w:pPr>
            <w:r>
              <w:rPr>
                <w:b/>
                <w:sz w:val="19"/>
              </w:rPr>
              <w:t>Immersion</w:t>
            </w:r>
          </w:p>
        </w:tc>
        <w:tc>
          <w:tcPr>
            <w:tcW w:type="dxa" w:w="5264"/>
          </w:tcPr>
          <w:p>
            <w:pPr>
              <w:spacing w:before="0" w:after="0"/>
            </w:pPr>
            <w:r>
              <w:rPr>
                <w:sz w:val="19"/>
              </w:rPr>
              <w:t>How much a technology surrounds the senses and shuts out the real surroundings; more immersion can mean more presence, and more load.</w:t>
            </w:r>
          </w:p>
        </w:tc>
        <w:tc>
          <w:tcPr>
            <w:tcW w:type="dxa" w:w="1572"/>
          </w:tcPr>
          <w:p>
            <w:pPr>
              <w:spacing w:before="0" w:after="0"/>
            </w:pPr>
            <w:r>
              <w:rPr>
                <w:sz w:val="19"/>
              </w:rPr>
              <w:t>—</w:t>
            </w:r>
          </w:p>
        </w:tc>
        <w:tc>
          <w:tcPr>
            <w:tcW w:type="dxa" w:w="923"/>
          </w:tcPr>
          <w:p>
            <w:pPr>
              <w:spacing w:before="0" w:after="0"/>
            </w:pPr>
            <w:r>
              <w:rPr>
                <w:sz w:val="19"/>
              </w:rPr>
              <w:t>Day 14</w:t>
            </w:r>
          </w:p>
        </w:tc>
      </w:tr>
      <w:tr>
        <w:trPr>
          <w:cantSplit/>
        </w:trPr>
        <w:tc>
          <w:tcPr>
            <w:tcW w:type="dxa" w:w="1879"/>
          </w:tcPr>
          <w:p>
            <w:pPr>
              <w:spacing w:before="0" w:after="0"/>
            </w:pPr>
            <w:r>
              <w:rPr>
                <w:b/>
                <w:sz w:val="19"/>
              </w:rPr>
              <w:t>Maturity</w:t>
            </w:r>
          </w:p>
        </w:tc>
        <w:tc>
          <w:tcPr>
            <w:tcW w:type="dxa" w:w="5264"/>
          </w:tcPr>
          <w:p>
            <w:pPr>
              <w:spacing w:before="0" w:after="0"/>
            </w:pPr>
            <w:r>
              <w:rPr>
                <w:sz w:val="19"/>
              </w:rPr>
              <w:t>How far a technology is from an idea to reliable use: does it work, in the real environment, for real users, at scale?</w:t>
            </w:r>
          </w:p>
        </w:tc>
        <w:tc>
          <w:tcPr>
            <w:tcW w:type="dxa" w:w="1572"/>
          </w:tcPr>
          <w:p>
            <w:pPr>
              <w:spacing w:before="0" w:after="0"/>
            </w:pPr>
            <w:r>
              <w:rPr>
                <w:sz w:val="19"/>
              </w:rPr>
              <w:t>—</w:t>
            </w:r>
          </w:p>
        </w:tc>
        <w:tc>
          <w:tcPr>
            <w:tcW w:type="dxa" w:w="923"/>
          </w:tcPr>
          <w:p>
            <w:pPr>
              <w:spacing w:before="0" w:after="0"/>
            </w:pPr>
            <w:r>
              <w:rPr>
                <w:sz w:val="19"/>
              </w:rPr>
              <w:t>Day 14</w:t>
            </w:r>
          </w:p>
        </w:tc>
      </w:tr>
      <w:tr>
        <w:trPr>
          <w:cantSplit/>
        </w:trPr>
        <w:tc>
          <w:tcPr>
            <w:tcW w:type="dxa" w:w="1879"/>
          </w:tcPr>
          <w:p>
            <w:pPr>
              <w:spacing w:before="0" w:after="0"/>
            </w:pPr>
            <w:r>
              <w:rPr>
                <w:b/>
                <w:sz w:val="19"/>
              </w:rPr>
              <w:t>Orientation</w:t>
            </w:r>
          </w:p>
        </w:tc>
        <w:tc>
          <w:tcPr>
            <w:tcW w:type="dxa" w:w="5264"/>
          </w:tcPr>
          <w:p>
            <w:pPr>
              <w:spacing w:before="0" w:after="0"/>
            </w:pPr>
            <w:r>
              <w:rPr>
                <w:sz w:val="19"/>
              </w:rPr>
              <w:t>Knowing where you are, what you can do here and what happens next.</w:t>
            </w:r>
          </w:p>
        </w:tc>
        <w:tc>
          <w:tcPr>
            <w:tcW w:type="dxa" w:w="1572"/>
          </w:tcPr>
          <w:p>
            <w:pPr>
              <w:spacing w:before="0" w:after="0"/>
            </w:pPr>
            <w:r>
              <w:rPr>
                <w:sz w:val="19"/>
              </w:rPr>
              <w:t>—</w:t>
            </w:r>
          </w:p>
        </w:tc>
        <w:tc>
          <w:tcPr>
            <w:tcW w:type="dxa" w:w="923"/>
          </w:tcPr>
          <w:p>
            <w:pPr>
              <w:spacing w:before="0" w:after="0"/>
            </w:pPr>
            <w:r>
              <w:rPr>
                <w:sz w:val="19"/>
              </w:rPr>
              <w:t>Day 1</w:t>
            </w:r>
          </w:p>
        </w:tc>
      </w:tr>
      <w:tr>
        <w:trPr>
          <w:cantSplit/>
        </w:trPr>
        <w:tc>
          <w:tcPr>
            <w:tcW w:type="dxa" w:w="1879"/>
          </w:tcPr>
          <w:p>
            <w:pPr>
              <w:spacing w:before="0" w:after="0"/>
            </w:pPr>
            <w:r>
              <w:rPr>
                <w:b/>
                <w:sz w:val="19"/>
              </w:rPr>
              <w:t>Presence</w:t>
            </w:r>
          </w:p>
        </w:tc>
        <w:tc>
          <w:tcPr>
            <w:tcW w:type="dxa" w:w="5264"/>
          </w:tcPr>
          <w:p>
            <w:pPr>
              <w:spacing w:before="0" w:after="0"/>
            </w:pPr>
            <w:r>
              <w:rPr>
                <w:sz w:val="19"/>
              </w:rPr>
              <w:t>The feeling of really being in a place that is digital or partly digital.</w:t>
            </w:r>
          </w:p>
        </w:tc>
        <w:tc>
          <w:tcPr>
            <w:tcW w:type="dxa" w:w="1572"/>
          </w:tcPr>
          <w:p>
            <w:pPr>
              <w:spacing w:before="0" w:after="0"/>
            </w:pPr>
            <w:r>
              <w:rPr>
                <w:sz w:val="19"/>
              </w:rPr>
              <w:t>—</w:t>
            </w:r>
          </w:p>
        </w:tc>
        <w:tc>
          <w:tcPr>
            <w:tcW w:type="dxa" w:w="923"/>
          </w:tcPr>
          <w:p>
            <w:pPr>
              <w:spacing w:before="0" w:after="0"/>
            </w:pPr>
            <w:r>
              <w:rPr>
                <w:sz w:val="19"/>
              </w:rPr>
              <w:t>Day 14</w:t>
            </w:r>
          </w:p>
        </w:tc>
      </w:tr>
      <w:tr>
        <w:trPr>
          <w:cantSplit/>
        </w:trPr>
        <w:tc>
          <w:tcPr>
            <w:tcW w:type="dxa" w:w="1879"/>
          </w:tcPr>
          <w:p>
            <w:pPr>
              <w:spacing w:before="0" w:after="0"/>
            </w:pPr>
            <w:r>
              <w:rPr>
                <w:b/>
                <w:sz w:val="19"/>
              </w:rPr>
              <w:t>Stakeholder</w:t>
            </w:r>
          </w:p>
        </w:tc>
        <w:tc>
          <w:tcPr>
            <w:tcW w:type="dxa" w:w="5264"/>
          </w:tcPr>
          <w:p>
            <w:pPr>
              <w:spacing w:before="0" w:after="0"/>
            </w:pPr>
            <w:r>
              <w:rPr>
                <w:sz w:val="19"/>
              </w:rPr>
              <w:t>A person or department with an interest in a decision, such as marketing, compliance, IT or sales.</w:t>
            </w:r>
          </w:p>
        </w:tc>
        <w:tc>
          <w:tcPr>
            <w:tcW w:type="dxa" w:w="1572"/>
          </w:tcPr>
          <w:p>
            <w:pPr>
              <w:spacing w:before="0" w:after="0"/>
            </w:pPr>
            <w:r>
              <w:rPr>
                <w:sz w:val="19"/>
              </w:rPr>
              <w:t>—</w:t>
            </w:r>
          </w:p>
        </w:tc>
        <w:tc>
          <w:tcPr>
            <w:tcW w:type="dxa" w:w="923"/>
          </w:tcPr>
          <w:p>
            <w:pPr>
              <w:spacing w:before="0" w:after="0"/>
            </w:pPr>
            <w:r>
              <w:rPr>
                <w:sz w:val="19"/>
              </w:rPr>
              <w:t>Day 1</w:t>
            </w:r>
          </w:p>
        </w:tc>
      </w:tr>
      <w:tr>
        <w:trPr>
          <w:cantSplit/>
        </w:trPr>
        <w:tc>
          <w:tcPr>
            <w:tcW w:type="dxa" w:w="1879"/>
          </w:tcPr>
          <w:p>
            <w:pPr>
              <w:spacing w:before="0" w:after="0"/>
            </w:pPr>
            <w:r>
              <w:rPr>
                <w:b/>
                <w:sz w:val="19"/>
              </w:rPr>
              <w:t>Touchpoint</w:t>
            </w:r>
          </w:p>
        </w:tc>
        <w:tc>
          <w:tcPr>
            <w:tcW w:type="dxa" w:w="5264"/>
          </w:tcPr>
          <w:p>
            <w:pPr>
              <w:spacing w:before="0" w:after="0"/>
            </w:pPr>
            <w:r>
              <w:rPr>
                <w:sz w:val="19"/>
              </w:rPr>
              <w:t>Any place where a person meets the company: the website, the customer portal, the app, a chatbot or a phone call.</w:t>
            </w:r>
          </w:p>
        </w:tc>
        <w:tc>
          <w:tcPr>
            <w:tcW w:type="dxa" w:w="1572"/>
          </w:tcPr>
          <w:p>
            <w:pPr>
              <w:spacing w:before="0" w:after="0"/>
            </w:pPr>
            <w:r>
              <w:rPr>
                <w:sz w:val="19"/>
              </w:rPr>
              <w:t>—</w:t>
            </w:r>
          </w:p>
        </w:tc>
        <w:tc>
          <w:tcPr>
            <w:tcW w:type="dxa" w:w="923"/>
          </w:tcPr>
          <w:p>
            <w:pPr>
              <w:spacing w:before="0" w:after="0"/>
            </w:pPr>
            <w:r>
              <w:rPr>
                <w:sz w:val="19"/>
              </w:rPr>
              <w:t>Day 1</w:t>
            </w:r>
          </w:p>
        </w:tc>
      </w:tr>
      <w:tr>
        <w:trPr>
          <w:cantSplit/>
        </w:trPr>
        <w:tc>
          <w:tcPr>
            <w:tcW w:type="dxa" w:w="1879"/>
          </w:tcPr>
          <w:p>
            <w:pPr>
              <w:spacing w:before="0" w:after="0"/>
            </w:pPr>
            <w:r>
              <w:rPr>
                <w:b/>
                <w:sz w:val="19"/>
              </w:rPr>
              <w:t>UX (user experience)</w:t>
            </w:r>
          </w:p>
        </w:tc>
        <w:tc>
          <w:tcPr>
            <w:tcW w:type="dxa" w:w="5264"/>
          </w:tcPr>
          <w:p>
            <w:pPr>
              <w:spacing w:before="0" w:after="0"/>
            </w:pPr>
            <w:r>
              <w:rPr>
                <w:sz w:val="19"/>
              </w:rPr>
              <w:t>Everything a person goes through when using a product: what they notice, understand, feel and do, from the first look to the last step. The screens are only one part of it.</w:t>
            </w:r>
          </w:p>
        </w:tc>
        <w:tc>
          <w:tcPr>
            <w:tcW w:type="dxa" w:w="1572"/>
          </w:tcPr>
          <w:p>
            <w:pPr>
              <w:spacing w:before="0" w:after="0"/>
            </w:pPr>
            <w:r>
              <w:rPr>
                <w:sz w:val="19"/>
              </w:rPr>
              <w:t>Finding the booking you want at once and feeling sure it went through is a good UX.</w:t>
            </w:r>
          </w:p>
        </w:tc>
        <w:tc>
          <w:tcPr>
            <w:tcW w:type="dxa" w:w="923"/>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14</w:t>
            </w:r>
          </w:p>
        </w:tc>
        <w:tc>
          <w:tcPr>
            <w:tcW w:type="dxa" w:w="7124"/>
          </w:tcPr>
          <w:p>
            <w:pPr>
              <w:spacing w:before="0" w:after="0"/>
            </w:pPr>
            <w:r>
              <w:rPr>
                <w:sz w:val="20"/>
              </w:rPr>
              <w:t>https://aion-ux-lab.vercel.app/day/14/</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14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IndustryXR: UX Analysis File and UX Strategy Memo</dc:title>
  <dc:subject>DAY 14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