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15 · MATERI A AND MATERI B · ROUTES 1 AND 2 · LEVELS 1 TO 3</w:t>
      </w:r>
    </w:p>
    <w:p>
      <w:pPr>
        <w:spacing w:before="0" w:after="80" w:line="240" w:lineRule="auto"/>
      </w:pPr>
      <w:r>
        <w:rPr>
          <w:b/>
          <w:sz w:val="52"/>
        </w:rPr>
        <w:t>Eye-tracking and gaze behaviour, neurofeedback and brain-computer interfaces</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15 · Module 7 (day 2 of 3): Eye-tracking and gaze behaviour, neurofeedback and brain-computer interfaces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https://aion-ux-lab.vercel.app/day/15/</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VisionMind Lab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measuring people's attention: where their eyes go, and what their brain activity might say. You learn what eye-tracking really records (fixations, scanpaths, heatmaps), why looking is not understanding, what neurofeedback and brain-computer interfaces are and how mature they are, and why neurodata needs more care than any click. Then you use it on three platforms, including a gaze recording you can replay and re-read, and you look at what an eye-tracking maker and a data protection regulator say. This document holds everything you need to study Day 15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What eye-tracking measures: fixations, scanpaths, heatmaps and areas of interest · 12 min · Core</w:t>
            </w:r>
          </w:p>
          <w:p>
            <w:pPr>
              <w:spacing w:before="0" w:after="20"/>
              <w:ind w:left="170"/>
            </w:pPr>
            <w:r>
              <w:rPr>
                <w:sz w:val="20"/>
              </w:rPr>
              <w:t>A2 · Looking is not understanding: the limits of gaze data · 12 min · Core</w:t>
            </w:r>
          </w:p>
          <w:p>
            <w:pPr>
              <w:spacing w:before="0" w:after="20"/>
              <w:ind w:left="170"/>
            </w:pPr>
            <w:r>
              <w:rPr>
                <w:sz w:val="20"/>
              </w:rPr>
              <w:t>A3 · Neurofeedback and brain-computer interfaces at their real maturity · 12 min · Core</w:t>
            </w:r>
          </w:p>
          <w:p>
            <w:pPr>
              <w:spacing w:before="0" w:after="20"/>
              <w:ind w:left="170"/>
            </w:pPr>
            <w:r>
              <w:rPr>
                <w:sz w:val="20"/>
              </w:rPr>
              <w:t>A4 · Insight, interpretation risk and decision relevance: research, experiment or product? · 12 min · Core</w:t>
            </w:r>
          </w:p>
          <w:p>
            <w:pPr>
              <w:spacing w:before="0" w:after="20"/>
              <w:ind w:left="170"/>
            </w:pPr>
            <w:r>
              <w:rPr>
                <w:sz w:val="20"/>
              </w:rPr>
              <w:t>A5 · Ethics, data protection and voluntariness, and weighing a measure · 12 min · Core</w:t>
            </w:r>
          </w:p>
          <w:p>
            <w:pPr>
              <w:spacing w:before="0" w:after="20"/>
              <w:ind w:left="170"/>
            </w:pPr>
            <w:r>
              <w:rPr>
                <w:sz w:val="20"/>
              </w:rPr>
              <w:t>B1 · Neuro-based UX as an insight architecture, not measurement fascination · 20 min · Core</w:t>
            </w:r>
          </w:p>
          <w:p>
            <w:pPr>
              <w:spacing w:before="0" w:after="20"/>
              <w:ind w:left="170"/>
            </w:pPr>
            <w:r>
              <w:rPr>
                <w:sz w:val="20"/>
              </w:rPr>
              <w:t>B2 · Value, validity, effort, ethics, data protection, maturity: the conflicts of neuro-based UX · 20 min · Core</w:t>
            </w:r>
          </w:p>
          <w:p>
            <w:pPr>
              <w:spacing w:before="0" w:after="20"/>
              <w:ind w:left="170"/>
            </w:pPr>
            <w:r>
              <w:rPr>
                <w:sz w:val="20"/>
              </w:rPr>
              <w:t>B3 · Governance for neurodata, and deciding with thin evidence · 20 min · Core</w:t>
            </w:r>
          </w:p>
        </w:tc>
      </w:tr>
    </w:tbl>
    <w:p>
      <w:pPr>
        <w:pStyle w:val="Heading1"/>
        <w:pBdr>
          <w:bottom w:val="single" w:sz="8" w:space="2" w:color="17212E"/>
        </w:pBdr>
      </w:pPr>
      <w:r>
        <w:rPr/>
        <w:t>Day at a glance</w:t>
      </w:r>
    </w:p>
    <w:p>
      <w:pPr>
        <w:spacing w:before="0" w:after="100"/>
      </w:pPr>
      <w:r>
        <w:rPr/>
        <w:t xml:space="preserve">Day 15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6"/>
        <w:gridCol w:w="3267"/>
        <w:gridCol w:w="1516"/>
        <w:gridCol w:w="1821"/>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6"/>
            <w:shd w:val="clear" w:color="auto" w:fill="E6ECF4"/>
          </w:tcPr>
          <w:p>
            <w:pPr>
              <w:spacing w:before="0" w:after="0"/>
            </w:pPr>
            <w:r>
              <w:rPr>
                <w:b/>
                <w:sz w:val="19"/>
              </w:rPr>
              <w:t>Plan item</w:t>
            </w:r>
          </w:p>
        </w:tc>
        <w:tc>
          <w:tcPr>
            <w:tcW w:type="dxa" w:w="3267"/>
            <w:shd w:val="clear" w:color="auto" w:fill="E6ECF4"/>
          </w:tcPr>
          <w:p>
            <w:pPr>
              <w:spacing w:before="0" w:after="0"/>
            </w:pPr>
            <w:r>
              <w:rPr>
                <w:b/>
                <w:sz w:val="19"/>
              </w:rPr>
              <w:t>What happens</w:t>
            </w:r>
          </w:p>
        </w:tc>
        <w:tc>
          <w:tcPr>
            <w:tcW w:type="dxa" w:w="1516"/>
            <w:shd w:val="clear" w:color="auto" w:fill="E6ECF4"/>
          </w:tcPr>
          <w:p>
            <w:pPr>
              <w:spacing w:before="0" w:after="0"/>
            </w:pPr>
            <w:r>
              <w:rPr>
                <w:b/>
                <w:sz w:val="19"/>
              </w:rPr>
              <w:t>Material</w:t>
            </w:r>
          </w:p>
        </w:tc>
        <w:tc>
          <w:tcPr>
            <w:tcW w:type="dxa" w:w="1821"/>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6"/>
          </w:tcPr>
          <w:p>
            <w:pPr>
              <w:spacing w:before="0" w:after="0"/>
            </w:pPr>
            <w:r>
              <w:rPr>
                <w:sz w:val="19"/>
              </w:rPr>
              <w:t>Knowledge transfer · Level 1</w:t>
            </w:r>
          </w:p>
        </w:tc>
        <w:tc>
          <w:tcPr>
            <w:tcW w:type="dxa" w:w="3267"/>
          </w:tcPr>
          <w:p>
            <w:pPr>
              <w:spacing w:before="0" w:after="0"/>
            </w:pPr>
            <w:r>
              <w:rPr>
                <w:sz w:val="19"/>
              </w:rPr>
              <w:t>The trainer presents the cards of Materi A (A1, A2, A3, A4, A5, about 60 min of cards) in the Neuro-UX Lab; participants follow in the handout.</w:t>
            </w:r>
          </w:p>
        </w:tc>
        <w:tc>
          <w:tcPr>
            <w:tcW w:type="dxa" w:w="1516"/>
          </w:tcPr>
          <w:p>
            <w:pPr>
              <w:spacing w:before="0" w:after="0"/>
            </w:pPr>
            <w:r>
              <w:rPr>
                <w:sz w:val="19"/>
              </w:rPr>
              <w:t>Materi A (Route 1)</w:t>
            </w:r>
          </w:p>
        </w:tc>
        <w:tc>
          <w:tcPr>
            <w:tcW w:type="dxa" w:w="1821"/>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6"/>
          </w:tcPr>
          <w:p>
            <w:pPr>
              <w:spacing w:before="0" w:after="0"/>
            </w:pPr>
            <w:r>
              <w:rPr>
                <w:sz w:val="19"/>
              </w:rPr>
              <w:t>Level 1 · Task 1</w:t>
            </w:r>
          </w:p>
        </w:tc>
        <w:tc>
          <w:tcPr>
            <w:tcW w:type="dxa" w:w="3267"/>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6"/>
          </w:tcPr>
          <w:p>
            <w:pPr>
              <w:spacing w:before="0" w:after="0"/>
            </w:pPr>
            <w:r>
              <w:rPr>
                <w:sz w:val="19"/>
              </w:rPr>
              <w:t>Task 1 · Part 1 · Block 1.1</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6"/>
          </w:tcPr>
          <w:p>
            <w:pPr>
              <w:spacing w:before="0" w:after="0"/>
            </w:pPr>
            <w:r>
              <w:rPr>
                <w:sz w:val="19"/>
              </w:rPr>
              <w:t>Level 1 · Task 2</w:t>
            </w:r>
          </w:p>
        </w:tc>
        <w:tc>
          <w:tcPr>
            <w:tcW w:type="dxa" w:w="3267"/>
          </w:tcPr>
          <w:p>
            <w:pPr>
              <w:spacing w:before="0" w:after="0"/>
            </w:pPr>
            <w:r>
              <w:rPr>
                <w:sz w:val="19"/>
              </w:rPr>
              <w:t>Three options are rated on the same criteria and one is chosen under the stated conditions: Block 1.2 (Core, about 8 min).</w:t>
            </w:r>
          </w:p>
        </w:tc>
        <w:tc>
          <w:tcPr>
            <w:tcW w:type="dxa" w:w="1516"/>
          </w:tcPr>
          <w:p>
            <w:pPr>
              <w:spacing w:before="0" w:after="0"/>
            </w:pPr>
            <w:r>
              <w:rPr>
                <w:sz w:val="19"/>
              </w:rPr>
              <w:t>Task 1 · Part 1 · Block 1.2</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6"/>
          </w:tcPr>
          <w:p>
            <w:pPr>
              <w:spacing w:before="0" w:after="0"/>
            </w:pPr>
            <w:r>
              <w:rPr>
                <w:sz w:val="19"/>
              </w:rPr>
              <w:t>Coaching · transition from Level 1 to Level 2</w:t>
            </w:r>
          </w:p>
        </w:tc>
        <w:tc>
          <w:tcPr>
            <w:tcW w:type="dxa" w:w="3267"/>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6"/>
          </w:tcPr>
          <w:p>
            <w:pPr>
              <w:spacing w:before="0" w:after="0"/>
            </w:pPr>
            <w:r>
              <w:rPr>
                <w:sz w:val="19"/>
              </w:rPr>
              <w:t>Trainer document, section Coaching</w:t>
            </w:r>
          </w:p>
        </w:tc>
        <w:tc>
          <w:tcPr>
            <w:tcW w:type="dxa" w:w="1821"/>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6"/>
          </w:tcPr>
          <w:p>
            <w:pPr>
              <w:spacing w:before="0" w:after="0"/>
            </w:pPr>
            <w:r>
              <w:rPr>
                <w:sz w:val="19"/>
              </w:rPr>
              <w:t>Level 2 · Case study VisionMind Lab (</w:t>
            </w:r>
            <w:r>
              <w:rPr>
                <w:b/>
                <w:sz w:val="19"/>
              </w:rPr>
              <w:t>2 UE</w:t>
            </w:r>
            <w:r>
              <w:rPr>
                <w:sz w:val="19"/>
              </w:rPr>
              <w:t>) incl. model solution</w:t>
            </w:r>
          </w:p>
        </w:tc>
        <w:tc>
          <w:tcPr>
            <w:tcW w:type="dxa" w:w="3267"/>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6"/>
          </w:tcPr>
          <w:p>
            <w:pPr>
              <w:spacing w:before="0" w:after="0"/>
            </w:pPr>
            <w:r>
              <w:rPr>
                <w:sz w:val="19"/>
              </w:rPr>
              <w:t>Task 1 · Part 2 · Block 2.1</w:t>
            </w:r>
            <w:r>
              <w:br/>
            </w:r>
            <w:r>
              <w:rPr>
                <w:sz w:val="19"/>
              </w:rPr>
              <w:t>Trainer document, section Case study</w:t>
            </w:r>
          </w:p>
        </w:tc>
        <w:tc>
          <w:tcPr>
            <w:tcW w:type="dxa" w:w="1821"/>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6"/>
          </w:tcPr>
          <w:p>
            <w:pPr>
              <w:spacing w:before="0" w:after="0"/>
            </w:pPr>
            <w:r>
              <w:rPr>
                <w:sz w:val="19"/>
              </w:rPr>
              <w:t>Level 2 + 3 · Feedback round with a management perspective</w:t>
            </w:r>
          </w:p>
        </w:tc>
        <w:tc>
          <w:tcPr>
            <w:tcW w:type="dxa" w:w="3267"/>
          </w:tcPr>
          <w:p>
            <w:pPr>
              <w:spacing w:before="0" w:after="0"/>
            </w:pPr>
            <w:r>
              <w:rPr>
                <w:sz w:val="19"/>
              </w:rPr>
              <w:t>Groups present their reasoning, not only their result. The trainer asks the day's Level 3 input questions and leads the discussion.</w:t>
            </w:r>
          </w:p>
        </w:tc>
        <w:tc>
          <w:tcPr>
            <w:tcW w:type="dxa" w:w="1516"/>
          </w:tcPr>
          <w:p>
            <w:pPr>
              <w:spacing w:before="0" w:after="0"/>
            </w:pPr>
            <w:r>
              <w:rPr>
                <w:sz w:val="19"/>
              </w:rPr>
              <w:t>Trainer document, section Feedback round</w:t>
            </w:r>
          </w:p>
        </w:tc>
        <w:tc>
          <w:tcPr>
            <w:tcW w:type="dxa" w:w="1821"/>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6"/>
          </w:tcPr>
          <w:p>
            <w:pPr>
              <w:spacing w:before="0" w:after="0"/>
            </w:pPr>
            <w:r>
              <w:rPr>
                <w:sz w:val="19"/>
              </w:rPr>
              <w:t>Level 3 · Transfer project, Chief Experience Officer (</w:t>
            </w:r>
            <w:r>
              <w:rPr>
                <w:b/>
                <w:sz w:val="19"/>
              </w:rPr>
              <w:t>3 UE</w:t>
            </w:r>
            <w:r>
              <w:rPr>
                <w:sz w:val="19"/>
              </w:rPr>
              <w:t>: UE8–10)</w:t>
            </w:r>
          </w:p>
        </w:tc>
        <w:tc>
          <w:tcPr>
            <w:tcW w:type="dxa" w:w="3267"/>
          </w:tcPr>
          <w:p>
            <w:pPr>
              <w:spacing w:before="0" w:after="0"/>
            </w:pPr>
            <w:r>
              <w:rPr>
                <w:sz w:val="19"/>
              </w:rPr>
              <w:t>The trainer presents Materi B (B1, B2, B3; use the "In plain words" and "How to decide" boxes, the rest is handout) and sets the role and the situation.</w:t>
            </w:r>
          </w:p>
        </w:tc>
        <w:tc>
          <w:tcPr>
            <w:tcW w:type="dxa" w:w="1516"/>
          </w:tcPr>
          <w:p>
            <w:pPr>
              <w:spacing w:before="0" w:after="0"/>
            </w:pPr>
            <w:r>
              <w:rPr>
                <w:sz w:val="19"/>
              </w:rPr>
              <w:t>Materi B (Route 2)</w:t>
            </w:r>
          </w:p>
        </w:tc>
        <w:tc>
          <w:tcPr>
            <w:tcW w:type="dxa" w:w="1821"/>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6"/>
          </w:tcPr>
          <w:p>
            <w:pPr>
              <w:spacing w:before="0" w:after="0"/>
            </w:pPr>
            <w:r>
              <w:rPr>
                <w:sz w:val="19"/>
              </w:rPr>
              <w:t>Level 3 · Transfer project</w:t>
            </w:r>
          </w:p>
        </w:tc>
        <w:tc>
          <w:tcPr>
            <w:tcW w:type="dxa" w:w="3267"/>
          </w:tcPr>
          <w:p>
            <w:pPr>
              <w:spacing w:before="0" w:after="0"/>
            </w:pPr>
            <w:r>
              <w:rPr>
                <w:sz w:val="19"/>
              </w:rPr>
              <w:t>Individual work or in pairs on Block 3.1 (Core, about 20 min): the strategy memo.</w:t>
            </w:r>
          </w:p>
        </w:tc>
        <w:tc>
          <w:tcPr>
            <w:tcW w:type="dxa" w:w="1516"/>
          </w:tcPr>
          <w:p>
            <w:pPr>
              <w:spacing w:before="0" w:after="0"/>
            </w:pPr>
            <w:r>
              <w:rPr>
                <w:sz w:val="19"/>
              </w:rPr>
              <w:t>Task 2 · Block 3.1</w:t>
            </w:r>
          </w:p>
        </w:tc>
        <w:tc>
          <w:tcPr>
            <w:tcW w:type="dxa" w:w="1821"/>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6"/>
          </w:tcPr>
          <w:p>
            <w:pPr>
              <w:spacing w:before="0" w:after="0"/>
            </w:pPr>
            <w:r>
              <w:rPr>
                <w:sz w:val="19"/>
              </w:rPr>
              <w:t>Level 3 · Transfer project</w:t>
            </w:r>
          </w:p>
        </w:tc>
        <w:tc>
          <w:tcPr>
            <w:tcW w:type="dxa" w:w="3267"/>
          </w:tcPr>
          <w:p>
            <w:pPr>
              <w:spacing w:before="0" w:after="0"/>
            </w:pPr>
            <w:r>
              <w:rPr>
                <w:sz w:val="19"/>
              </w:rPr>
              <w:t>Participants present their decision and what they give up, including the one decision made under uncertainty; the trainer debriefs with the model solution.</w:t>
            </w:r>
          </w:p>
        </w:tc>
        <w:tc>
          <w:tcPr>
            <w:tcW w:type="dxa" w:w="1516"/>
          </w:tcPr>
          <w:p>
            <w:pPr>
              <w:spacing w:before="0" w:after="0"/>
            </w:pPr>
            <w:r>
              <w:rPr>
                <w:sz w:val="19"/>
              </w:rPr>
              <w:t>Task 2 · Block 3.1</w:t>
            </w:r>
            <w:r>
              <w:br/>
            </w:r>
            <w:r>
              <w:rPr>
                <w:sz w:val="19"/>
              </w:rPr>
              <w:t>Trainer document, section Transfer project</w:t>
            </w:r>
          </w:p>
        </w:tc>
        <w:tc>
          <w:tcPr>
            <w:tcW w:type="dxa" w:w="1821"/>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92"/>
        <w:gridCol w:w="1018"/>
        <w:gridCol w:w="1451"/>
        <w:gridCol w:w="2303"/>
        <w:gridCol w:w="2274"/>
      </w:tblGrid>
      <w:tr>
        <w:trPr>
          <w:cantSplit/>
          <w:tblHeader/>
        </w:trPr>
        <w:tc>
          <w:tcPr>
            <w:tcW w:type="dxa" w:w="2592"/>
            <w:shd w:val="clear" w:color="auto" w:fill="E6ECF4"/>
          </w:tcPr>
          <w:p>
            <w:pPr>
              <w:spacing w:before="0" w:after="0"/>
            </w:pPr>
            <w:r>
              <w:rPr>
                <w:b/>
                <w:sz w:val="19"/>
              </w:rPr>
              <w:t>Component</w:t>
            </w:r>
          </w:p>
        </w:tc>
        <w:tc>
          <w:tcPr>
            <w:tcW w:type="dxa" w:w="1018"/>
            <w:shd w:val="clear" w:color="auto" w:fill="E6ECF4"/>
          </w:tcPr>
          <w:p>
            <w:pPr>
              <w:spacing w:before="0" w:after="0"/>
            </w:pPr>
            <w:r>
              <w:rPr>
                <w:b/>
                <w:sz w:val="19"/>
              </w:rPr>
              <w:t>UE</w:t>
            </w:r>
          </w:p>
        </w:tc>
        <w:tc>
          <w:tcPr>
            <w:tcW w:type="dxa" w:w="1451"/>
            <w:shd w:val="clear" w:color="auto" w:fill="E6ECF4"/>
          </w:tcPr>
          <w:p>
            <w:pPr>
              <w:spacing w:before="0" w:after="0"/>
            </w:pPr>
            <w:r>
              <w:rPr>
                <w:b/>
                <w:sz w:val="19"/>
              </w:rPr>
              <w:t>Duration</w:t>
            </w:r>
          </w:p>
        </w:tc>
        <w:tc>
          <w:tcPr>
            <w:tcW w:type="dxa" w:w="2303"/>
            <w:shd w:val="clear" w:color="auto" w:fill="E6ECF4"/>
          </w:tcPr>
          <w:p>
            <w:pPr>
              <w:spacing w:before="0" w:after="0"/>
            </w:pPr>
            <w:r>
              <w:rPr>
                <w:b/>
                <w:sz w:val="19"/>
              </w:rPr>
              <w:t>Participants work in</w:t>
            </w:r>
          </w:p>
        </w:tc>
        <w:tc>
          <w:tcPr>
            <w:tcW w:type="dxa" w:w="2274"/>
            <w:shd w:val="clear" w:color="auto" w:fill="E6ECF4"/>
          </w:tcPr>
          <w:p>
            <w:pPr>
              <w:spacing w:before="0" w:after="0"/>
            </w:pPr>
            <w:r>
              <w:rPr>
                <w:b/>
                <w:sz w:val="19"/>
              </w:rPr>
              <w:t>Model solution in</w:t>
            </w:r>
          </w:p>
        </w:tc>
      </w:tr>
      <w:tr>
        <w:trPr>
          <w:cantSplit/>
        </w:trPr>
        <w:tc>
          <w:tcPr>
            <w:tcW w:type="dxa" w:w="2592"/>
          </w:tcPr>
          <w:p>
            <w:pPr>
              <w:spacing w:before="0" w:after="0"/>
            </w:pPr>
            <w:r>
              <w:rPr>
                <w:b/>
                <w:sz w:val="19"/>
              </w:rPr>
              <w:t>Level 2 case study</w:t>
            </w:r>
            <w:r>
              <w:rPr>
                <w:sz w:val="19"/>
              </w:rPr>
              <w:t xml:space="preserve"> (VisionMind Lab)</w:t>
            </w:r>
          </w:p>
        </w:tc>
        <w:tc>
          <w:tcPr>
            <w:tcW w:type="dxa" w:w="1018"/>
          </w:tcPr>
          <w:p>
            <w:pPr>
              <w:spacing w:before="0" w:after="0"/>
            </w:pPr>
            <w:r>
              <w:rPr>
                <w:sz w:val="19"/>
              </w:rPr>
              <w:t>UE5–6</w:t>
            </w:r>
          </w:p>
        </w:tc>
        <w:tc>
          <w:tcPr>
            <w:tcW w:type="dxa" w:w="1451"/>
          </w:tcPr>
          <w:p>
            <w:pPr>
              <w:spacing w:before="0" w:after="0"/>
            </w:pPr>
            <w:r>
              <w:rPr>
                <w:b/>
                <w:sz w:val="19"/>
              </w:rPr>
              <w:t>2 UE</w:t>
            </w:r>
            <w:r>
              <w:rPr>
                <w:sz w:val="19"/>
              </w:rPr>
              <w:t xml:space="preserve"> · 90 min</w:t>
            </w:r>
          </w:p>
        </w:tc>
        <w:tc>
          <w:tcPr>
            <w:tcW w:type="dxa" w:w="2303"/>
          </w:tcPr>
          <w:p>
            <w:pPr>
              <w:spacing w:before="0" w:after="0"/>
            </w:pPr>
            <w:r>
              <w:rPr>
                <w:sz w:val="19"/>
              </w:rPr>
              <w:t>Task 1 · Part 2 (Block 2.1)</w:t>
            </w:r>
          </w:p>
        </w:tc>
        <w:tc>
          <w:tcPr>
            <w:tcW w:type="dxa" w:w="2274"/>
          </w:tcPr>
          <w:p>
            <w:pPr>
              <w:spacing w:before="0" w:after="0"/>
            </w:pPr>
            <w:r>
              <w:rPr>
                <w:sz w:val="19"/>
              </w:rPr>
              <w:t>Trainer document, section Case study</w:t>
            </w:r>
          </w:p>
        </w:tc>
      </w:tr>
      <w:tr>
        <w:trPr>
          <w:cantSplit/>
        </w:trPr>
        <w:tc>
          <w:tcPr>
            <w:tcW w:type="dxa" w:w="2592"/>
          </w:tcPr>
          <w:p>
            <w:pPr>
              <w:spacing w:before="0" w:after="0"/>
            </w:pPr>
            <w:r>
              <w:rPr>
                <w:b/>
                <w:sz w:val="19"/>
              </w:rPr>
              <w:t>Level 3 transfer project</w:t>
            </w:r>
            <w:r>
              <w:rPr>
                <w:sz w:val="19"/>
              </w:rPr>
              <w:t xml:space="preserve"> (Chief Experience Officer)</w:t>
            </w:r>
          </w:p>
        </w:tc>
        <w:tc>
          <w:tcPr>
            <w:tcW w:type="dxa" w:w="1018"/>
          </w:tcPr>
          <w:p>
            <w:pPr>
              <w:spacing w:before="0" w:after="0"/>
            </w:pPr>
            <w:r>
              <w:rPr>
                <w:sz w:val="19"/>
              </w:rPr>
              <w:t>UE8–10</w:t>
            </w:r>
          </w:p>
        </w:tc>
        <w:tc>
          <w:tcPr>
            <w:tcW w:type="dxa" w:w="1451"/>
          </w:tcPr>
          <w:p>
            <w:pPr>
              <w:spacing w:before="0" w:after="0"/>
            </w:pPr>
            <w:r>
              <w:rPr>
                <w:b/>
                <w:sz w:val="19"/>
              </w:rPr>
              <w:t>3 UE</w:t>
            </w:r>
            <w:r>
              <w:rPr>
                <w:sz w:val="19"/>
              </w:rPr>
              <w:t xml:space="preserve"> · 135 min</w:t>
            </w:r>
          </w:p>
        </w:tc>
        <w:tc>
          <w:tcPr>
            <w:tcW w:type="dxa" w:w="2303"/>
          </w:tcPr>
          <w:p>
            <w:pPr>
              <w:spacing w:before="0" w:after="0"/>
            </w:pPr>
            <w:r>
              <w:rPr>
                <w:sz w:val="19"/>
              </w:rPr>
              <w:t>Materi B and Task 2 (Block 3.1)</w:t>
            </w:r>
          </w:p>
        </w:tc>
        <w:tc>
          <w:tcPr>
            <w:tcW w:type="dxa" w:w="2274"/>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analyse the insight value and limits of an eye-tracking and neurofeedback project, rate three approaches for a learning platform under conflicting goals, then analyse a company's neuro-based research plans, develop four measures, justify them and decide on the first 18 weeks. The cards give you the ideas and the rules you use in Task 1.</w:t>
            </w:r>
          </w:p>
        </w:tc>
      </w:tr>
    </w:tbl>
    <w:p>
      <w:pPr>
        <w:spacing w:before="0" w:after="80"/>
      </w:pPr>
    </w:p>
    <w:p>
      <w:pPr>
        <w:pStyle w:val="Heading2"/>
      </w:pPr>
      <w:r>
        <w:rPr/>
        <w:t>A1 · What eye-tracking measures: fixations, scanpaths, heatmaps and areas of interest · 12 min · Core</w:t>
      </w:r>
    </w:p>
    <w:p>
      <w:pPr>
        <w:pBdr>
          <w:left w:val="single" w:sz="18" w:space="6" w:color="1750A8"/>
        </w:pBdr>
        <w:spacing w:before="40" w:after="120"/>
        <w:ind w:left="170"/>
      </w:pPr>
      <w:r>
        <w:rPr>
          <w:i/>
          <w:color w:val="556274"/>
          <w:sz w:val="22"/>
        </w:rPr>
        <w:t>An eye-tracker records where people look: fixations (pauses) and saccades (jumps). One recording can be shown as a scanpath (the order), a heatmap (time added up) or areas of interest (marked parts, with when and how long). Each view shows something and hides something. In UX it helps with navigation, information architecture, interface evaluation and prototype tests.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An eye-tracker records where a person looks. The eye does not glide; it jumps (saccades) and pauses (fixations), and we take in information during the pauses. One recording can be shown in several ways: as a scanpath (the order of fixations, numbered), as a heatmap (where looks piled up, added over people) or as areas of interest (marked parts of the page, with how soon and how long they were looked at). Each view shows something and hides something; which one a team is shown is a decision someone made. In UX, eye-tracking helps with navigation, information architecture, interface evaluation and prototype tests: what is seen first, what is never seen, where people search.</w:t>
            </w:r>
          </w:p>
          <w:p>
            <w:pPr>
              <w:spacing w:before="0" w:after="100"/>
            </w:pPr>
            <w:r>
              <w:rPr>
                <w:b/>
              </w:rPr>
              <w:t>Why it matters.</w:t>
            </w:r>
            <w:r>
              <w:rPr/>
              <w:t xml:space="preserve"> Block 1.1 asks where FocusSense's eye-tracking gives real insight, Block 1.2 rates eye-tracking in prototype tests, and Block 2.1 asks which of VisionMind Lab's methods are product-near. This card tells you what the data actually is.</w:t>
            </w:r>
          </w:p>
          <w:p>
            <w:pPr>
              <w:spacing w:before="0" w:after="100"/>
            </w:pPr>
            <w:r>
              <w:rPr>
                <w:b/>
              </w:rPr>
              <w:t>How to read the picture.</w:t>
            </w:r>
            <w:r>
              <w:rPr/>
              <w:t xml:space="preserve"> One recording of Mara on the Tessel transfer page, shown three ways: as a numbered scanpath, as a heatmap, and as areas of interest with when and how long she looked.</w:t>
            </w:r>
          </w:p>
        </w:tc>
      </w:tr>
    </w:tbl>
    <w:p>
      <w:pPr>
        <w:spacing w:before="0" w:after="80"/>
      </w:pPr>
    </w:p>
    <w:p>
      <w:pPr>
        <w:keepNext/>
        <w:spacing w:before="80" w:after="40"/>
        <w:jc w:val="center"/>
      </w:pPr>
      <w:r>
        <w:drawing>
          <wp:inline xmlns:a="http://schemas.openxmlformats.org/drawingml/2006/main" xmlns:pic="http://schemas.openxmlformats.org/drawingml/2006/picture">
            <wp:extent cx="5225383" cy="5580000"/>
            <wp:docPr id="1" name="Picture 1"/>
            <wp:cNvGraphicFramePr>
              <a:graphicFrameLocks noChangeAspect="1"/>
            </wp:cNvGraphicFramePr>
            <a:graphic>
              <a:graphicData uri="http://schemas.openxmlformats.org/drawingml/2006/picture">
                <pic:pic>
                  <pic:nvPicPr>
                    <pic:cNvPr id="0" name="d15_A1_0-d7c0a2e845fe.png"/>
                    <pic:cNvPicPr/>
                  </pic:nvPicPr>
                  <pic:blipFill>
                    <a:blip r:embed="rId10"/>
                    <a:stretch>
                      <a:fillRect/>
                    </a:stretch>
                  </pic:blipFill>
                  <pic:spPr>
                    <a:xfrm>
                      <a:off x="0" y="0"/>
                      <a:ext cx="5225383" cy="5580000"/>
                    </a:xfrm>
                    <a:prstGeom prst="rect"/>
                  </pic:spPr>
                </pic:pic>
              </a:graphicData>
            </a:graphic>
          </wp:inline>
        </w:drawing>
      </w:r>
    </w:p>
    <w:p>
      <w:pPr>
        <w:spacing w:before="0" w:after="160"/>
        <w:jc w:val="center"/>
      </w:pPr>
      <w:r>
        <w:rPr>
          <w:i/>
          <w:color w:val="556274"/>
          <w:sz w:val="18"/>
        </w:rPr>
        <w:t>Figure 1 · Mara's gaze on Tessel's transfer page, as a scanpath, a heatmap and areas of interest · Exploratory.</w:t>
      </w:r>
    </w:p>
    <w:p>
      <w:pPr>
        <w:spacing w:before="0" w:after="100"/>
      </w:pPr>
      <w:r>
        <w:rPr>
          <w:b/>
        </w:rPr>
        <w:t>What eye-tracking can make visible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65"/>
        <w:gridCol w:w="3287"/>
        <w:gridCol w:w="3786"/>
      </w:tblGrid>
      <w:tr>
        <w:trPr>
          <w:cantSplit/>
          <w:tblHeader/>
        </w:trPr>
        <w:tc>
          <w:tcPr>
            <w:tcW w:type="dxa" w:w="2565"/>
            <w:shd w:val="clear" w:color="auto" w:fill="E6ECF4"/>
          </w:tcPr>
          <w:p>
            <w:pPr>
              <w:spacing w:before="0" w:after="0"/>
            </w:pPr>
            <w:r>
              <w:rPr>
                <w:b/>
                <w:sz w:val="20"/>
              </w:rPr>
              <w:t>What it shows</w:t>
            </w:r>
          </w:p>
        </w:tc>
        <w:tc>
          <w:tcPr>
            <w:tcW w:type="dxa" w:w="3287"/>
            <w:shd w:val="clear" w:color="auto" w:fill="E6ECF4"/>
          </w:tcPr>
          <w:p>
            <w:pPr>
              <w:spacing w:before="0" w:after="0"/>
            </w:pPr>
            <w:r>
              <w:rPr>
                <w:b/>
                <w:sz w:val="20"/>
              </w:rPr>
              <w:t>Example (Tessel)</w:t>
            </w:r>
          </w:p>
        </w:tc>
        <w:tc>
          <w:tcPr>
            <w:tcW w:type="dxa" w:w="3786"/>
            <w:shd w:val="clear" w:color="auto" w:fill="E6ECF4"/>
          </w:tcPr>
          <w:p>
            <w:pPr>
              <w:spacing w:before="0" w:after="0"/>
            </w:pPr>
            <w:r>
              <w:rPr>
                <w:b/>
                <w:sz w:val="20"/>
              </w:rPr>
              <w:t>Useful for</w:t>
            </w:r>
          </w:p>
        </w:tc>
      </w:tr>
      <w:tr>
        <w:trPr>
          <w:cantSplit/>
        </w:trPr>
        <w:tc>
          <w:tcPr>
            <w:tcW w:type="dxa" w:w="2565"/>
          </w:tcPr>
          <w:p>
            <w:pPr>
              <w:spacing w:before="0" w:after="0"/>
            </w:pPr>
            <w:r>
              <w:rPr>
                <w:sz w:val="20"/>
              </w:rPr>
              <w:t>Fixations</w:t>
            </w:r>
          </w:p>
        </w:tc>
        <w:tc>
          <w:tcPr>
            <w:tcW w:type="dxa" w:w="3287"/>
          </w:tcPr>
          <w:p>
            <w:pPr>
              <w:spacing w:before="0" w:after="0"/>
            </w:pPr>
            <w:r>
              <w:rPr>
                <w:sz w:val="20"/>
              </w:rPr>
              <w:t>1.5 s on the fee line.</w:t>
            </w:r>
          </w:p>
        </w:tc>
        <w:tc>
          <w:tcPr>
            <w:tcW w:type="dxa" w:w="3786"/>
          </w:tcPr>
          <w:p>
            <w:pPr>
              <w:spacing w:before="0" w:after="0"/>
            </w:pPr>
            <w:r>
              <w:rPr>
                <w:sz w:val="20"/>
              </w:rPr>
              <w:t>Where effort or interest sits.</w:t>
            </w:r>
          </w:p>
        </w:tc>
      </w:tr>
      <w:tr>
        <w:trPr>
          <w:cantSplit/>
        </w:trPr>
        <w:tc>
          <w:tcPr>
            <w:tcW w:type="dxa" w:w="2565"/>
          </w:tcPr>
          <w:p>
            <w:pPr>
              <w:spacing w:before="0" w:after="0"/>
            </w:pPr>
            <w:r>
              <w:rPr>
                <w:sz w:val="20"/>
              </w:rPr>
              <w:t>Scanpaths</w:t>
            </w:r>
          </w:p>
        </w:tc>
        <w:tc>
          <w:tcPr>
            <w:tcW w:type="dxa" w:w="3287"/>
          </w:tcPr>
          <w:p>
            <w:pPr>
              <w:spacing w:before="0" w:after="0"/>
            </w:pPr>
            <w:r>
              <w:rPr>
                <w:sz w:val="20"/>
              </w:rPr>
              <w:t>Form, advert, form, fee line.</w:t>
            </w:r>
          </w:p>
        </w:tc>
        <w:tc>
          <w:tcPr>
            <w:tcW w:type="dxa" w:w="3786"/>
          </w:tcPr>
          <w:p>
            <w:pPr>
              <w:spacing w:before="0" w:after="0"/>
            </w:pPr>
            <w:r>
              <w:rPr>
                <w:sz w:val="20"/>
              </w:rPr>
              <w:t>Search behaviour and getting lost.</w:t>
            </w:r>
          </w:p>
        </w:tc>
      </w:tr>
      <w:tr>
        <w:trPr>
          <w:cantSplit/>
        </w:trPr>
        <w:tc>
          <w:tcPr>
            <w:tcW w:type="dxa" w:w="2565"/>
          </w:tcPr>
          <w:p>
            <w:pPr>
              <w:spacing w:before="0" w:after="0"/>
            </w:pPr>
            <w:r>
              <w:rPr>
                <w:sz w:val="20"/>
              </w:rPr>
              <w:t>Distribution of attention</w:t>
            </w:r>
          </w:p>
        </w:tc>
        <w:tc>
          <w:tcPr>
            <w:tcW w:type="dxa" w:w="3287"/>
          </w:tcPr>
          <w:p>
            <w:pPr>
              <w:spacing w:before="0" w:after="0"/>
            </w:pPr>
            <w:r>
              <w:rPr>
                <w:sz w:val="20"/>
              </w:rPr>
              <w:t>Most time on the form; none on Help.</w:t>
            </w:r>
          </w:p>
        </w:tc>
        <w:tc>
          <w:tcPr>
            <w:tcW w:type="dxa" w:w="3786"/>
          </w:tcPr>
          <w:p>
            <w:pPr>
              <w:spacing w:before="0" w:after="0"/>
            </w:pPr>
            <w:r>
              <w:rPr>
                <w:sz w:val="20"/>
              </w:rPr>
              <w:t>Interface evaluation.</w:t>
            </w:r>
          </w:p>
        </w:tc>
      </w:tr>
      <w:tr>
        <w:trPr>
          <w:cantSplit/>
        </w:trPr>
        <w:tc>
          <w:tcPr>
            <w:tcW w:type="dxa" w:w="2565"/>
          </w:tcPr>
          <w:p>
            <w:pPr>
              <w:spacing w:before="0" w:after="0"/>
            </w:pPr>
            <w:r>
              <w:rPr>
                <w:sz w:val="20"/>
              </w:rPr>
              <w:t>Search behaviour</w:t>
            </w:r>
          </w:p>
        </w:tc>
        <w:tc>
          <w:tcPr>
            <w:tcW w:type="dxa" w:w="3287"/>
          </w:tcPr>
          <w:p>
            <w:pPr>
              <w:spacing w:before="0" w:after="0"/>
            </w:pPr>
            <w:r>
              <w:rPr>
                <w:sz w:val="20"/>
              </w:rPr>
              <w:t>Jumps between fields and the advert.</w:t>
            </w:r>
          </w:p>
        </w:tc>
        <w:tc>
          <w:tcPr>
            <w:tcW w:type="dxa" w:w="3786"/>
          </w:tcPr>
          <w:p>
            <w:pPr>
              <w:spacing w:before="0" w:after="0"/>
            </w:pPr>
            <w:r>
              <w:rPr>
                <w:sz w:val="20"/>
              </w:rPr>
              <w:t>Navigation and information architecture.</w:t>
            </w:r>
          </w:p>
        </w:tc>
      </w:tr>
      <w:tr>
        <w:trPr>
          <w:cantSplit/>
        </w:trPr>
        <w:tc>
          <w:tcPr>
            <w:tcW w:type="dxa" w:w="2565"/>
          </w:tcPr>
          <w:p>
            <w:pPr>
              <w:spacing w:before="0" w:after="0"/>
            </w:pPr>
            <w:r>
              <w:rPr>
                <w:sz w:val="20"/>
              </w:rPr>
              <w:t>Visual priority</w:t>
            </w:r>
          </w:p>
        </w:tc>
        <w:tc>
          <w:tcPr>
            <w:tcW w:type="dxa" w:w="3287"/>
          </w:tcPr>
          <w:p>
            <w:pPr>
              <w:spacing w:before="0" w:after="0"/>
            </w:pPr>
            <w:r>
              <w:rPr>
                <w:sz w:val="20"/>
              </w:rPr>
              <w:t>The advert is seen before the fee.</w:t>
            </w:r>
          </w:p>
        </w:tc>
        <w:tc>
          <w:tcPr>
            <w:tcW w:type="dxa" w:w="3786"/>
          </w:tcPr>
          <w:p>
            <w:pPr>
              <w:spacing w:before="0" w:after="0"/>
            </w:pPr>
            <w:r>
              <w:rPr>
                <w:sz w:val="20"/>
              </w:rPr>
              <w:t>Prototype tests of hierarchy.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Tessel, Mara, Joon, Ines and Bastian are made up for this example; the gaze recordings are drawn for the lesson, not measured. The measures follow Holmqvist et al. (2011); how trackers work follows Duchowski (2017).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which view you are looking at, and what it leaves out.</w:t>
            </w:r>
          </w:p>
          <w:p>
            <w:pPr>
              <w:pStyle w:val="ListBullet"/>
              <w:spacing w:before="0" w:after="40"/>
            </w:pPr>
            <w:r>
              <w:rPr/>
              <w:t>Read a scanpath for order: what came first, where people searched, what they never reached.</w:t>
            </w:r>
          </w:p>
          <w:p>
            <w:pPr>
              <w:pStyle w:val="ListBullet"/>
              <w:spacing w:before="0" w:after="40"/>
            </w:pPr>
            <w:r>
              <w:rPr/>
              <w:t>Read a heatmap for time, not for order or for single people.</w:t>
            </w:r>
          </w:p>
          <w:p>
            <w:pPr>
              <w:pStyle w:val="ListBullet"/>
              <w:spacing w:before="0" w:after="40"/>
            </w:pPr>
            <w:r>
              <w:rPr/>
              <w:t>Mark areas of interest before the analysis, not after you have seen the colours.</w:t>
            </w:r>
          </w:p>
          <w:p>
            <w:pPr>
              <w:pStyle w:val="ListBullet"/>
              <w:spacing w:before="0" w:after="100"/>
            </w:pPr>
            <w:r>
              <w:rPr/>
              <w:t>Note the conditions: how many people, which task, which device, what light.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Which visualisation a meeting is shown is a decision someone made. A heatmap of all participants looks like a fact and hides that three people searched desperately while seven found the button at once. Ask for the scanpaths of the people who failed.</w:t>
            </w:r>
          </w:p>
        </w:tc>
      </w:tr>
    </w:tbl>
    <w:p>
      <w:pPr>
        <w:spacing w:before="0" w:after="80"/>
      </w:pPr>
    </w:p>
    <w:p>
      <w:pPr>
        <w:spacing w:before="80" w:after="160"/>
      </w:pPr>
      <w:r>
        <w:rPr>
          <w:b/>
          <w:color w:val="556274"/>
          <w:sz w:val="18"/>
        </w:rPr>
        <w:t xml:space="preserve">Sources · </w:t>
      </w:r>
      <w:r>
        <w:rPr>
          <w:color w:val="556274"/>
          <w:sz w:val="18"/>
        </w:rPr>
        <w:t>Holmqvist et al. 2011 · Duchowski 2017</w:t>
      </w:r>
    </w:p>
    <w:p>
      <w:pPr>
        <w:pStyle w:val="Heading2"/>
      </w:pPr>
      <w:r>
        <w:rPr/>
        <w:t>A2 · Looking is not understanding: the limits of gaze data · 12 min · Core</w:t>
      </w:r>
    </w:p>
    <w:p>
      <w:pPr>
        <w:pBdr>
          <w:left w:val="single" w:sz="18" w:space="6" w:color="1750A8"/>
        </w:pBdr>
        <w:spacing w:before="40" w:after="120"/>
        <w:ind w:left="170"/>
      </w:pPr>
      <w:r>
        <w:rPr>
          <w:i/>
          <w:color w:val="556274"/>
          <w:sz w:val="22"/>
        </w:rPr>
        <w:t>Capturing gaze, steering attention and actual understanding are different things. Looking is not understanding, attention is not agreement, and the eye can rest on something without it being noticed. The measurement is a fact; its meaning is an interpretation that needs another source. Every step from seen to agreed needs more evidence.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Capturing where someone looks, steering their attention, and what they actually understand are three different things. Looking is not understanding: a long fixation can mean interest, confusion or slow reading. Attention is not agreement: looking at an offer is not wanting it. And the eye can rest on something without the person noticing it. The measurement is a fact; its meaning is an interpretation, and it needs another source, such as asking people what they were thinking. Each step up the ladder (seen, attended, understood, agreed) needs more evidence.</w:t>
            </w:r>
          </w:p>
          <w:p>
            <w:pPr>
              <w:spacing w:before="0" w:after="100"/>
            </w:pPr>
            <w:r>
              <w:rPr>
                <w:b/>
              </w:rPr>
              <w:t>Why it matters.</w:t>
            </w:r>
            <w:r>
              <w:rPr/>
              <w:t xml:space="preserve"> Block 1.1 asks where FocusSense over-stretches its data and why “objective truth data” is a problem, and Block 2.1 asks about VisionMind Lab's overestimated data and missing hypotheses. This card gives you the limits by name.</w:t>
            </w:r>
          </w:p>
          <w:p>
            <w:pPr>
              <w:spacing w:before="0" w:after="100"/>
            </w:pPr>
            <w:r>
              <w:rPr>
                <w:b/>
              </w:rPr>
              <w:t>How to read the picture.</w:t>
            </w:r>
            <w:r>
              <w:rPr/>
              <w:t xml:space="preserve"> The same gaze pattern on Tessel's fee line, read three ways. The picture stays the same; only what Mara said afterwards changes. Below, the ladder from seen to agreed.</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25150"/>
            <wp:docPr id="2" name="Picture 2"/>
            <wp:cNvGraphicFramePr>
              <a:graphicFrameLocks noChangeAspect="1"/>
            </wp:cNvGraphicFramePr>
            <a:graphic>
              <a:graphicData uri="http://schemas.openxmlformats.org/drawingml/2006/picture">
                <pic:pic>
                  <pic:nvPicPr>
                    <pic:cNvPr id="0" name="d15_A2_0-d639c876c9a8.png"/>
                    <pic:cNvPicPr/>
                  </pic:nvPicPr>
                  <pic:blipFill>
                    <a:blip r:embed="rId11"/>
                    <a:stretch>
                      <a:fillRect/>
                    </a:stretch>
                  </pic:blipFill>
                  <pic:spPr>
                    <a:xfrm>
                      <a:off x="0" y="0"/>
                      <a:ext cx="5940000" cy="4525150"/>
                    </a:xfrm>
                    <a:prstGeom prst="rect"/>
                  </pic:spPr>
                </pic:pic>
              </a:graphicData>
            </a:graphic>
          </wp:inline>
        </w:drawing>
      </w:r>
    </w:p>
    <w:p>
      <w:pPr>
        <w:spacing w:before="0" w:after="160"/>
        <w:jc w:val="center"/>
      </w:pPr>
      <w:r>
        <w:rPr>
          <w:i/>
          <w:color w:val="556274"/>
          <w:sz w:val="18"/>
        </w:rPr>
        <w:t>Figure 2 · One long fixation on Tessel's fee line, three readings · Exploratory.</w:t>
      </w:r>
    </w:p>
    <w:p>
      <w:pPr>
        <w:keepNext/>
        <w:spacing w:before="80" w:after="40"/>
        <w:jc w:val="center"/>
      </w:pPr>
      <w:r>
        <w:drawing>
          <wp:inline xmlns:a="http://schemas.openxmlformats.org/drawingml/2006/main" xmlns:pic="http://schemas.openxmlformats.org/drawingml/2006/picture">
            <wp:extent cx="5940000" cy="1327904"/>
            <wp:docPr id="3" name="Picture 3"/>
            <wp:cNvGraphicFramePr>
              <a:graphicFrameLocks noChangeAspect="1"/>
            </wp:cNvGraphicFramePr>
            <a:graphic>
              <a:graphicData uri="http://schemas.openxmlformats.org/drawingml/2006/picture">
                <pic:pic>
                  <pic:nvPicPr>
                    <pic:cNvPr id="0" name="d15_A2_1-3b404da64d33.png"/>
                    <pic:cNvPicPr/>
                  </pic:nvPicPr>
                  <pic:blipFill>
                    <a:blip r:embed="rId12"/>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3 · The interpretation ladder: from seen to agreed, and what each step needs.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Tessel, Mara, Joon, Ines and Bastian are made up for this example; the gaze recordings are drawn for the lesson, not measured. The working assumption that what is fixated is being processed, and that longer fixations can mean more effort, follows Just and Carpenter (1980).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Say what the data shows in the plainest words: “the eye rested here for 1.5 seconds”.</w:t>
            </w:r>
          </w:p>
          <w:p>
            <w:pPr>
              <w:pStyle w:val="ListBullet"/>
              <w:spacing w:before="0" w:after="40"/>
            </w:pPr>
            <w:r>
              <w:rPr/>
              <w:t>List at least three readings of the same pattern before choosing one.</w:t>
            </w:r>
          </w:p>
          <w:p>
            <w:pPr>
              <w:pStyle w:val="ListBullet"/>
              <w:spacing w:before="0" w:after="40"/>
            </w:pPr>
            <w:r>
              <w:rPr/>
              <w:t>Ask the person: show them their recording and let them explain (retrospective think-aloud).</w:t>
            </w:r>
          </w:p>
          <w:p>
            <w:pPr>
              <w:pStyle w:val="ListBullet"/>
              <w:spacing w:before="0" w:after="40"/>
            </w:pPr>
            <w:r>
              <w:rPr/>
              <w:t>Never write “users want” or “users love” on the basis of gaze alone.</w:t>
            </w:r>
          </w:p>
          <w:p>
            <w:pPr>
              <w:pStyle w:val="ListBullet"/>
              <w:spacing w:before="0" w:after="100"/>
            </w:pPr>
            <w:r>
              <w:rPr/>
              <w:t>Say which step of the ladder a claim stands on: seen, attended, understood or agreed.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“Measurable” is often confused with “reliable”. A number feels objective because it is precise; but a precise measure of where the eye rested is not a precise measure of what the person thought. The more scientific a chart looks, the more carefully ask which step of the ladder it really stands on.</w:t>
            </w:r>
          </w:p>
        </w:tc>
      </w:tr>
    </w:tbl>
    <w:p>
      <w:pPr>
        <w:spacing w:before="0" w:after="80"/>
      </w:pPr>
    </w:p>
    <w:p>
      <w:pPr>
        <w:spacing w:before="80" w:after="160"/>
      </w:pPr>
      <w:r>
        <w:rPr>
          <w:b/>
          <w:color w:val="556274"/>
          <w:sz w:val="18"/>
        </w:rPr>
        <w:t xml:space="preserve">Sources · </w:t>
      </w:r>
      <w:r>
        <w:rPr>
          <w:color w:val="556274"/>
          <w:sz w:val="18"/>
        </w:rPr>
        <w:t>Just &amp; Carpenter 1980 · Holmqvist et al. 2011</w:t>
      </w:r>
    </w:p>
    <w:p>
      <w:pPr>
        <w:pStyle w:val="Heading2"/>
      </w:pPr>
      <w:r>
        <w:rPr/>
        <w:t>A3 · Neurofeedback and brain-computer interfaces at their real maturity · 12 min · Core</w:t>
      </w:r>
    </w:p>
    <w:p>
      <w:pPr>
        <w:pBdr>
          <w:left w:val="single" w:sz="18" w:space="6" w:color="1750A8"/>
        </w:pBdr>
        <w:spacing w:before="40" w:after="120"/>
        <w:ind w:left="170"/>
      </w:pPr>
      <w:r>
        <w:rPr>
          <w:i/>
          <w:color w:val="556274"/>
          <w:sz w:val="22"/>
        </w:rPr>
        <w:t>Neurofeedback shows people a signal of their own brain activity so they can learn to change it; brain-computer interfaces turn brain signals into commands. Fields: training, adaptive systems, attention support, assistive use, experimental interaction. Maturity differs enormously. Chances: deeper insight into load and reactions, new interaction. Risks: over-interpretation, poor everyday fitness, technical hurdles, data protection and ethics.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Neurofeedback shows people a signal of their own brain activity (usually from EEG) so they can learn to change it; it is used in therapy and research, with mixed evidence. A brain-computer interface (BCI) turns brain signals into commands, for example to type without moving; today it is mostly medical and research use. Possible fields: training, adaptive systems, support for attention, assistive use and experimental interaction. Maturity differs enormously: eye-tracking in lab tests is an established method, a consumer headband's “focus score” is not validated, and a BCI to control a website by thought is a research topic. Chances: deeper insight into load, attention and reactions, new ways to interact. Risks: over-interpretation, poor fitness for daily use, high technical hurdles, data protection and ethics.</w:t>
            </w:r>
          </w:p>
          <w:p>
            <w:pPr>
              <w:spacing w:before="0" w:after="100"/>
            </w:pPr>
            <w:r>
              <w:rPr>
                <w:b/>
              </w:rPr>
              <w:t>Why it matters.</w:t>
            </w:r>
            <w:r>
              <w:rPr/>
              <w:t xml:space="preserve"> Block 1.1 asks about FocusSense's neurofeedback for concentration and overload, Block 1.2 rates experimental neurofeedback and BCI observation for LearningPulse, and Block 2.1 asks which methods are product-near. This card places them where they really are.</w:t>
            </w:r>
          </w:p>
          <w:p>
            <w:pPr>
              <w:spacing w:before="0" w:after="100"/>
            </w:pPr>
            <w:r>
              <w:rPr>
                <w:b/>
              </w:rPr>
              <w:t>How to read the picture.</w:t>
            </w:r>
            <w:r>
              <w:rPr/>
              <w:t xml:space="preserve"> Seven technologies placed by evidence and everyday use, for Tessel.</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770419"/>
            <wp:docPr id="4" name="Picture 4"/>
            <wp:cNvGraphicFramePr>
              <a:graphicFrameLocks noChangeAspect="1"/>
            </wp:cNvGraphicFramePr>
            <a:graphic>
              <a:graphicData uri="http://schemas.openxmlformats.org/drawingml/2006/picture">
                <pic:pic>
                  <pic:nvPicPr>
                    <pic:cNvPr id="0" name="d15_A3_0-958aaa51ec0d.png"/>
                    <pic:cNvPicPr/>
                  </pic:nvPicPr>
                  <pic:blipFill>
                    <a:blip r:embed="rId13"/>
                    <a:stretch>
                      <a:fillRect/>
                    </a:stretch>
                  </pic:blipFill>
                  <pic:spPr>
                    <a:xfrm>
                      <a:off x="0" y="0"/>
                      <a:ext cx="5940000" cy="2770419"/>
                    </a:xfrm>
                    <a:prstGeom prst="rect"/>
                  </pic:spPr>
                </pic:pic>
              </a:graphicData>
            </a:graphic>
          </wp:inline>
        </w:drawing>
      </w:r>
    </w:p>
    <w:p>
      <w:pPr>
        <w:spacing w:before="0" w:after="160"/>
        <w:jc w:val="center"/>
      </w:pPr>
      <w:r>
        <w:rPr>
          <w:i/>
          <w:color w:val="556274"/>
          <w:sz w:val="18"/>
        </w:rPr>
        <w:t>Figure 4 · Seven technologies for Tessel placed by evidence and everyday use.</w:t>
      </w:r>
    </w:p>
    <w:p>
      <w:pPr>
        <w:spacing w:before="0" w:after="100"/>
      </w:pPr>
      <w:r>
        <w:rPr>
          <w:b/>
        </w:rPr>
        <w:t>Chances and risks of neuro-based UX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68"/>
        <w:gridCol w:w="2387"/>
        <w:gridCol w:w="2854"/>
        <w:gridCol w:w="2429"/>
      </w:tblGrid>
      <w:tr>
        <w:trPr>
          <w:cantSplit/>
          <w:tblHeader/>
        </w:trPr>
        <w:tc>
          <w:tcPr>
            <w:tcW w:type="dxa" w:w="1968"/>
            <w:shd w:val="clear" w:color="auto" w:fill="E6ECF4"/>
          </w:tcPr>
          <w:p>
            <w:pPr>
              <w:spacing w:before="0" w:after="0"/>
            </w:pPr>
            <w:r>
              <w:rPr>
                <w:b/>
                <w:sz w:val="19"/>
              </w:rPr>
              <w:t>Chance</w:t>
            </w:r>
          </w:p>
        </w:tc>
        <w:tc>
          <w:tcPr>
            <w:tcW w:type="dxa" w:w="2387"/>
            <w:shd w:val="clear" w:color="auto" w:fill="E6ECF4"/>
          </w:tcPr>
          <w:p>
            <w:pPr>
              <w:spacing w:before="0" w:after="0"/>
            </w:pPr>
            <w:r>
              <w:rPr>
                <w:b/>
                <w:sz w:val="19"/>
              </w:rPr>
              <w:t>Example (Tessel)</w:t>
            </w:r>
          </w:p>
        </w:tc>
        <w:tc>
          <w:tcPr>
            <w:tcW w:type="dxa" w:w="2854"/>
            <w:shd w:val="clear" w:color="auto" w:fill="E6ECF4"/>
          </w:tcPr>
          <w:p>
            <w:pPr>
              <w:spacing w:before="0" w:after="0"/>
            </w:pPr>
            <w:r>
              <w:rPr>
                <w:b/>
                <w:sz w:val="19"/>
              </w:rPr>
              <w:t>Risk</w:t>
            </w:r>
          </w:p>
        </w:tc>
        <w:tc>
          <w:tcPr>
            <w:tcW w:type="dxa" w:w="2429"/>
            <w:shd w:val="clear" w:color="auto" w:fill="E6ECF4"/>
          </w:tcPr>
          <w:p>
            <w:pPr>
              <w:spacing w:before="0" w:after="0"/>
            </w:pPr>
            <w:r>
              <w:rPr>
                <w:b/>
                <w:sz w:val="19"/>
              </w:rPr>
              <w:t>What it looks like</w:t>
            </w:r>
          </w:p>
        </w:tc>
      </w:tr>
      <w:tr>
        <w:trPr>
          <w:cantSplit/>
        </w:trPr>
        <w:tc>
          <w:tcPr>
            <w:tcW w:type="dxa" w:w="1968"/>
          </w:tcPr>
          <w:p>
            <w:pPr>
              <w:spacing w:before="0" w:after="0"/>
            </w:pPr>
            <w:r>
              <w:rPr>
                <w:sz w:val="19"/>
              </w:rPr>
              <w:t>Insight into load</w:t>
            </w:r>
          </w:p>
        </w:tc>
        <w:tc>
          <w:tcPr>
            <w:tcW w:type="dxa" w:w="2387"/>
          </w:tcPr>
          <w:p>
            <w:pPr>
              <w:spacing w:before="0" w:after="0"/>
            </w:pPr>
            <w:r>
              <w:rPr>
                <w:sz w:val="19"/>
              </w:rPr>
              <w:t>Where the transfer flow strains people.</w:t>
            </w:r>
          </w:p>
        </w:tc>
        <w:tc>
          <w:tcPr>
            <w:tcW w:type="dxa" w:w="2854"/>
          </w:tcPr>
          <w:p>
            <w:pPr>
              <w:spacing w:before="0" w:after="0"/>
            </w:pPr>
            <w:r>
              <w:rPr>
                <w:sz w:val="19"/>
              </w:rPr>
              <w:t>Over-interpretation</w:t>
            </w:r>
          </w:p>
        </w:tc>
        <w:tc>
          <w:tcPr>
            <w:tcW w:type="dxa" w:w="2429"/>
          </w:tcPr>
          <w:p>
            <w:pPr>
              <w:spacing w:before="0" w:after="0"/>
            </w:pPr>
            <w:r>
              <w:rPr>
                <w:sz w:val="19"/>
              </w:rPr>
              <w:t>A focus score read as truth.</w:t>
            </w:r>
          </w:p>
        </w:tc>
      </w:tr>
      <w:tr>
        <w:trPr>
          <w:cantSplit/>
        </w:trPr>
        <w:tc>
          <w:tcPr>
            <w:tcW w:type="dxa" w:w="1968"/>
          </w:tcPr>
          <w:p>
            <w:pPr>
              <w:spacing w:before="0" w:after="0"/>
            </w:pPr>
            <w:r>
              <w:rPr>
                <w:sz w:val="19"/>
              </w:rPr>
              <w:t>Insight into attention</w:t>
            </w:r>
          </w:p>
        </w:tc>
        <w:tc>
          <w:tcPr>
            <w:tcW w:type="dxa" w:w="2387"/>
          </w:tcPr>
          <w:p>
            <w:pPr>
              <w:spacing w:before="0" w:after="0"/>
            </w:pPr>
            <w:r>
              <w:rPr>
                <w:sz w:val="19"/>
              </w:rPr>
              <w:t>The fee is seen too late.</w:t>
            </w:r>
          </w:p>
        </w:tc>
        <w:tc>
          <w:tcPr>
            <w:tcW w:type="dxa" w:w="2854"/>
          </w:tcPr>
          <w:p>
            <w:pPr>
              <w:spacing w:before="0" w:after="0"/>
            </w:pPr>
            <w:r>
              <w:rPr>
                <w:sz w:val="19"/>
              </w:rPr>
              <w:t>Poor everyday fitness</w:t>
            </w:r>
          </w:p>
        </w:tc>
        <w:tc>
          <w:tcPr>
            <w:tcW w:type="dxa" w:w="2429"/>
          </w:tcPr>
          <w:p>
            <w:pPr>
              <w:spacing w:before="0" w:after="0"/>
            </w:pPr>
            <w:r>
              <w:rPr>
                <w:sz w:val="19"/>
              </w:rPr>
              <w:t>Works in the lab, not on a bus.</w:t>
            </w:r>
          </w:p>
        </w:tc>
      </w:tr>
      <w:tr>
        <w:trPr>
          <w:cantSplit/>
        </w:trPr>
        <w:tc>
          <w:tcPr>
            <w:tcW w:type="dxa" w:w="1968"/>
          </w:tcPr>
          <w:p>
            <w:pPr>
              <w:spacing w:before="0" w:after="0"/>
            </w:pPr>
            <w:r>
              <w:rPr>
                <w:sz w:val="19"/>
              </w:rPr>
              <w:t>Insight into reactions</w:t>
            </w:r>
          </w:p>
        </w:tc>
        <w:tc>
          <w:tcPr>
            <w:tcW w:type="dxa" w:w="2387"/>
          </w:tcPr>
          <w:p>
            <w:pPr>
              <w:spacing w:before="0" w:after="0"/>
            </w:pPr>
            <w:r>
              <w:rPr>
                <w:sz w:val="19"/>
              </w:rPr>
              <w:t>Hesitation before Continue.</w:t>
            </w:r>
          </w:p>
        </w:tc>
        <w:tc>
          <w:tcPr>
            <w:tcW w:type="dxa" w:w="2854"/>
          </w:tcPr>
          <w:p>
            <w:pPr>
              <w:spacing w:before="0" w:after="0"/>
            </w:pPr>
            <w:r>
              <w:rPr>
                <w:sz w:val="19"/>
              </w:rPr>
              <w:t>Technical hurdles</w:t>
            </w:r>
          </w:p>
        </w:tc>
        <w:tc>
          <w:tcPr>
            <w:tcW w:type="dxa" w:w="2429"/>
          </w:tcPr>
          <w:p>
            <w:pPr>
              <w:spacing w:before="0" w:after="0"/>
            </w:pPr>
            <w:r>
              <w:rPr>
                <w:sz w:val="19"/>
              </w:rPr>
              <w:t>Calibration, glasses, bad light.</w:t>
            </w:r>
          </w:p>
        </w:tc>
      </w:tr>
      <w:tr>
        <w:trPr>
          <w:cantSplit/>
        </w:trPr>
        <w:tc>
          <w:tcPr>
            <w:tcW w:type="dxa" w:w="1968"/>
          </w:tcPr>
          <w:p>
            <w:pPr>
              <w:spacing w:before="0" w:after="0"/>
            </w:pPr>
            <w:r>
              <w:rPr>
                <w:sz w:val="19"/>
              </w:rPr>
              <w:t>New interaction</w:t>
            </w:r>
          </w:p>
        </w:tc>
        <w:tc>
          <w:tcPr>
            <w:tcW w:type="dxa" w:w="2387"/>
          </w:tcPr>
          <w:p>
            <w:pPr>
              <w:spacing w:before="0" w:after="0"/>
            </w:pPr>
            <w:r>
              <w:rPr>
                <w:sz w:val="19"/>
              </w:rPr>
              <w:t>Gaze to scroll for people who cannot use their hands.</w:t>
            </w:r>
          </w:p>
        </w:tc>
        <w:tc>
          <w:tcPr>
            <w:tcW w:type="dxa" w:w="2854"/>
          </w:tcPr>
          <w:p>
            <w:pPr>
              <w:spacing w:before="0" w:after="0"/>
            </w:pPr>
            <w:r>
              <w:rPr>
                <w:sz w:val="19"/>
              </w:rPr>
              <w:t>Data protection and ethics</w:t>
            </w:r>
          </w:p>
        </w:tc>
        <w:tc>
          <w:tcPr>
            <w:tcW w:type="dxa" w:w="2429"/>
          </w:tcPr>
          <w:p>
            <w:pPr>
              <w:spacing w:before="0" w:after="0"/>
            </w:pPr>
            <w:r>
              <w:rPr>
                <w:sz w:val="19"/>
              </w:rPr>
              <w:t>Brain data on a vendor's cloud.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Tessel, Mara, Joon, Ines and Bastian are made up for this example; the gaze recordings are drawn for the lesson, not measured. Neurofeedback follows Sitaram et al. (2017); brain-computer interfaces for communication and control follow Wolpaw et al. (2002). The placements are a reading of the example, not a ranking of products.</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Say exactly which technology is meant: lab eye-tracking, webcam gaze, consumer EEG, clinical neurofeedback, medical BCI.</w:t>
            </w:r>
          </w:p>
          <w:p>
            <w:pPr>
              <w:pStyle w:val="ListBullet"/>
              <w:spacing w:before="0" w:after="40"/>
            </w:pPr>
            <w:r>
              <w:rPr/>
              <w:t>Ask for the evidence that it measures what it claims, in a setting like yours.</w:t>
            </w:r>
          </w:p>
          <w:p>
            <w:pPr>
              <w:pStyle w:val="ListBullet"/>
              <w:spacing w:before="0" w:after="40"/>
            </w:pPr>
            <w:r>
              <w:rPr/>
              <w:t>Separate “on sale” from “proven”.</w:t>
            </w:r>
          </w:p>
          <w:p>
            <w:pPr>
              <w:pStyle w:val="ListBullet"/>
              <w:spacing w:before="0" w:after="40"/>
            </w:pPr>
            <w:r>
              <w:rPr/>
              <w:t>Check everyday fitness: movement, noise, light, glasses, hair, fatigue.</w:t>
            </w:r>
          </w:p>
          <w:p>
            <w:pPr>
              <w:pStyle w:val="ListBullet"/>
              <w:spacing w:before="0" w:after="100"/>
            </w:pPr>
            <w:r>
              <w:rPr/>
              <w:t>Name the field: training, adaptation, attention support, assistance or experiment.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Assistive use is where brain-computer interfaces matter most today: for someone who cannot move, a slow, tiring interface that works is life-changing. For everyone else, the same interface is slower than a thumb. Ask whose problem a neurotechnology solves before asking whether it is impressive.</w:t>
            </w:r>
          </w:p>
        </w:tc>
      </w:tr>
    </w:tbl>
    <w:p>
      <w:pPr>
        <w:spacing w:before="0" w:after="80"/>
      </w:pPr>
    </w:p>
    <w:p>
      <w:pPr>
        <w:spacing w:before="80" w:after="160"/>
      </w:pPr>
      <w:r>
        <w:rPr>
          <w:b/>
          <w:color w:val="556274"/>
          <w:sz w:val="18"/>
        </w:rPr>
        <w:t xml:space="preserve">Sources · </w:t>
      </w:r>
      <w:r>
        <w:rPr>
          <w:color w:val="556274"/>
          <w:sz w:val="18"/>
        </w:rPr>
        <w:t>Sitaram et al. 2017 · Wolpaw et al. 2002</w:t>
      </w:r>
    </w:p>
    <w:p>
      <w:pPr>
        <w:pStyle w:val="Heading2"/>
      </w:pPr>
      <w:r>
        <w:rPr/>
        <w:t>A4 · Insight, interpretation risk and decision relevance: research, experiment or product? · 12 min · Core</w:t>
      </w:r>
    </w:p>
    <w:p>
      <w:pPr>
        <w:pBdr>
          <w:left w:val="single" w:sz="18" w:space="6" w:color="1750A8"/>
        </w:pBdr>
        <w:spacing w:before="40" w:after="120"/>
        <w:ind w:left="170"/>
      </w:pPr>
      <w:r>
        <w:rPr>
          <w:i/>
          <w:color w:val="556274"/>
          <w:sz w:val="22"/>
        </w:rPr>
        <w:t>Robust UX research, experimental technology and a marketable application are three tracks with different rules. Mixing them is how weak data ends up deciding a product. Fund the question, not the technology: a question, a hypothesis, a fitting method, what it can show, and the decision it informs. Judge every finding on insight value, interpretation risk and decision relevance.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Not every measurement belongs in a product. Robust UX research answers a written question with a fitting method and the participants' consent; experimental technology is explored to learn what it can do; a marketable application must work reliably for everyone, every day. Mixing the three is how weak data ends up deciding a product. Fund the question, not the technology: start from what you need to know, write a hypothesis, choose the method that can answer it, and say which decision the answer will inform. Then judge each finding on its insight value, its interpretation risk and its decision relevance.</w:t>
            </w:r>
          </w:p>
          <w:p>
            <w:pPr>
              <w:spacing w:before="0" w:after="100"/>
            </w:pPr>
            <w:r>
              <w:rPr>
                <w:b/>
              </w:rPr>
              <w:t>Why it matters.</w:t>
            </w:r>
            <w:r>
              <w:rPr/>
              <w:t xml:space="preserve"> Block 1.1 asks about decision relevance and the two biggest chances and risks, Block 1.2 compares approaches near and far from the product, and Block 2.1 asks for separate tracks and hypothesis-based pilots. This card gives you the three tracks and the chain from question to decision.</w:t>
            </w:r>
          </w:p>
          <w:p>
            <w:pPr>
              <w:spacing w:before="0" w:after="100"/>
            </w:pPr>
            <w:r>
              <w:rPr>
                <w:b/>
              </w:rPr>
              <w:t>How to read the picture.</w:t>
            </w:r>
            <w:r>
              <w:rPr/>
              <w:t xml:space="preserve"> Tessel's five ideas sorted into research, experiment, product, or not at all. Below, the chain from a question to a decision.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323832"/>
            <wp:docPr id="5" name="Picture 5"/>
            <wp:cNvGraphicFramePr>
              <a:graphicFrameLocks noChangeAspect="1"/>
            </wp:cNvGraphicFramePr>
            <a:graphic>
              <a:graphicData uri="http://schemas.openxmlformats.org/drawingml/2006/picture">
                <pic:pic>
                  <pic:nvPicPr>
                    <pic:cNvPr id="0" name="d15_A4_0-a3b270c32193.png"/>
                    <pic:cNvPicPr/>
                  </pic:nvPicPr>
                  <pic:blipFill>
                    <a:blip r:embed="rId14"/>
                    <a:stretch>
                      <a:fillRect/>
                    </a:stretch>
                  </pic:blipFill>
                  <pic:spPr>
                    <a:xfrm>
                      <a:off x="0" y="0"/>
                      <a:ext cx="5940000" cy="2323832"/>
                    </a:xfrm>
                    <a:prstGeom prst="rect"/>
                  </pic:spPr>
                </pic:pic>
              </a:graphicData>
            </a:graphic>
          </wp:inline>
        </w:drawing>
      </w:r>
    </w:p>
    <w:p>
      <w:pPr>
        <w:spacing w:before="0" w:after="160"/>
        <w:jc w:val="center"/>
      </w:pPr>
      <w:r>
        <w:rPr>
          <w:i/>
          <w:color w:val="556274"/>
          <w:sz w:val="18"/>
        </w:rPr>
        <w:t>Figure 5 · Tessel's five ideas sorted into research, experiment, product, or not at all.</w:t>
      </w:r>
    </w:p>
    <w:p>
      <w:pPr>
        <w:keepNext/>
        <w:spacing w:before="80" w:after="40"/>
        <w:jc w:val="center"/>
      </w:pPr>
      <w:r>
        <w:drawing>
          <wp:inline xmlns:a="http://schemas.openxmlformats.org/drawingml/2006/main" xmlns:pic="http://schemas.openxmlformats.org/drawingml/2006/picture">
            <wp:extent cx="5940000" cy="1442515"/>
            <wp:docPr id="6" name="Picture 6"/>
            <wp:cNvGraphicFramePr>
              <a:graphicFrameLocks noChangeAspect="1"/>
            </wp:cNvGraphicFramePr>
            <a:graphic>
              <a:graphicData uri="http://schemas.openxmlformats.org/drawingml/2006/picture">
                <pic:pic>
                  <pic:nvPicPr>
                    <pic:cNvPr id="0" name="d15_A4_1-77686afd9c08.png"/>
                    <pic:cNvPicPr/>
                  </pic:nvPicPr>
                  <pic:blipFill>
                    <a:blip r:embed="rId15"/>
                    <a:stretch>
                      <a:fillRect/>
                    </a:stretch>
                  </pic:blipFill>
                  <pic:spPr>
                    <a:xfrm>
                      <a:off x="0" y="0"/>
                      <a:ext cx="5940000" cy="1442515"/>
                    </a:xfrm>
                    <a:prstGeom prst="rect"/>
                  </pic:spPr>
                </pic:pic>
              </a:graphicData>
            </a:graphic>
          </wp:inline>
        </w:drawing>
      </w:r>
    </w:p>
    <w:p>
      <w:pPr>
        <w:spacing w:before="0" w:after="160"/>
        <w:jc w:val="center"/>
      </w:pPr>
      <w:r>
        <w:rPr>
          <w:i/>
          <w:color w:val="556274"/>
          <w:sz w:val="18"/>
        </w:rPr>
        <w:t>Figure 6 · Fund the question, not the technology: from a question to a decision.</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Tessel, Mara, Joon, Ines and Bastian are made up for this example; the gaze recordings are drawn for the lesson, not measured. Narrow questions, one feature at a time and measurable outcomes follow Tobii's own advice to UX researchers (2019).</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Sort every idea into research, experiment, product, or not at all.</w:t>
            </w:r>
          </w:p>
          <w:p>
            <w:pPr>
              <w:pStyle w:val="ListBullet"/>
              <w:spacing w:before="0" w:after="40"/>
            </w:pPr>
            <w:r>
              <w:rPr/>
              <w:t>Write the question and the hypothesis before choosing a method.</w:t>
            </w:r>
          </w:p>
          <w:p>
            <w:pPr>
              <w:pStyle w:val="ListBullet"/>
              <w:spacing w:before="0" w:after="40"/>
            </w:pPr>
            <w:r>
              <w:rPr/>
              <w:t>Choose the simplest method that can answer it; sometimes that is not eye-tracking.</w:t>
            </w:r>
          </w:p>
          <w:p>
            <w:pPr>
              <w:pStyle w:val="ListBullet"/>
              <w:spacing w:before="0" w:after="40"/>
            </w:pPr>
            <w:r>
              <w:rPr/>
              <w:t>Name the decision the answer will inform.</w:t>
            </w:r>
          </w:p>
          <w:p>
            <w:pPr>
              <w:pStyle w:val="ListBullet"/>
              <w:spacing w:before="0" w:after="100"/>
            </w:pPr>
            <w:r>
              <w:rPr/>
              <w:t>Let only robust findings cross from research into the product.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pilot without an exit criterion is not a pilot; it is a subscription. Write down before a study what result would make you stop, change course or go on. Otherwise every result will be read as a reason to continue.</w:t>
            </w:r>
          </w:p>
        </w:tc>
      </w:tr>
    </w:tbl>
    <w:p>
      <w:pPr>
        <w:spacing w:before="0" w:after="80"/>
      </w:pPr>
    </w:p>
    <w:p>
      <w:pPr>
        <w:spacing w:before="80" w:after="160"/>
      </w:pPr>
      <w:r>
        <w:rPr>
          <w:b/>
          <w:color w:val="556274"/>
          <w:sz w:val="18"/>
        </w:rPr>
        <w:t xml:space="preserve">Sources · </w:t>
      </w:r>
      <w:r>
        <w:rPr>
          <w:color w:val="556274"/>
          <w:sz w:val="18"/>
        </w:rPr>
        <w:t>Tobii 2019 · Holmqvist et al. 2011</w:t>
      </w:r>
    </w:p>
    <w:p>
      <w:pPr>
        <w:pStyle w:val="Heading2"/>
      </w:pPr>
      <w:r>
        <w:rPr/>
        <w:t>A5 · Ethics, data protection and voluntariness, and weighing a measure · 12 min · Core</w:t>
      </w:r>
    </w:p>
    <w:p>
      <w:pPr>
        <w:pBdr>
          <w:left w:val="single" w:sz="18" w:space="6" w:color="1750A8"/>
        </w:pBdr>
        <w:spacing w:before="40" w:after="120"/>
        <w:ind w:left="170"/>
      </w:pPr>
      <w:r>
        <w:rPr>
          <w:i/>
          <w:color w:val="556274"/>
          <w:sz w:val="22"/>
        </w:rPr>
        <w:t>Gaze and brain data can reveal tiredness, stress, reading difficulties or health, often without the person knowing; regulators treat neurodata as high risk. Consent is design: what is recorded, what will not be inferred, who sees it, when it is deleted, and a no as easy as a yes. Weigh measures on effect on users, feasibility, risk, time pressure and reputation security.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Gaze and brain data are more intimate than clicks: they can reveal tiredness, stress, reading difficulties or health, often without the person knowing. Regulators treat neurodata as high risk. Consent is part of the design: say what is recorded, what will and will not be inferred, who sees it, when it is deleted, and make saying no as easy as saying yes. At work, consent is rarely free. Leaders weigh neuro-based measures by effect on users, feasibility, risk, time pressure and reputation security, and judge them with a differentiated view instead of a scientific aura.</w:t>
            </w:r>
          </w:p>
          <w:p>
            <w:pPr>
              <w:spacing w:before="0" w:after="100"/>
            </w:pPr>
            <w:r>
              <w:rPr>
                <w:b/>
              </w:rPr>
              <w:t>Why it matters.</w:t>
            </w:r>
            <w:r>
              <w:rPr/>
              <w:t xml:space="preserve"> Block 1.1 asks about ethics and acceptance, Block 1.2 about sensitive data protection, and Block 2.1 asks for an ethics, data protection and consent framework and four measures justified on effect on users, feasibility, risk, time pressure and reputation security. The example uses Tessel and its own measures, so the answer for the task cases is not given.</w:t>
            </w:r>
          </w:p>
          <w:p>
            <w:pPr>
              <w:spacing w:before="0" w:after="100"/>
            </w:pPr>
            <w:r>
              <w:rPr>
                <w:b/>
              </w:rPr>
              <w:t>How to read the picture.</w:t>
            </w:r>
            <w:r>
              <w:rPr/>
              <w:t xml:space="preserve"> Three consent screens for the same Tessel study: hidden, clear, and clear with limits on what is inferred. Then three measures rated on five criteria.</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7" name="Picture 7"/>
            <wp:cNvGraphicFramePr>
              <a:graphicFrameLocks noChangeAspect="1"/>
            </wp:cNvGraphicFramePr>
            <a:graphic>
              <a:graphicData uri="http://schemas.openxmlformats.org/drawingml/2006/picture">
                <pic:pic>
                  <pic:nvPicPr>
                    <pic:cNvPr id="0" name="d15_A5_0-84f35a9bf911.png"/>
                    <pic:cNvPicPr/>
                  </pic:nvPicPr>
                  <pic:blipFill>
                    <a:blip r:embed="rId16"/>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7 · Three consent screens for the same Tessel study. Shown here in its starting state; in the Neuro-UX Lab every version and every stress test can be used.</w:t>
      </w:r>
    </w:p>
    <w:p>
      <w:pPr>
        <w:keepNext/>
        <w:spacing w:before="80" w:after="40"/>
        <w:jc w:val="center"/>
      </w:pPr>
      <w:r>
        <w:drawing>
          <wp:inline xmlns:a="http://schemas.openxmlformats.org/drawingml/2006/main" xmlns:pic="http://schemas.openxmlformats.org/drawingml/2006/picture">
            <wp:extent cx="5940000" cy="3707066"/>
            <wp:docPr id="8" name="Picture 8"/>
            <wp:cNvGraphicFramePr>
              <a:graphicFrameLocks noChangeAspect="1"/>
            </wp:cNvGraphicFramePr>
            <a:graphic>
              <a:graphicData uri="http://schemas.openxmlformats.org/drawingml/2006/picture">
                <pic:pic>
                  <pic:nvPicPr>
                    <pic:cNvPr id="0" name="d15_A5_1-d072b22483e4.png"/>
                    <pic:cNvPicPr/>
                  </pic:nvPicPr>
                  <pic:blipFill>
                    <a:blip r:embed="rId17"/>
                    <a:stretch>
                      <a:fillRect/>
                    </a:stretch>
                  </pic:blipFill>
                  <pic:spPr>
                    <a:xfrm>
                      <a:off x="0" y="0"/>
                      <a:ext cx="5940000" cy="3707066"/>
                    </a:xfrm>
                    <a:prstGeom prst="rect"/>
                  </pic:spPr>
                </pic:pic>
              </a:graphicData>
            </a:graphic>
          </wp:inline>
        </w:drawing>
      </w:r>
    </w:p>
    <w:p>
      <w:pPr>
        <w:spacing w:before="0" w:after="160"/>
        <w:jc w:val="center"/>
      </w:pPr>
      <w:r>
        <w:rPr>
          <w:i/>
          <w:color w:val="556274"/>
          <w:sz w:val="18"/>
        </w:rPr>
        <w:t>Figure 8 · Tessel weighs three measures on effect on users, feasibility, risk, time pressure and reputation security.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Tessel, Mara, Joon, Ines and Bastian are made up for this example; the gaze recordings are drawn for the lesson, not measured. Neurodata as high risk and the limits of consent follow the UK ICO (2023); mental privacy follows Ienca and Andorno (2017); rating options on the same criteria follows Gibbons (2018).</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What is recorded, and what could be inferred from it, even by accident?</w:t>
            </w:r>
          </w:p>
          <w:p>
            <w:pPr>
              <w:pStyle w:val="ListBullet"/>
              <w:spacing w:before="0" w:after="40"/>
            </w:pPr>
            <w:r>
              <w:rPr/>
              <w:t>Is taking part truly voluntary? At work, rarely.</w:t>
            </w:r>
          </w:p>
          <w:p>
            <w:pPr>
              <w:pStyle w:val="ListBullet"/>
              <w:spacing w:before="0" w:after="40"/>
            </w:pPr>
            <w:r>
              <w:rPr/>
              <w:t>Say what you will not infer, and keep to it.</w:t>
            </w:r>
          </w:p>
          <w:p>
            <w:pPr>
              <w:pStyle w:val="ListBullet"/>
              <w:spacing w:before="0" w:after="40"/>
            </w:pPr>
            <w:r>
              <w:rPr/>
              <w:t>Who sees the data, where is it stored, when is it deleted?</w:t>
            </w:r>
          </w:p>
          <w:p>
            <w:pPr>
              <w:pStyle w:val="ListBullet"/>
              <w:spacing w:before="0" w:after="100"/>
            </w:pPr>
            <w:r>
              <w:rPr/>
              <w:t>Rate every measure on the same five criteria, with a reason; a rating is a judgement, never a mark.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Reputation risk is a cost with a slow fuse. A study that looks harmless inside can read very differently as a headline: “bank measured customers' eyes”. Ask before every study how it would sound if a customer described it to a journalist.</w:t>
            </w:r>
          </w:p>
        </w:tc>
      </w:tr>
    </w:tbl>
    <w:p>
      <w:pPr>
        <w:spacing w:before="0" w:after="80"/>
      </w:pPr>
    </w:p>
    <w:p>
      <w:pPr>
        <w:spacing w:before="80" w:after="160"/>
      </w:pPr>
      <w:r>
        <w:rPr>
          <w:b/>
          <w:color w:val="556274"/>
          <w:sz w:val="18"/>
        </w:rPr>
        <w:t xml:space="preserve">Sources · </w:t>
      </w:r>
      <w:r>
        <w:rPr>
          <w:color w:val="556274"/>
          <w:sz w:val="18"/>
        </w:rPr>
        <w:t>ICO 2023 · Ienca &amp; Andorno 2017 · Gibbons 2018</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neuro-based UX research and interaction, three strategic decisions, an order of what is researched first, a risk analysis, a governance model, one decision under uncertainty and a statement to the management. The cards give you the ideas you use in Task 2.</w:t>
            </w:r>
          </w:p>
        </w:tc>
      </w:tr>
    </w:tbl>
    <w:p>
      <w:pPr>
        <w:spacing w:before="0" w:after="80"/>
      </w:pPr>
    </w:p>
    <w:p>
      <w:pPr>
        <w:pStyle w:val="Heading2"/>
      </w:pPr>
      <w:r>
        <w:rPr/>
        <w:t>B1 · Neuro-based UX as an insight architecture, not measurement fascination · 20 min · Core</w:t>
      </w:r>
    </w:p>
    <w:p>
      <w:pPr>
        <w:pBdr>
          <w:left w:val="single" w:sz="18" w:space="6" w:color="1750A8"/>
        </w:pBdr>
        <w:spacing w:before="40" w:after="120"/>
        <w:ind w:left="170"/>
      </w:pPr>
      <w:r>
        <w:rPr>
          <w:i/>
          <w:color w:val="556274"/>
          <w:sz w:val="22"/>
        </w:rPr>
        <w:t>At senior level, neuro-based UX is a decision architecture for insight, personalisation and new interaction: a guiding vision of what the company wants to understand and what it will not do, separate tracks for research, UX analysis and product, hypotheses before studies, and an evidence grade for what may influence strategy.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At senior level, neuro-based UX is not a new gadget but a decision architecture for insight, personalisation and new interaction: a guiding vision of what the company wants to understand and why, separate tracks for research, UX analysis and product, hypotheses before studies, and an evidence grade that decides what may influence strategy. Operational decisions concern a single study; strategic ones concern the research portfolio, product development and the protection of trust.</w:t>
            </w:r>
          </w:p>
          <w:p>
            <w:pPr>
              <w:spacing w:before="0" w:after="100"/>
            </w:pPr>
            <w:r>
              <w:rPr>
                <w:b/>
              </w:rPr>
              <w:t>Why it matters.</w:t>
            </w:r>
            <w:r>
              <w:rPr/>
              <w:t xml:space="preserve"> Block 3.1 asks for a guiding vision for neuro-based UX research and interaction, three decisions on eye-tracking, neurofeedback, BCI, ethics, data protection and product connection, and an order of what is looked at first. You decide the architecture, not single methods.</w:t>
            </w:r>
          </w:p>
          <w:p>
            <w:pPr>
              <w:spacing w:before="0" w:after="100"/>
            </w:pPr>
            <w:r>
              <w:rPr>
                <w:b/>
              </w:rPr>
              <w:t>How to read the picture.</w:t>
            </w:r>
            <w:r>
              <w:rPr/>
              <w:t xml:space="preserve"> Left Tessel chasing measurements to look scientific, right running an insight architecture. Below, the layers from a guiding vision to every study.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082754"/>
            <wp:docPr id="9" name="Picture 9"/>
            <wp:cNvGraphicFramePr>
              <a:graphicFrameLocks noChangeAspect="1"/>
            </wp:cNvGraphicFramePr>
            <a:graphic>
              <a:graphicData uri="http://schemas.openxmlformats.org/drawingml/2006/picture">
                <pic:pic>
                  <pic:nvPicPr>
                    <pic:cNvPr id="0" name="d15_B1_0-99289f210cff.png"/>
                    <pic:cNvPicPr/>
                  </pic:nvPicPr>
                  <pic:blipFill>
                    <a:blip r:embed="rId18"/>
                    <a:stretch>
                      <a:fillRect/>
                    </a:stretch>
                  </pic:blipFill>
                  <pic:spPr>
                    <a:xfrm>
                      <a:off x="0" y="0"/>
                      <a:ext cx="5940000" cy="2082754"/>
                    </a:xfrm>
                    <a:prstGeom prst="rect"/>
                  </pic:spPr>
                </pic:pic>
              </a:graphicData>
            </a:graphic>
          </wp:inline>
        </w:drawing>
      </w:r>
    </w:p>
    <w:p>
      <w:pPr>
        <w:spacing w:before="0" w:after="160"/>
        <w:jc w:val="center"/>
      </w:pPr>
      <w:r>
        <w:rPr>
          <w:i/>
          <w:color w:val="556274"/>
          <w:sz w:val="18"/>
        </w:rPr>
        <w:t>Figure 9 · Tessel chasing measurements to look scientific, or running an insight architecture.</w:t>
      </w:r>
    </w:p>
    <w:p>
      <w:pPr>
        <w:keepNext/>
        <w:spacing w:before="80" w:after="40"/>
        <w:jc w:val="center"/>
      </w:pPr>
      <w:r>
        <w:drawing>
          <wp:inline xmlns:a="http://schemas.openxmlformats.org/drawingml/2006/main" xmlns:pic="http://schemas.openxmlformats.org/drawingml/2006/picture">
            <wp:extent cx="5940000" cy="1327904"/>
            <wp:docPr id="10" name="Picture 10"/>
            <wp:cNvGraphicFramePr>
              <a:graphicFrameLocks noChangeAspect="1"/>
            </wp:cNvGraphicFramePr>
            <a:graphic>
              <a:graphicData uri="http://schemas.openxmlformats.org/drawingml/2006/picture">
                <pic:pic>
                  <pic:nvPicPr>
                    <pic:cNvPr id="0" name="d15_B1_1-f8956de0236a.png"/>
                    <pic:cNvPicPr/>
                  </pic:nvPicPr>
                  <pic:blipFill>
                    <a:blip r:embed="rId19"/>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10 · The layers of an insight architecture, from a guiding vision to every study.</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Tessel, Mara, Joon, Ines and Bastian are made up for this example; the gaze recordings are drawn for the lesson, not measured. The regulator's concerns about neurodata follow the UK ICO (2023); framing each study narrowly follows Tobii (2019).</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how neuro-based methods are decided today: by fascination, or by a question?</w:t>
            </w:r>
          </w:p>
          <w:p>
            <w:pPr>
              <w:pStyle w:val="ListBullet"/>
              <w:spacing w:before="0" w:after="40"/>
            </w:pPr>
            <w:r>
              <w:rPr/>
              <w:t>Write a guiding vision: what insight, for whom, and what is never done with the data.</w:t>
            </w:r>
          </w:p>
          <w:p>
            <w:pPr>
              <w:pStyle w:val="ListBullet"/>
              <w:spacing w:before="0" w:after="40"/>
            </w:pPr>
            <w:r>
              <w:rPr/>
              <w:t>Separate research, UX analysis and product, with rules for crossing.</w:t>
            </w:r>
          </w:p>
          <w:p>
            <w:pPr>
              <w:pStyle w:val="ListBullet"/>
              <w:spacing w:before="0" w:after="40"/>
            </w:pPr>
            <w:r>
              <w:rPr/>
              <w:t>Hold a portfolio of written questions, each with the decision it informs.</w:t>
            </w:r>
          </w:p>
          <w:p>
            <w:pPr>
              <w:pStyle w:val="ListBullet"/>
              <w:spacing w:before="0" w:after="100"/>
            </w:pPr>
            <w:r>
              <w:rPr/>
              <w:t>Tell operational decisions (one study) from strategic ones (portfolio, product, trust).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Your job is the standard, not the study. A leader does not need to read EEG curves; they need to decide which questions are worth asking, which methods may answer them, and what counts as an answer. That standard outlives every single study.</w:t>
            </w:r>
          </w:p>
        </w:tc>
      </w:tr>
    </w:tbl>
    <w:p>
      <w:pPr>
        <w:spacing w:before="0" w:after="80"/>
      </w:pPr>
    </w:p>
    <w:p>
      <w:pPr>
        <w:spacing w:before="80" w:after="160"/>
      </w:pPr>
      <w:r>
        <w:rPr>
          <w:b/>
          <w:color w:val="556274"/>
          <w:sz w:val="18"/>
        </w:rPr>
        <w:t xml:space="preserve">Sources · </w:t>
      </w:r>
      <w:r>
        <w:rPr>
          <w:color w:val="556274"/>
          <w:sz w:val="18"/>
        </w:rPr>
        <w:t>ICO 2023 · Tobii 2019</w:t>
      </w:r>
    </w:p>
    <w:p>
      <w:pPr>
        <w:pStyle w:val="Heading2"/>
      </w:pPr>
      <w:r>
        <w:rPr/>
        <w:t>B2 · Value, validity, effort, ethics, data protection, maturity: the conflicts of neuro-based UX · 20 min · Core</w:t>
      </w:r>
    </w:p>
    <w:p>
      <w:pPr>
        <w:pBdr>
          <w:left w:val="single" w:sz="18" w:space="6" w:color="1750A8"/>
        </w:pBdr>
        <w:spacing w:before="40" w:after="120"/>
        <w:ind w:left="170"/>
      </w:pPr>
      <w:r>
        <w:rPr>
          <w:i/>
          <w:color w:val="556274"/>
          <w:sz w:val="22"/>
        </w:rPr>
        <w:t>Neuro-based UX sits between insight and validity, a scientific image and what the data can carry, personalisation and privacy, research depth and market maturity, speed and interpretation effort. A portfolio of a few bets of different size, each with a hypothesis, a measure of success and an exit date, makes the conflicts manageable; write down what each bet assumes.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Neuro-based UX sits between goals that pull apart: insight against validity, a scientific image against what the data can carry, personalisation against privacy, research depth against market maturity, speed against interpretation effort, and all of them against effort and money. The way through is a portfolio of a few bets of different size, each with a hypothesis, a measure of success and an exit date, and a written list of what each bet assumes about data quality, acceptance, maturity and strategic value.</w:t>
            </w:r>
          </w:p>
          <w:p>
            <w:pPr>
              <w:spacing w:before="0" w:after="100"/>
            </w:pPr>
            <w:r>
              <w:rPr>
                <w:b/>
              </w:rPr>
              <w:t>Why it matters.</w:t>
            </w:r>
            <w:r>
              <w:rPr/>
              <w:t xml:space="preserve"> Block 3.1 asks for three decisions, a risk analysis of wrong assumptions about data quality, user acceptance, market maturity and strategic value, and a governance model for conflicts. Each is a decision between conflicting goals.</w:t>
            </w:r>
          </w:p>
          <w:p>
            <w:pPr>
              <w:spacing w:before="0" w:after="100"/>
            </w:pPr>
            <w:r>
              <w:rPr>
                <w:b/>
              </w:rPr>
              <w:t>How to read the picture.</w:t>
            </w:r>
            <w:r>
              <w:rPr/>
              <w:t xml:space="preserve"> Tessel's three bets, a safe one, a medium one and a bold one, with what each costs and what it assumes.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501676"/>
            <wp:docPr id="11" name="Picture 11"/>
            <wp:cNvGraphicFramePr>
              <a:graphicFrameLocks noChangeAspect="1"/>
            </wp:cNvGraphicFramePr>
            <a:graphic>
              <a:graphicData uri="http://schemas.openxmlformats.org/drawingml/2006/picture">
                <pic:pic>
                  <pic:nvPicPr>
                    <pic:cNvPr id="0" name="d15_B2_0-18d9e377b14c.png"/>
                    <pic:cNvPicPr/>
                  </pic:nvPicPr>
                  <pic:blipFill>
                    <a:blip r:embed="rId20"/>
                    <a:stretch>
                      <a:fillRect/>
                    </a:stretch>
                  </pic:blipFill>
                  <pic:spPr>
                    <a:xfrm>
                      <a:off x="0" y="0"/>
                      <a:ext cx="5940000" cy="2501676"/>
                    </a:xfrm>
                    <a:prstGeom prst="rect"/>
                  </pic:spPr>
                </pic:pic>
              </a:graphicData>
            </a:graphic>
          </wp:inline>
        </w:drawing>
      </w:r>
    </w:p>
    <w:p>
      <w:pPr>
        <w:spacing w:before="0" w:after="160"/>
        <w:jc w:val="center"/>
      </w:pPr>
      <w:r>
        <w:rPr>
          <w:i/>
          <w:color w:val="556274"/>
          <w:sz w:val="18"/>
        </w:rPr>
        <w:t>Figure 11 · Tessel's three bets: safe, medium and bold · Exploratory.</w:t>
      </w:r>
    </w:p>
    <w:p>
      <w:pPr>
        <w:spacing w:before="0" w:after="100"/>
      </w:pPr>
      <w:r>
        <w:rPr>
          <w:b/>
        </w:rPr>
        <w:t>Standing conflicts of neuro-based UX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365"/>
        <w:gridCol w:w="2998"/>
        <w:gridCol w:w="3275"/>
      </w:tblGrid>
      <w:tr>
        <w:trPr>
          <w:cantSplit/>
          <w:tblHeader/>
        </w:trPr>
        <w:tc>
          <w:tcPr>
            <w:tcW w:type="dxa" w:w="3365"/>
            <w:shd w:val="clear" w:color="auto" w:fill="E6ECF4"/>
          </w:tcPr>
          <w:p>
            <w:pPr>
              <w:spacing w:before="0" w:after="0"/>
            </w:pPr>
            <w:r>
              <w:rPr>
                <w:b/>
                <w:sz w:val="20"/>
              </w:rPr>
              <w:t>Conflict</w:t>
            </w:r>
          </w:p>
        </w:tc>
        <w:tc>
          <w:tcPr>
            <w:tcW w:type="dxa" w:w="2998"/>
            <w:shd w:val="clear" w:color="auto" w:fill="E6ECF4"/>
          </w:tcPr>
          <w:p>
            <w:pPr>
              <w:spacing w:before="0" w:after="0"/>
            </w:pPr>
            <w:r>
              <w:rPr>
                <w:b/>
                <w:sz w:val="20"/>
              </w:rPr>
              <w:t>Who usually stands for each side</w:t>
            </w:r>
          </w:p>
        </w:tc>
        <w:tc>
          <w:tcPr>
            <w:tcW w:type="dxa" w:w="3275"/>
            <w:shd w:val="clear" w:color="auto" w:fill="E6ECF4"/>
          </w:tcPr>
          <w:p>
            <w:pPr>
              <w:spacing w:before="0" w:after="0"/>
            </w:pPr>
            <w:r>
              <w:rPr>
                <w:b/>
                <w:sz w:val="20"/>
              </w:rPr>
              <w:t>What to ask</w:t>
            </w:r>
          </w:p>
        </w:tc>
      </w:tr>
      <w:tr>
        <w:trPr>
          <w:cantSplit/>
        </w:trPr>
        <w:tc>
          <w:tcPr>
            <w:tcW w:type="dxa" w:w="3365"/>
          </w:tcPr>
          <w:p>
            <w:pPr>
              <w:spacing w:before="0" w:after="0"/>
            </w:pPr>
            <w:r>
              <w:rPr>
                <w:sz w:val="20"/>
              </w:rPr>
              <w:t>Insight against validity</w:t>
            </w:r>
          </w:p>
        </w:tc>
        <w:tc>
          <w:tcPr>
            <w:tcW w:type="dxa" w:w="2998"/>
          </w:tcPr>
          <w:p>
            <w:pPr>
              <w:spacing w:before="0" w:after="0"/>
            </w:pPr>
            <w:r>
              <w:rPr>
                <w:sz w:val="20"/>
              </w:rPr>
              <w:t>Innovation, against research.</w:t>
            </w:r>
          </w:p>
        </w:tc>
        <w:tc>
          <w:tcPr>
            <w:tcW w:type="dxa" w:w="3275"/>
          </w:tcPr>
          <w:p>
            <w:pPr>
              <w:spacing w:before="0" w:after="0"/>
            </w:pPr>
            <w:r>
              <w:rPr>
                <w:sz w:val="20"/>
              </w:rPr>
              <w:t>Does the measure mean what it claims, here?</w:t>
            </w:r>
          </w:p>
        </w:tc>
      </w:tr>
      <w:tr>
        <w:trPr>
          <w:cantSplit/>
        </w:trPr>
        <w:tc>
          <w:tcPr>
            <w:tcW w:type="dxa" w:w="3365"/>
          </w:tcPr>
          <w:p>
            <w:pPr>
              <w:spacing w:before="0" w:after="0"/>
            </w:pPr>
            <w:r>
              <w:rPr>
                <w:sz w:val="20"/>
              </w:rPr>
              <w:t>A scientific image against what the data carries</w:t>
            </w:r>
          </w:p>
        </w:tc>
        <w:tc>
          <w:tcPr>
            <w:tcW w:type="dxa" w:w="2998"/>
          </w:tcPr>
          <w:p>
            <w:pPr>
              <w:spacing w:before="0" w:after="0"/>
            </w:pPr>
            <w:r>
              <w:rPr>
                <w:sz w:val="20"/>
              </w:rPr>
              <w:t>Marketing, against research.</w:t>
            </w:r>
          </w:p>
        </w:tc>
        <w:tc>
          <w:tcPr>
            <w:tcW w:type="dxa" w:w="3275"/>
          </w:tcPr>
          <w:p>
            <w:pPr>
              <w:spacing w:before="0" w:after="0"/>
            </w:pPr>
            <w:r>
              <w:rPr>
                <w:sz w:val="20"/>
              </w:rPr>
              <w:t>Which step of the ladder does the claim stand on?</w:t>
            </w:r>
          </w:p>
        </w:tc>
      </w:tr>
      <w:tr>
        <w:trPr>
          <w:cantSplit/>
        </w:trPr>
        <w:tc>
          <w:tcPr>
            <w:tcW w:type="dxa" w:w="3365"/>
          </w:tcPr>
          <w:p>
            <w:pPr>
              <w:spacing w:before="0" w:after="0"/>
            </w:pPr>
            <w:r>
              <w:rPr>
                <w:sz w:val="20"/>
              </w:rPr>
              <w:t>Personalisation against privacy</w:t>
            </w:r>
          </w:p>
        </w:tc>
        <w:tc>
          <w:tcPr>
            <w:tcW w:type="dxa" w:w="2998"/>
          </w:tcPr>
          <w:p>
            <w:pPr>
              <w:spacing w:before="0" w:after="0"/>
            </w:pPr>
            <w:r>
              <w:rPr>
                <w:sz w:val="20"/>
              </w:rPr>
              <w:t>Product, against data protection and customers.</w:t>
            </w:r>
          </w:p>
        </w:tc>
        <w:tc>
          <w:tcPr>
            <w:tcW w:type="dxa" w:w="3275"/>
          </w:tcPr>
          <w:p>
            <w:pPr>
              <w:spacing w:before="0" w:after="0"/>
            </w:pPr>
            <w:r>
              <w:rPr>
                <w:sz w:val="20"/>
              </w:rPr>
              <w:t>What would we infer, and would people agree?</w:t>
            </w:r>
          </w:p>
        </w:tc>
      </w:tr>
      <w:tr>
        <w:trPr>
          <w:cantSplit/>
        </w:trPr>
        <w:tc>
          <w:tcPr>
            <w:tcW w:type="dxa" w:w="3365"/>
          </w:tcPr>
          <w:p>
            <w:pPr>
              <w:spacing w:before="0" w:after="0"/>
            </w:pPr>
            <w:r>
              <w:rPr>
                <w:sz w:val="20"/>
              </w:rPr>
              <w:t>Speed against interpretation effort</w:t>
            </w:r>
          </w:p>
        </w:tc>
        <w:tc>
          <w:tcPr>
            <w:tcW w:type="dxa" w:w="2998"/>
          </w:tcPr>
          <w:p>
            <w:pPr>
              <w:spacing w:before="0" w:after="0"/>
            </w:pPr>
            <w:r>
              <w:rPr>
                <w:sz w:val="20"/>
              </w:rPr>
              <w:t>Departments, against research.</w:t>
            </w:r>
          </w:p>
        </w:tc>
        <w:tc>
          <w:tcPr>
            <w:tcW w:type="dxa" w:w="3275"/>
          </w:tcPr>
          <w:p>
            <w:pPr>
              <w:spacing w:before="0" w:after="0"/>
            </w:pPr>
            <w:r>
              <w:rPr>
                <w:sz w:val="20"/>
              </w:rPr>
              <w:t>What is the smallest study that answers the question?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Tessel, Mara, Joon, Ines and Bastian are made up for this example; the gaze recordings are drawn for the lesson, not measured. The bets are a reading of the example, not a rule for every company.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each conflict as two goals and say who stands for each: board, research, product, data protection, customers.</w:t>
            </w:r>
          </w:p>
          <w:p>
            <w:pPr>
              <w:pStyle w:val="ListBullet"/>
              <w:spacing w:before="0" w:after="40"/>
            </w:pPr>
            <w:r>
              <w:rPr/>
              <w:t>Hold a few bets of different size: safe, medium, bold.</w:t>
            </w:r>
          </w:p>
          <w:p>
            <w:pPr>
              <w:pStyle w:val="ListBullet"/>
              <w:spacing w:before="0" w:after="40"/>
            </w:pPr>
            <w:r>
              <w:rPr/>
              <w:t>Write down the assumptions each bet rests on: data quality, acceptance, maturity, strategic value.</w:t>
            </w:r>
          </w:p>
          <w:p>
            <w:pPr>
              <w:pStyle w:val="ListBullet"/>
              <w:spacing w:before="0" w:after="40"/>
            </w:pPr>
            <w:r>
              <w:rPr/>
              <w:t>Set the measure of success and the exit date before the study starts.</w:t>
            </w:r>
          </w:p>
          <w:p>
            <w:pPr>
              <w:pStyle w:val="ListBullet"/>
              <w:spacing w:before="0" w:after="100"/>
            </w:pPr>
            <w:r>
              <w:rPr/>
              <w:t>Say what the choice gives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data-driven project becomes a trust problem when people learn about it from someone else. The same study, explained openly in advance, is research; discovered later, it is surveillance. Openness is cheap now and cannot be bought later.</w:t>
            </w:r>
          </w:p>
        </w:tc>
      </w:tr>
    </w:tbl>
    <w:p>
      <w:pPr>
        <w:spacing w:before="0" w:after="80"/>
      </w:pPr>
    </w:p>
    <w:p>
      <w:pPr>
        <w:spacing w:before="80" w:after="160"/>
      </w:pPr>
      <w:r>
        <w:rPr>
          <w:b/>
          <w:color w:val="556274"/>
          <w:sz w:val="18"/>
        </w:rPr>
        <w:t xml:space="preserve">Sources · </w:t>
      </w:r>
      <w:r>
        <w:rPr>
          <w:color w:val="556274"/>
          <w:sz w:val="18"/>
        </w:rPr>
        <w:t>ICO 2023 · Sitaram et al. 2017</w:t>
      </w:r>
    </w:p>
    <w:p>
      <w:pPr>
        <w:pStyle w:val="Heading2"/>
      </w:pPr>
      <w:r>
        <w:rPr/>
        <w:t>B3 · Governance for neurodata, and deciding with thin evidence · 20 min · Core</w:t>
      </w:r>
    </w:p>
    <w:p>
      <w:pPr>
        <w:pBdr>
          <w:left w:val="single" w:sz="18" w:space="6" w:color="1750A8"/>
        </w:pBdr>
        <w:spacing w:before="40" w:after="120"/>
        <w:ind w:left="170"/>
      </w:pPr>
      <w:r>
        <w:rPr>
          <w:i/>
          <w:color w:val="556274"/>
          <w:sz w:val="22"/>
        </w:rPr>
        <w:t>Neurodata needs an owner of research and the evidence grade, an ethics and data review that approves every study and may stop any, a translation step that decides what may reach a product, and a rule for when insight, speed and trust disagree. With thin evidence, a decision says what it decides, does not know, would reverse and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Neurodata needs owners and limits: someone who owns neuro-based research and the evidence grade, an ethics and data review that approves every study and may stop any, a translation step that decides what may reach a product, and a rule for when insight, speed and trust disagree. Four roles help: whoever sets the standard, whoever approves, whoever runs the studies, whoever translates. Evidence is usually thin at the start; a decision under uncertainty says what you decide, what you do not know, when you would reverse it and what you give up.</w:t>
            </w:r>
          </w:p>
          <w:p>
            <w:pPr>
              <w:spacing w:before="0" w:after="100"/>
            </w:pPr>
            <w:r>
              <w:rPr>
                <w:b/>
              </w:rPr>
              <w:t>Why it matters.</w:t>
            </w:r>
            <w:r>
              <w:rPr/>
              <w:t xml:space="preserve"> Block 3.1 asks for a governance model for neuro-based research, ethical approvals and the translation into product decisions, a decision despite patchy evidence, and a statement to the management. This card gives you the parts of each.</w:t>
            </w:r>
          </w:p>
          <w:p>
            <w:pPr>
              <w:spacing w:before="0" w:after="100"/>
            </w:pPr>
            <w:r>
              <w:rPr>
                <w:b/>
              </w:rPr>
              <w:t>How to read the picture.</w:t>
            </w:r>
            <w:r>
              <w:rPr/>
              <w:t xml:space="preserve"> The four boxes at the top are the parts of a decision, filled in for Tessel.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264551"/>
            <wp:docPr id="12" name="Picture 12"/>
            <wp:cNvGraphicFramePr>
              <a:graphicFrameLocks noChangeAspect="1"/>
            </wp:cNvGraphicFramePr>
            <a:graphic>
              <a:graphicData uri="http://schemas.openxmlformats.org/drawingml/2006/picture">
                <pic:pic>
                  <pic:nvPicPr>
                    <pic:cNvPr id="0" name="d15_B3_0-ba63ccac692c.png"/>
                    <pic:cNvPicPr/>
                  </pic:nvPicPr>
                  <pic:blipFill>
                    <a:blip r:embed="rId21"/>
                    <a:stretch>
                      <a:fillRect/>
                    </a:stretch>
                  </pic:blipFill>
                  <pic:spPr>
                    <a:xfrm>
                      <a:off x="0" y="0"/>
                      <a:ext cx="5940000" cy="2264551"/>
                    </a:xfrm>
                    <a:prstGeom prst="rect"/>
                  </pic:spPr>
                </pic:pic>
              </a:graphicData>
            </a:graphic>
          </wp:inline>
        </w:drawing>
      </w:r>
    </w:p>
    <w:p>
      <w:pPr>
        <w:spacing w:before="0" w:after="160"/>
        <w:jc w:val="center"/>
      </w:pPr>
      <w:r>
        <w:rPr>
          <w:i/>
          <w:color w:val="556274"/>
          <w:sz w:val="18"/>
        </w:rPr>
        <w:t>Figure 12 · A decision under uncertainty, filled in for Tessel.</w:t>
      </w:r>
    </w:p>
    <w:p>
      <w:pPr>
        <w:spacing w:before="0" w:after="100"/>
      </w:pPr>
      <w:r>
        <w:rPr>
          <w:b/>
        </w:rPr>
        <w:t>Four roles of governance for neurodata</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41"/>
        <w:gridCol w:w="3567"/>
        <w:gridCol w:w="3930"/>
      </w:tblGrid>
      <w:tr>
        <w:trPr>
          <w:cantSplit/>
          <w:tblHeader/>
        </w:trPr>
        <w:tc>
          <w:tcPr>
            <w:tcW w:type="dxa" w:w="2141"/>
            <w:shd w:val="clear" w:color="auto" w:fill="E6ECF4"/>
          </w:tcPr>
          <w:p>
            <w:pPr>
              <w:spacing w:before="0" w:after="0"/>
            </w:pPr>
            <w:r>
              <w:rPr>
                <w:b/>
                <w:sz w:val="20"/>
              </w:rPr>
              <w:t>Role</w:t>
            </w:r>
          </w:p>
        </w:tc>
        <w:tc>
          <w:tcPr>
            <w:tcW w:type="dxa" w:w="3567"/>
            <w:shd w:val="clear" w:color="auto" w:fill="E6ECF4"/>
          </w:tcPr>
          <w:p>
            <w:pPr>
              <w:spacing w:before="0" w:after="0"/>
            </w:pPr>
            <w:r>
              <w:rPr>
                <w:b/>
                <w:sz w:val="20"/>
              </w:rPr>
              <w:t>The question</w:t>
            </w:r>
          </w:p>
        </w:tc>
        <w:tc>
          <w:tcPr>
            <w:tcW w:type="dxa" w:w="3930"/>
            <w:shd w:val="clear" w:color="auto" w:fill="E6ECF4"/>
          </w:tcPr>
          <w:p>
            <w:pPr>
              <w:spacing w:before="0" w:after="0"/>
            </w:pPr>
            <w:r>
              <w:rPr>
                <w:b/>
                <w:sz w:val="20"/>
              </w:rPr>
              <w:t>An example (Tessel)</w:t>
            </w:r>
          </w:p>
        </w:tc>
      </w:tr>
      <w:tr>
        <w:trPr>
          <w:cantSplit/>
        </w:trPr>
        <w:tc>
          <w:tcPr>
            <w:tcW w:type="dxa" w:w="2141"/>
          </w:tcPr>
          <w:p>
            <w:pPr>
              <w:spacing w:before="0" w:after="0"/>
            </w:pPr>
            <w:r>
              <w:rPr>
                <w:sz w:val="20"/>
              </w:rPr>
              <w:t>Sets the standard</w:t>
            </w:r>
          </w:p>
        </w:tc>
        <w:tc>
          <w:tcPr>
            <w:tcW w:type="dxa" w:w="3567"/>
          </w:tcPr>
          <w:p>
            <w:pPr>
              <w:spacing w:before="0" w:after="0"/>
            </w:pPr>
            <w:r>
              <w:rPr>
                <w:sz w:val="20"/>
              </w:rPr>
              <w:t>Who owns the research and the evidence grade?</w:t>
            </w:r>
          </w:p>
        </w:tc>
        <w:tc>
          <w:tcPr>
            <w:tcW w:type="dxa" w:w="3930"/>
          </w:tcPr>
          <w:p>
            <w:pPr>
              <w:spacing w:before="0" w:after="0"/>
            </w:pPr>
            <w:r>
              <w:rPr>
                <w:sz w:val="20"/>
              </w:rPr>
              <w:t>The head of UX research.</w:t>
            </w:r>
          </w:p>
        </w:tc>
      </w:tr>
      <w:tr>
        <w:trPr>
          <w:cantSplit/>
        </w:trPr>
        <w:tc>
          <w:tcPr>
            <w:tcW w:type="dxa" w:w="2141"/>
          </w:tcPr>
          <w:p>
            <w:pPr>
              <w:spacing w:before="0" w:after="0"/>
            </w:pPr>
            <w:r>
              <w:rPr>
                <w:sz w:val="20"/>
              </w:rPr>
              <w:t>Approves</w:t>
            </w:r>
          </w:p>
        </w:tc>
        <w:tc>
          <w:tcPr>
            <w:tcW w:type="dxa" w:w="3567"/>
          </w:tcPr>
          <w:p>
            <w:pPr>
              <w:spacing w:before="0" w:after="0"/>
            </w:pPr>
            <w:r>
              <w:rPr>
                <w:sz w:val="20"/>
              </w:rPr>
              <w:t>Who says yes to a study, and may stop it?</w:t>
            </w:r>
          </w:p>
        </w:tc>
        <w:tc>
          <w:tcPr>
            <w:tcW w:type="dxa" w:w="3930"/>
          </w:tcPr>
          <w:p>
            <w:pPr>
              <w:spacing w:before="0" w:after="0"/>
            </w:pPr>
            <w:r>
              <w:rPr>
                <w:sz w:val="20"/>
              </w:rPr>
              <w:t>An ethics and data review with the data protection officer.</w:t>
            </w:r>
          </w:p>
        </w:tc>
      </w:tr>
      <w:tr>
        <w:trPr>
          <w:cantSplit/>
        </w:trPr>
        <w:tc>
          <w:tcPr>
            <w:tcW w:type="dxa" w:w="2141"/>
          </w:tcPr>
          <w:p>
            <w:pPr>
              <w:spacing w:before="0" w:after="0"/>
            </w:pPr>
            <w:r>
              <w:rPr>
                <w:sz w:val="20"/>
              </w:rPr>
              <w:t>Runs the studies</w:t>
            </w:r>
          </w:p>
        </w:tc>
        <w:tc>
          <w:tcPr>
            <w:tcW w:type="dxa" w:w="3567"/>
          </w:tcPr>
          <w:p>
            <w:pPr>
              <w:spacing w:before="0" w:after="0"/>
            </w:pPr>
            <w:r>
              <w:rPr>
                <w:sz w:val="20"/>
              </w:rPr>
              <w:t>Who designs and analyses them?</w:t>
            </w:r>
          </w:p>
        </w:tc>
        <w:tc>
          <w:tcPr>
            <w:tcW w:type="dxa" w:w="3930"/>
          </w:tcPr>
          <w:p>
            <w:pPr>
              <w:spacing w:before="0" w:after="0"/>
            </w:pPr>
            <w:r>
              <w:rPr>
                <w:sz w:val="20"/>
              </w:rPr>
              <w:t>The research team, with a university for EEG.</w:t>
            </w:r>
          </w:p>
        </w:tc>
      </w:tr>
      <w:tr>
        <w:trPr>
          <w:cantSplit/>
        </w:trPr>
        <w:tc>
          <w:tcPr>
            <w:tcW w:type="dxa" w:w="2141"/>
          </w:tcPr>
          <w:p>
            <w:pPr>
              <w:spacing w:before="0" w:after="0"/>
            </w:pPr>
            <w:r>
              <w:rPr>
                <w:sz w:val="20"/>
              </w:rPr>
              <w:t>Translates</w:t>
            </w:r>
          </w:p>
        </w:tc>
        <w:tc>
          <w:tcPr>
            <w:tcW w:type="dxa" w:w="3567"/>
          </w:tcPr>
          <w:p>
            <w:pPr>
              <w:spacing w:before="0" w:after="0"/>
            </w:pPr>
            <w:r>
              <w:rPr>
                <w:sz w:val="20"/>
              </w:rPr>
              <w:t>Who decides what reaches the product?</w:t>
            </w:r>
          </w:p>
        </w:tc>
        <w:tc>
          <w:tcPr>
            <w:tcW w:type="dxa" w:w="3930"/>
          </w:tcPr>
          <w:p>
            <w:pPr>
              <w:spacing w:before="0" w:after="0"/>
            </w:pPr>
            <w:r>
              <w:rPr>
                <w:sz w:val="20"/>
              </w:rPr>
              <w:t>The CXO, only for graded findings.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Tessel, Mara, Joon, Ines and Bastian are made up for this example; the gaze recordings are drawn for the lesson, not measured. The limits of consent at work follow the UK ICO (2023); deciding with limited information follows Simon (1956); imagining the failure in advance (premortem) follows Klein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sets the standard and owns the evidence grade.</w:t>
            </w:r>
          </w:p>
          <w:p>
            <w:pPr>
              <w:pStyle w:val="ListBullet"/>
              <w:spacing w:before="0" w:after="40"/>
            </w:pPr>
            <w:r>
              <w:rPr/>
              <w:t>Name who approves a study and may stop it, including data protection and employee representatives.</w:t>
            </w:r>
          </w:p>
          <w:p>
            <w:pPr>
              <w:pStyle w:val="ListBullet"/>
              <w:spacing w:before="0" w:after="40"/>
            </w:pPr>
            <w:r>
              <w:rPr/>
              <w:t>Name who runs studies, and who translates findings into product decisions.</w:t>
            </w:r>
          </w:p>
          <w:p>
            <w:pPr>
              <w:pStyle w:val="ListBullet"/>
              <w:spacing w:before="0" w:after="40"/>
            </w:pPr>
            <w:r>
              <w:rPr/>
              <w:t>Settle conflicts by people's rights first, then robust evidence, then speed; say who settles a tie.</w:t>
            </w:r>
          </w:p>
          <w:p>
            <w:pPr>
              <w:pStyle w:val="ListBullet"/>
              <w:spacing w:before="0" w:after="100"/>
            </w:pPr>
            <w:r>
              <w:rPr/>
              <w:t>Say what you decide, what you do not know, when you would reverse it and what you give up.</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Name the roles before you need them. When a study goes wrong, the first question is “who approved this?”; if nobody can answer, the problem is no longer the data, it is the company.</w:t>
            </w:r>
          </w:p>
        </w:tc>
      </w:tr>
    </w:tbl>
    <w:p>
      <w:pPr>
        <w:spacing w:before="0" w:after="80"/>
      </w:pPr>
    </w:p>
    <w:p>
      <w:pPr>
        <w:spacing w:before="80" w:after="160"/>
      </w:pPr>
      <w:r>
        <w:rPr>
          <w:b/>
          <w:color w:val="556274"/>
          <w:sz w:val="18"/>
        </w:rPr>
        <w:t xml:space="preserve">Sources · </w:t>
      </w:r>
      <w:r>
        <w:rPr>
          <w:color w:val="556274"/>
          <w:sz w:val="18"/>
        </w:rPr>
        <w:t>ICO 2023 · Simon 1956 · Klein 2007</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81"/>
        <w:gridCol w:w="3816"/>
        <w:gridCol w:w="1441"/>
      </w:tblGrid>
      <w:tr>
        <w:trPr>
          <w:cantSplit/>
          <w:tblHeader/>
        </w:trPr>
        <w:tc>
          <w:tcPr>
            <w:tcW w:type="dxa" w:w="4381"/>
            <w:shd w:val="clear" w:color="auto" w:fill="E6ECF4"/>
          </w:tcPr>
          <w:p>
            <w:pPr>
              <w:spacing w:before="0" w:after="0"/>
            </w:pPr>
            <w:r>
              <w:rPr>
                <w:b/>
                <w:sz w:val="20"/>
              </w:rPr>
              <w:t>Card</w:t>
            </w:r>
          </w:p>
        </w:tc>
        <w:tc>
          <w:tcPr>
            <w:tcW w:type="dxa" w:w="3816"/>
            <w:shd w:val="clear" w:color="auto" w:fill="E6ECF4"/>
          </w:tcPr>
          <w:p>
            <w:pPr>
              <w:spacing w:before="0" w:after="0"/>
            </w:pPr>
            <w:r>
              <w:rPr>
                <w:b/>
                <w:sz w:val="20"/>
              </w:rPr>
              <w:t>Presentation (shown in the Neuro-UX Lab)</w:t>
            </w:r>
          </w:p>
        </w:tc>
        <w:tc>
          <w:tcPr>
            <w:tcW w:type="dxa" w:w="1441"/>
            <w:shd w:val="clear" w:color="auto" w:fill="E6ECF4"/>
          </w:tcPr>
          <w:p>
            <w:pPr>
              <w:spacing w:before="0" w:after="0"/>
            </w:pPr>
            <w:r>
              <w:rPr>
                <w:b/>
                <w:sz w:val="20"/>
              </w:rPr>
              <w:t>Handout</w:t>
            </w:r>
          </w:p>
        </w:tc>
      </w:tr>
      <w:tr>
        <w:trPr>
          <w:cantSplit/>
        </w:trPr>
        <w:tc>
          <w:tcPr>
            <w:tcW w:type="dxa" w:w="4381"/>
          </w:tcPr>
          <w:p>
            <w:pPr>
              <w:spacing w:before="0" w:after="0"/>
            </w:pPr>
            <w:r>
              <w:rPr>
                <w:b/>
                <w:sz w:val="20"/>
              </w:rPr>
              <w:t>A1</w:t>
            </w:r>
            <w:r>
              <w:rPr>
                <w:sz w:val="20"/>
              </w:rPr>
              <w:t xml:space="preserve"> · What eye-tracking measures: fixations, scanpaths, heatmaps and areas of interest (Core)</w:t>
            </w:r>
          </w:p>
        </w:tc>
        <w:tc>
          <w:tcPr>
            <w:tcW w:type="dxa" w:w="3816"/>
          </w:tcPr>
          <w:p>
            <w:pPr>
              <w:spacing w:before="0" w:after="0"/>
            </w:pPr>
            <w:r>
              <w:rPr>
                <w:sz w:val="20"/>
              </w:rPr>
              <w:t>Scan line and Figure 1; the "In plain words" and "How to decide" boxes</w:t>
            </w:r>
          </w:p>
        </w:tc>
        <w:tc>
          <w:tcPr>
            <w:tcW w:type="dxa" w:w="1441"/>
          </w:tcPr>
          <w:p>
            <w:pPr>
              <w:spacing w:before="0" w:after="0"/>
            </w:pPr>
            <w:r>
              <w:rPr>
                <w:sz w:val="20"/>
              </w:rPr>
              <w:t>The whole card</w:t>
            </w:r>
          </w:p>
        </w:tc>
      </w:tr>
      <w:tr>
        <w:trPr>
          <w:cantSplit/>
        </w:trPr>
        <w:tc>
          <w:tcPr>
            <w:tcW w:type="dxa" w:w="4381"/>
          </w:tcPr>
          <w:p>
            <w:pPr>
              <w:spacing w:before="0" w:after="0"/>
            </w:pPr>
            <w:r>
              <w:rPr>
                <w:b/>
                <w:sz w:val="20"/>
              </w:rPr>
              <w:t>A2</w:t>
            </w:r>
            <w:r>
              <w:rPr>
                <w:sz w:val="20"/>
              </w:rPr>
              <w:t xml:space="preserve"> · Looking is not understanding: the limits of gaze data (Core)</w:t>
            </w:r>
          </w:p>
        </w:tc>
        <w:tc>
          <w:tcPr>
            <w:tcW w:type="dxa" w:w="3816"/>
          </w:tcPr>
          <w:p>
            <w:pPr>
              <w:spacing w:before="0" w:after="0"/>
            </w:pPr>
            <w:r>
              <w:rPr>
                <w:sz w:val="20"/>
              </w:rPr>
              <w:t>Scan line and Figures 2–3; the "In plain words" and "How to decide" boxes</w:t>
            </w:r>
          </w:p>
        </w:tc>
        <w:tc>
          <w:tcPr>
            <w:tcW w:type="dxa" w:w="1441"/>
          </w:tcPr>
          <w:p>
            <w:pPr>
              <w:spacing w:before="0" w:after="0"/>
            </w:pPr>
            <w:r>
              <w:rPr>
                <w:sz w:val="20"/>
              </w:rPr>
              <w:t>The whole card</w:t>
            </w:r>
          </w:p>
        </w:tc>
      </w:tr>
      <w:tr>
        <w:trPr>
          <w:cantSplit/>
        </w:trPr>
        <w:tc>
          <w:tcPr>
            <w:tcW w:type="dxa" w:w="4381"/>
          </w:tcPr>
          <w:p>
            <w:pPr>
              <w:spacing w:before="0" w:after="0"/>
            </w:pPr>
            <w:r>
              <w:rPr>
                <w:b/>
                <w:sz w:val="20"/>
              </w:rPr>
              <w:t>A3</w:t>
            </w:r>
            <w:r>
              <w:rPr>
                <w:sz w:val="20"/>
              </w:rPr>
              <w:t xml:space="preserve"> · Neurofeedback and brain-computer interfaces at their real maturity (Core)</w:t>
            </w:r>
          </w:p>
        </w:tc>
        <w:tc>
          <w:tcPr>
            <w:tcW w:type="dxa" w:w="3816"/>
          </w:tcPr>
          <w:p>
            <w:pPr>
              <w:spacing w:before="0" w:after="0"/>
            </w:pPr>
            <w:r>
              <w:rPr>
                <w:sz w:val="20"/>
              </w:rPr>
              <w:t>Scan line and Figure 4; the "In plain words" and "How to decide" boxes</w:t>
            </w:r>
          </w:p>
        </w:tc>
        <w:tc>
          <w:tcPr>
            <w:tcW w:type="dxa" w:w="1441"/>
          </w:tcPr>
          <w:p>
            <w:pPr>
              <w:spacing w:before="0" w:after="0"/>
            </w:pPr>
            <w:r>
              <w:rPr>
                <w:sz w:val="20"/>
              </w:rPr>
              <w:t>The whole card</w:t>
            </w:r>
          </w:p>
        </w:tc>
      </w:tr>
      <w:tr>
        <w:trPr>
          <w:cantSplit/>
        </w:trPr>
        <w:tc>
          <w:tcPr>
            <w:tcW w:type="dxa" w:w="4381"/>
          </w:tcPr>
          <w:p>
            <w:pPr>
              <w:spacing w:before="0" w:after="0"/>
            </w:pPr>
            <w:r>
              <w:rPr>
                <w:b/>
                <w:sz w:val="20"/>
              </w:rPr>
              <w:t>A4</w:t>
            </w:r>
            <w:r>
              <w:rPr>
                <w:sz w:val="20"/>
              </w:rPr>
              <w:t xml:space="preserve"> · Insight, interpretation risk and decision relevance: research, experiment or product? (Core)</w:t>
            </w:r>
          </w:p>
        </w:tc>
        <w:tc>
          <w:tcPr>
            <w:tcW w:type="dxa" w:w="3816"/>
          </w:tcPr>
          <w:p>
            <w:pPr>
              <w:spacing w:before="0" w:after="0"/>
            </w:pPr>
            <w:r>
              <w:rPr>
                <w:sz w:val="20"/>
              </w:rPr>
              <w:t>Scan line and Figures 5–6; the "In plain words" and "How to decide" boxes</w:t>
            </w:r>
          </w:p>
        </w:tc>
        <w:tc>
          <w:tcPr>
            <w:tcW w:type="dxa" w:w="1441"/>
          </w:tcPr>
          <w:p>
            <w:pPr>
              <w:spacing w:before="0" w:after="0"/>
            </w:pPr>
            <w:r>
              <w:rPr>
                <w:sz w:val="20"/>
              </w:rPr>
              <w:t>The whole card</w:t>
            </w:r>
          </w:p>
        </w:tc>
      </w:tr>
      <w:tr>
        <w:trPr>
          <w:cantSplit/>
        </w:trPr>
        <w:tc>
          <w:tcPr>
            <w:tcW w:type="dxa" w:w="4381"/>
          </w:tcPr>
          <w:p>
            <w:pPr>
              <w:spacing w:before="0" w:after="0"/>
            </w:pPr>
            <w:r>
              <w:rPr>
                <w:b/>
                <w:sz w:val="20"/>
              </w:rPr>
              <w:t>A5</w:t>
            </w:r>
            <w:r>
              <w:rPr>
                <w:sz w:val="20"/>
              </w:rPr>
              <w:t xml:space="preserve"> · Ethics, data protection and voluntariness, and weighing a measure (Core)</w:t>
            </w:r>
          </w:p>
        </w:tc>
        <w:tc>
          <w:tcPr>
            <w:tcW w:type="dxa" w:w="3816"/>
          </w:tcPr>
          <w:p>
            <w:pPr>
              <w:spacing w:before="0" w:after="0"/>
            </w:pPr>
            <w:r>
              <w:rPr>
                <w:sz w:val="20"/>
              </w:rPr>
              <w:t>Scan line and Figures 7–8; the "In plain words" and "How to decide" boxes</w:t>
            </w:r>
          </w:p>
        </w:tc>
        <w:tc>
          <w:tcPr>
            <w:tcW w:type="dxa" w:w="1441"/>
          </w:tcPr>
          <w:p>
            <w:pPr>
              <w:spacing w:before="0" w:after="0"/>
            </w:pPr>
            <w:r>
              <w:rPr>
                <w:sz w:val="20"/>
              </w:rPr>
              <w:t>The whole card</w:t>
            </w:r>
          </w:p>
        </w:tc>
      </w:tr>
      <w:tr>
        <w:trPr>
          <w:cantSplit/>
        </w:trPr>
        <w:tc>
          <w:tcPr>
            <w:tcW w:type="dxa" w:w="4381"/>
          </w:tcPr>
          <w:p>
            <w:pPr>
              <w:spacing w:before="0" w:after="0"/>
            </w:pPr>
            <w:r>
              <w:rPr>
                <w:b/>
                <w:sz w:val="20"/>
              </w:rPr>
              <w:t>B1</w:t>
            </w:r>
            <w:r>
              <w:rPr>
                <w:sz w:val="20"/>
              </w:rPr>
              <w:t xml:space="preserve"> · Neuro-based UX as an insight architecture, not measurement fascination (Core)</w:t>
            </w:r>
          </w:p>
        </w:tc>
        <w:tc>
          <w:tcPr>
            <w:tcW w:type="dxa" w:w="3816"/>
          </w:tcPr>
          <w:p>
            <w:pPr>
              <w:spacing w:before="0" w:after="0"/>
            </w:pPr>
            <w:r>
              <w:rPr>
                <w:sz w:val="20"/>
              </w:rPr>
              <w:t>Scan line and Figures 9–10; the "In plain words" and "How to decide" boxes</w:t>
            </w:r>
          </w:p>
        </w:tc>
        <w:tc>
          <w:tcPr>
            <w:tcW w:type="dxa" w:w="1441"/>
          </w:tcPr>
          <w:p>
            <w:pPr>
              <w:spacing w:before="0" w:after="0"/>
            </w:pPr>
            <w:r>
              <w:rPr>
                <w:sz w:val="20"/>
              </w:rPr>
              <w:t>The whole card</w:t>
            </w:r>
          </w:p>
        </w:tc>
      </w:tr>
      <w:tr>
        <w:trPr>
          <w:cantSplit/>
        </w:trPr>
        <w:tc>
          <w:tcPr>
            <w:tcW w:type="dxa" w:w="4381"/>
          </w:tcPr>
          <w:p>
            <w:pPr>
              <w:spacing w:before="0" w:after="0"/>
            </w:pPr>
            <w:r>
              <w:rPr>
                <w:b/>
                <w:sz w:val="20"/>
              </w:rPr>
              <w:t>B2</w:t>
            </w:r>
            <w:r>
              <w:rPr>
                <w:sz w:val="20"/>
              </w:rPr>
              <w:t xml:space="preserve"> · Value, validity, effort, ethics, data protection, maturity: the conflicts of neuro-based UX (Core)</w:t>
            </w:r>
          </w:p>
        </w:tc>
        <w:tc>
          <w:tcPr>
            <w:tcW w:type="dxa" w:w="3816"/>
          </w:tcPr>
          <w:p>
            <w:pPr>
              <w:spacing w:before="0" w:after="0"/>
            </w:pPr>
            <w:r>
              <w:rPr>
                <w:sz w:val="20"/>
              </w:rPr>
              <w:t>Scan line and Figure 11; the "In plain words" and "How to decide" boxes</w:t>
            </w:r>
          </w:p>
        </w:tc>
        <w:tc>
          <w:tcPr>
            <w:tcW w:type="dxa" w:w="1441"/>
          </w:tcPr>
          <w:p>
            <w:pPr>
              <w:spacing w:before="0" w:after="0"/>
            </w:pPr>
            <w:r>
              <w:rPr>
                <w:sz w:val="20"/>
              </w:rPr>
              <w:t>The whole card</w:t>
            </w:r>
          </w:p>
        </w:tc>
      </w:tr>
      <w:tr>
        <w:trPr>
          <w:cantSplit/>
        </w:trPr>
        <w:tc>
          <w:tcPr>
            <w:tcW w:type="dxa" w:w="4381"/>
          </w:tcPr>
          <w:p>
            <w:pPr>
              <w:spacing w:before="0" w:after="0"/>
            </w:pPr>
            <w:r>
              <w:rPr>
                <w:b/>
                <w:sz w:val="20"/>
              </w:rPr>
              <w:t>B3</w:t>
            </w:r>
            <w:r>
              <w:rPr>
                <w:sz w:val="20"/>
              </w:rPr>
              <w:t xml:space="preserve"> · Governance for neurodata, and deciding with thin evidence (Core)</w:t>
            </w:r>
          </w:p>
        </w:tc>
        <w:tc>
          <w:tcPr>
            <w:tcW w:type="dxa" w:w="3816"/>
          </w:tcPr>
          <w:p>
            <w:pPr>
              <w:spacing w:before="0" w:after="0"/>
            </w:pPr>
            <w:r>
              <w:rPr>
                <w:sz w:val="20"/>
              </w:rPr>
              <w:t>Scan line and Figure 12; the "In plain words" and "How to decide" boxes</w:t>
            </w:r>
          </w:p>
        </w:tc>
        <w:tc>
          <w:tcPr>
            <w:tcW w:type="dxa" w:w="1441"/>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Holmqvist, K., Nyström, M., Andersson, R., Dewhurst, R., Jarodzka, H., &amp; van de Weijer, J. (2011). Eye tracking: A comprehensive guide to methods and measures. Oxford University Press. (Fixations, saccades, scanpaths, areas of interest and heatmaps, and what each measure can support.)</w:t>
      </w:r>
    </w:p>
    <w:p>
      <w:pPr>
        <w:spacing w:before="0" w:after="80"/>
        <w:ind w:left="283" w:hanging="283"/>
      </w:pPr>
      <w:r>
        <w:rPr>
          <w:sz w:val="19"/>
        </w:rPr>
        <w:t>Duchowski, A. T. (2017). Eye tracking methodology: Theory and practice (3rd ed.). Springer. (How eye-trackers work, calibration, accuracy, and where the measurement ends and interpretation begins.)</w:t>
      </w:r>
    </w:p>
    <w:p>
      <w:pPr>
        <w:spacing w:before="0" w:after="80"/>
        <w:ind w:left="283" w:hanging="283"/>
      </w:pPr>
      <w:r>
        <w:rPr>
          <w:sz w:val="19"/>
        </w:rPr>
        <w:t>Just, M. A., &amp; Carpenter, P. A. (1980). A theory of reading: From eye fixations to comprehension. Psychological Review, 87(4), 329–354. (The eye-mind assumption: what is fixated is being processed; longer fixations can mean more effort, not more liking.)</w:t>
      </w:r>
    </w:p>
    <w:p>
      <w:pPr>
        <w:spacing w:before="0" w:after="80"/>
        <w:ind w:left="283" w:hanging="283"/>
      </w:pPr>
      <w:r>
        <w:rPr>
          <w:sz w:val="19"/>
        </w:rPr>
        <w:t>Sitaram, R., Ros, T., Stoeckel, L., et al. (2017). Closed-loop brain training: The science of neurofeedback. Nature Reviews Neuroscience, 18(2), 86–100. (What neurofeedback is, where the evidence is promising and where it is still weak.)</w:t>
      </w:r>
    </w:p>
    <w:p>
      <w:pPr>
        <w:spacing w:before="0" w:after="80"/>
        <w:ind w:left="283" w:hanging="283"/>
      </w:pPr>
      <w:r>
        <w:rPr>
          <w:sz w:val="19"/>
        </w:rPr>
        <w:t>Wolpaw, J. R., Birbaumer, N., McFarland, D. J., Pfurtscheller, G., &amp; Vaughan, T. M. (2002). Brain–computer interfaces for communication and control. Clinical Neurophysiology, 113(6), 767–791. (What a BCI is, and its main use so far: communication for people who cannot move.)</w:t>
      </w:r>
    </w:p>
    <w:p>
      <w:pPr>
        <w:spacing w:before="0" w:after="80"/>
        <w:ind w:left="283" w:hanging="283"/>
      </w:pPr>
      <w:r>
        <w:rPr>
          <w:sz w:val="19"/>
        </w:rPr>
        <w:t>Tobii (2019, 13 November). Eye tracking and UX testing: when, how, and if you should use it. https://www.tobii.com/blog/eye-tracking-and-ux-testing (read 29.10.2026). (An eye-tracker maker's advice: narrow questions, measurable outcomes, retrospective think-aloud, pilot the test.)</w:t>
      </w:r>
    </w:p>
    <w:p>
      <w:pPr>
        <w:spacing w:before="0" w:after="80"/>
        <w:ind w:left="283" w:hanging="283"/>
      </w:pPr>
      <w:r>
        <w:rPr>
          <w:sz w:val="19"/>
        </w:rPr>
        <w:t>Information Commissioner's Office (2023). ICO tech futures: neurotechnology. https://ico.org.uk/about-the-ico/research-reports-impact-and-evaluation/research-and-reports/technology-and-innovation/tech-horizons-and-ico-tech-futures/ico-tech-futures-neurotechnology/ (read 29.10.2026). (Neurodata as high risk, neurodiscrimination, and the limits of consent.)</w:t>
      </w:r>
    </w:p>
    <w:p>
      <w:pPr>
        <w:spacing w:before="0" w:after="80"/>
        <w:ind w:left="283" w:hanging="283"/>
      </w:pPr>
      <w:r>
        <w:rPr>
          <w:sz w:val="19"/>
        </w:rPr>
        <w:t>Ienca, M., &amp; Andorno, R. (2017). Towards new human rights in the age of neuroscience and neurotechnology. Life Sciences, Society and Policy, 13(1), 5. (Mental privacy, cognitive liberty and mental integrity as rights to protect.)</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74"/>
        <w:gridCol w:w="5197"/>
        <w:gridCol w:w="1356"/>
        <w:gridCol w:w="911"/>
      </w:tblGrid>
      <w:tr>
        <w:trPr>
          <w:cantSplit/>
          <w:tblHeader/>
        </w:trPr>
        <w:tc>
          <w:tcPr>
            <w:tcW w:type="dxa" w:w="2174"/>
            <w:shd w:val="clear" w:color="auto" w:fill="E6ECF4"/>
          </w:tcPr>
          <w:p>
            <w:pPr>
              <w:spacing w:before="0" w:after="0"/>
            </w:pPr>
            <w:r>
              <w:rPr>
                <w:b/>
                <w:sz w:val="19"/>
              </w:rPr>
              <w:t>Term</w:t>
            </w:r>
          </w:p>
        </w:tc>
        <w:tc>
          <w:tcPr>
            <w:tcW w:type="dxa" w:w="5197"/>
            <w:shd w:val="clear" w:color="auto" w:fill="E6ECF4"/>
          </w:tcPr>
          <w:p>
            <w:pPr>
              <w:spacing w:before="0" w:after="0"/>
            </w:pPr>
            <w:r>
              <w:rPr>
                <w:b/>
                <w:sz w:val="19"/>
              </w:rPr>
              <w:t>In plain words</w:t>
            </w:r>
          </w:p>
        </w:tc>
        <w:tc>
          <w:tcPr>
            <w:tcW w:type="dxa" w:w="1356"/>
            <w:shd w:val="clear" w:color="auto" w:fill="E6ECF4"/>
          </w:tcPr>
          <w:p>
            <w:pPr>
              <w:spacing w:before="0" w:after="0"/>
            </w:pPr>
            <w:r>
              <w:rPr>
                <w:b/>
                <w:sz w:val="19"/>
              </w:rPr>
              <w:t>Example</w:t>
            </w:r>
          </w:p>
        </w:tc>
        <w:tc>
          <w:tcPr>
            <w:tcW w:type="dxa" w:w="911"/>
            <w:shd w:val="clear" w:color="auto" w:fill="E6ECF4"/>
          </w:tcPr>
          <w:p>
            <w:pPr>
              <w:spacing w:before="0" w:after="0"/>
            </w:pPr>
            <w:r>
              <w:rPr>
                <w:b/>
                <w:sz w:val="19"/>
              </w:rPr>
              <w:t>Comes from</w:t>
            </w:r>
          </w:p>
        </w:tc>
      </w:tr>
      <w:tr>
        <w:trPr>
          <w:cantSplit/>
        </w:trPr>
        <w:tc>
          <w:tcPr>
            <w:tcW w:type="dxa" w:w="2174"/>
          </w:tcPr>
          <w:p>
            <w:pPr>
              <w:spacing w:before="0" w:after="0"/>
            </w:pPr>
            <w:r>
              <w:rPr>
                <w:b/>
                <w:sz w:val="19"/>
              </w:rPr>
              <w:t>Adaptive system</w:t>
            </w:r>
          </w:p>
        </w:tc>
        <w:tc>
          <w:tcPr>
            <w:tcW w:type="dxa" w:w="5197"/>
          </w:tcPr>
          <w:p>
            <w:pPr>
              <w:spacing w:before="0" w:after="0"/>
            </w:pPr>
            <w:r>
              <w:rPr>
                <w:sz w:val="19"/>
              </w:rPr>
              <w:t>A system that reacts to the situation now (time, place, device, what someone just did) without learning about the person over time.</w:t>
            </w:r>
          </w:p>
        </w:tc>
        <w:tc>
          <w:tcPr>
            <w:tcW w:type="dxa" w:w="1356"/>
          </w:tcPr>
          <w:p>
            <w:pPr>
              <w:spacing w:before="0" w:after="0"/>
            </w:pPr>
            <w:r>
              <w:rPr>
                <w:sz w:val="19"/>
              </w:rPr>
              <w:t>—</w:t>
            </w:r>
          </w:p>
        </w:tc>
        <w:tc>
          <w:tcPr>
            <w:tcW w:type="dxa" w:w="911"/>
          </w:tcPr>
          <w:p>
            <w:pPr>
              <w:spacing w:before="0" w:after="0"/>
            </w:pPr>
            <w:r>
              <w:rPr>
                <w:sz w:val="19"/>
              </w:rPr>
              <w:t>Day 10</w:t>
            </w:r>
          </w:p>
        </w:tc>
      </w:tr>
      <w:tr>
        <w:trPr>
          <w:cantSplit/>
        </w:trPr>
        <w:tc>
          <w:tcPr>
            <w:tcW w:type="dxa" w:w="2174"/>
          </w:tcPr>
          <w:p>
            <w:pPr>
              <w:spacing w:before="0" w:after="0"/>
            </w:pPr>
            <w:r>
              <w:rPr>
                <w:b/>
                <w:sz w:val="19"/>
              </w:rPr>
              <w:t>Area of interest</w:t>
            </w:r>
          </w:p>
        </w:tc>
        <w:tc>
          <w:tcPr>
            <w:tcW w:type="dxa" w:w="5197"/>
          </w:tcPr>
          <w:p>
            <w:pPr>
              <w:spacing w:before="0" w:after="0"/>
            </w:pPr>
            <w:r>
              <w:rPr>
                <w:sz w:val="19"/>
              </w:rPr>
              <w:t>A part of a page marked before the analysis, for example the price or a button, so the time and order of looks at it can be counted.</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Attention</w:t>
            </w:r>
          </w:p>
        </w:tc>
        <w:tc>
          <w:tcPr>
            <w:tcW w:type="dxa" w:w="5197"/>
          </w:tcPr>
          <w:p>
            <w:pPr>
              <w:spacing w:before="0" w:after="0"/>
            </w:pPr>
            <w:r>
              <w:rPr>
                <w:sz w:val="19"/>
              </w:rPr>
              <w:t>The mind's spotlight. Only a small part of a screen is processed at any moment; attention decides which part.</w:t>
            </w:r>
          </w:p>
        </w:tc>
        <w:tc>
          <w:tcPr>
            <w:tcW w:type="dxa" w:w="1356"/>
          </w:tcPr>
          <w:p>
            <w:pPr>
              <w:spacing w:before="0" w:after="0"/>
            </w:pPr>
            <w:r>
              <w:rPr>
                <w:sz w:val="19"/>
              </w:rPr>
              <w:t>A flashing banner takes attention away from the form you were filling in.</w:t>
            </w:r>
          </w:p>
        </w:tc>
        <w:tc>
          <w:tcPr>
            <w:tcW w:type="dxa" w:w="911"/>
          </w:tcPr>
          <w:p>
            <w:pPr>
              <w:spacing w:before="0" w:after="0"/>
            </w:pPr>
            <w:r>
              <w:rPr>
                <w:sz w:val="19"/>
              </w:rPr>
              <w:t>Day 1</w:t>
            </w:r>
          </w:p>
        </w:tc>
      </w:tr>
      <w:tr>
        <w:trPr>
          <w:cantSplit/>
        </w:trPr>
        <w:tc>
          <w:tcPr>
            <w:tcW w:type="dxa" w:w="2174"/>
          </w:tcPr>
          <w:p>
            <w:pPr>
              <w:spacing w:before="0" w:after="0"/>
            </w:pPr>
            <w:r>
              <w:rPr>
                <w:b/>
                <w:sz w:val="19"/>
              </w:rPr>
              <w:t>Brain-computer interface (BCI)</w:t>
            </w:r>
          </w:p>
        </w:tc>
        <w:tc>
          <w:tcPr>
            <w:tcW w:type="dxa" w:w="5197"/>
          </w:tcPr>
          <w:p>
            <w:pPr>
              <w:spacing w:before="0" w:after="0"/>
            </w:pPr>
            <w:r>
              <w:rPr>
                <w:sz w:val="19"/>
              </w:rPr>
              <w:t>A system that turns brain signals into commands for a computer, for example to type without moving; today mostly medical and research use.</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Case assumption</w:t>
            </w:r>
          </w:p>
        </w:tc>
        <w:tc>
          <w:tcPr>
            <w:tcW w:type="dxa" w:w="5197"/>
          </w:tcPr>
          <w:p>
            <w:pPr>
              <w:spacing w:before="0" w:after="0"/>
            </w:pPr>
            <w:r>
              <w:rPr>
                <w:sz w:val="19"/>
              </w:rPr>
              <w:t>A fact made up for this exercise to fill a gap in the plan's case. It is marked so you know it is not part of the plan.</w:t>
            </w:r>
          </w:p>
        </w:tc>
        <w:tc>
          <w:tcPr>
            <w:tcW w:type="dxa" w:w="1356"/>
          </w:tcPr>
          <w:p>
            <w:pPr>
              <w:spacing w:before="0" w:after="0"/>
            </w:pPr>
            <w:r>
              <w:rPr>
                <w:sz w:val="19"/>
              </w:rPr>
              <w:t>—</w:t>
            </w:r>
          </w:p>
        </w:tc>
        <w:tc>
          <w:tcPr>
            <w:tcW w:type="dxa" w:w="911"/>
          </w:tcPr>
          <w:p>
            <w:pPr>
              <w:spacing w:before="0" w:after="0"/>
            </w:pPr>
            <w:r>
              <w:rPr>
                <w:sz w:val="19"/>
              </w:rPr>
              <w:t>Day 1</w:t>
            </w:r>
          </w:p>
        </w:tc>
      </w:tr>
      <w:tr>
        <w:trPr>
          <w:cantSplit/>
        </w:trPr>
        <w:tc>
          <w:tcPr>
            <w:tcW w:type="dxa" w:w="2174"/>
          </w:tcPr>
          <w:p>
            <w:pPr>
              <w:spacing w:before="0" w:after="0"/>
            </w:pPr>
            <w:r>
              <w:rPr>
                <w:b/>
                <w:sz w:val="19"/>
              </w:rPr>
              <w:t>Chief Experience Officer</w:t>
            </w:r>
          </w:p>
        </w:tc>
        <w:tc>
          <w:tcPr>
            <w:tcW w:type="dxa" w:w="5197"/>
          </w:tcPr>
          <w:p>
            <w:pPr>
              <w:spacing w:before="0" w:after="0"/>
            </w:pPr>
            <w:r>
              <w:rPr>
                <w:sz w:val="19"/>
              </w:rPr>
              <w:t>The manager who is responsible for the experience customers have across all channels, and who decides where the company invests in it.</w:t>
            </w:r>
          </w:p>
        </w:tc>
        <w:tc>
          <w:tcPr>
            <w:tcW w:type="dxa" w:w="1356"/>
          </w:tcPr>
          <w:p>
            <w:pPr>
              <w:spacing w:before="0" w:after="0"/>
            </w:pPr>
            <w:r>
              <w:rPr>
                <w:sz w:val="19"/>
              </w:rPr>
              <w:t>—</w:t>
            </w:r>
          </w:p>
        </w:tc>
        <w:tc>
          <w:tcPr>
            <w:tcW w:type="dxa" w:w="911"/>
          </w:tcPr>
          <w:p>
            <w:pPr>
              <w:spacing w:before="0" w:after="0"/>
            </w:pPr>
            <w:r>
              <w:rPr>
                <w:sz w:val="19"/>
              </w:rPr>
              <w:t>Day 1</w:t>
            </w:r>
          </w:p>
        </w:tc>
      </w:tr>
      <w:tr>
        <w:trPr>
          <w:cantSplit/>
        </w:trPr>
        <w:tc>
          <w:tcPr>
            <w:tcW w:type="dxa" w:w="2174"/>
          </w:tcPr>
          <w:p>
            <w:pPr>
              <w:spacing w:before="0" w:after="0"/>
            </w:pPr>
            <w:r>
              <w:rPr>
                <w:b/>
                <w:sz w:val="19"/>
              </w:rPr>
              <w:t>Decision architecture</w:t>
            </w:r>
          </w:p>
        </w:tc>
        <w:tc>
          <w:tcPr>
            <w:tcW w:type="dxa" w:w="5197"/>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356"/>
          </w:tcPr>
          <w:p>
            <w:pPr>
              <w:spacing w:before="0" w:after="0"/>
            </w:pPr>
            <w:r>
              <w:rPr>
                <w:sz w:val="19"/>
              </w:rPr>
              <w:t>—</w:t>
            </w:r>
          </w:p>
        </w:tc>
        <w:tc>
          <w:tcPr>
            <w:tcW w:type="dxa" w:w="911"/>
          </w:tcPr>
          <w:p>
            <w:pPr>
              <w:spacing w:before="0" w:after="0"/>
            </w:pPr>
            <w:r>
              <w:rPr>
                <w:sz w:val="19"/>
              </w:rPr>
              <w:t>Day 1</w:t>
            </w:r>
          </w:p>
        </w:tc>
      </w:tr>
      <w:tr>
        <w:trPr>
          <w:cantSplit/>
        </w:trPr>
        <w:tc>
          <w:tcPr>
            <w:tcW w:type="dxa" w:w="2174"/>
          </w:tcPr>
          <w:p>
            <w:pPr>
              <w:spacing w:before="0" w:after="0"/>
            </w:pPr>
            <w:r>
              <w:rPr>
                <w:b/>
                <w:sz w:val="19"/>
              </w:rPr>
              <w:t>EEG</w:t>
            </w:r>
          </w:p>
        </w:tc>
        <w:tc>
          <w:tcPr>
            <w:tcW w:type="dxa" w:w="5197"/>
          </w:tcPr>
          <w:p>
            <w:pPr>
              <w:spacing w:before="0" w:after="0"/>
            </w:pPr>
            <w:r>
              <w:rPr>
                <w:sz w:val="19"/>
              </w:rPr>
              <w:t>Measuring the brain's electrical activity through sensors on the scalp; cheap headbands do it roughly and are disturbed by movement and muscles.</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Evidence grade</w:t>
            </w:r>
          </w:p>
        </w:tc>
        <w:tc>
          <w:tcPr>
            <w:tcW w:type="dxa" w:w="5197"/>
          </w:tcPr>
          <w:p>
            <w:pPr>
              <w:spacing w:before="0" w:after="0"/>
            </w:pPr>
            <w:r>
              <w:rPr>
                <w:sz w:val="19"/>
              </w:rPr>
              <w:t>A label for how sure a finding is, from a first hint to a result that held up again, so that only robust findings drive decisions.</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Eye-tracking</w:t>
            </w:r>
          </w:p>
        </w:tc>
        <w:tc>
          <w:tcPr>
            <w:tcW w:type="dxa" w:w="5197"/>
          </w:tcPr>
          <w:p>
            <w:pPr>
              <w:spacing w:before="0" w:after="0"/>
            </w:pPr>
            <w:r>
              <w:rPr>
                <w:sz w:val="19"/>
              </w:rPr>
              <w:t>Measuring where a person looks, usually with infrared light and a camera, and recording it so it can be replayed and analysed.</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Fixation</w:t>
            </w:r>
          </w:p>
        </w:tc>
        <w:tc>
          <w:tcPr>
            <w:tcW w:type="dxa" w:w="5197"/>
          </w:tcPr>
          <w:p>
            <w:pPr>
              <w:spacing w:before="0" w:after="0"/>
            </w:pPr>
            <w:r>
              <w:rPr>
                <w:sz w:val="19"/>
              </w:rPr>
              <w:t>A short pause of the eye on one spot, usually a fraction of a second; most of what we take in, we take in during fixations.</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Governance</w:t>
            </w:r>
          </w:p>
        </w:tc>
        <w:tc>
          <w:tcPr>
            <w:tcW w:type="dxa" w:w="5197"/>
          </w:tcPr>
          <w:p>
            <w:pPr>
              <w:spacing w:before="0" w:after="0"/>
            </w:pPr>
            <w:r>
              <w:rPr>
                <w:sz w:val="19"/>
              </w:rPr>
              <w:t>The rules about who may decide what, who is answerable for it and how disagreements are settled.</w:t>
            </w:r>
          </w:p>
        </w:tc>
        <w:tc>
          <w:tcPr>
            <w:tcW w:type="dxa" w:w="1356"/>
          </w:tcPr>
          <w:p>
            <w:pPr>
              <w:spacing w:before="0" w:after="0"/>
            </w:pPr>
            <w:r>
              <w:rPr>
                <w:sz w:val="19"/>
              </w:rPr>
              <w:t>—</w:t>
            </w:r>
          </w:p>
        </w:tc>
        <w:tc>
          <w:tcPr>
            <w:tcW w:type="dxa" w:w="911"/>
          </w:tcPr>
          <w:p>
            <w:pPr>
              <w:spacing w:before="0" w:after="0"/>
            </w:pPr>
            <w:r>
              <w:rPr>
                <w:sz w:val="19"/>
              </w:rPr>
              <w:t>Day 1</w:t>
            </w:r>
          </w:p>
        </w:tc>
      </w:tr>
      <w:tr>
        <w:trPr>
          <w:cantSplit/>
        </w:trPr>
        <w:tc>
          <w:tcPr>
            <w:tcW w:type="dxa" w:w="2174"/>
          </w:tcPr>
          <w:p>
            <w:pPr>
              <w:spacing w:before="0" w:after="0"/>
            </w:pPr>
            <w:r>
              <w:rPr>
                <w:b/>
                <w:sz w:val="19"/>
              </w:rPr>
              <w:t>Heatmap</w:t>
            </w:r>
          </w:p>
        </w:tc>
        <w:tc>
          <w:tcPr>
            <w:tcW w:type="dxa" w:w="5197"/>
          </w:tcPr>
          <w:p>
            <w:pPr>
              <w:spacing w:before="0" w:after="0"/>
            </w:pPr>
            <w:r>
              <w:rPr>
                <w:sz w:val="19"/>
              </w:rPr>
              <w:t>A picture that colours a page by how long or how often people looked at each part, added up over people; it loses the order and the individual.</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Hypothesis</w:t>
            </w:r>
          </w:p>
        </w:tc>
        <w:tc>
          <w:tcPr>
            <w:tcW w:type="dxa" w:w="5197"/>
          </w:tcPr>
          <w:p>
            <w:pPr>
              <w:spacing w:before="0" w:after="0"/>
            </w:pPr>
            <w:r>
              <w:rPr>
                <w:sz w:val="19"/>
              </w:rPr>
              <w:t>An assumption you could check later. “This red banner could make users uneasy” is a hypothesis; “this banner is bad” is only an opinion.</w:t>
            </w:r>
          </w:p>
        </w:tc>
        <w:tc>
          <w:tcPr>
            <w:tcW w:type="dxa" w:w="1356"/>
          </w:tcPr>
          <w:p>
            <w:pPr>
              <w:spacing w:before="0" w:after="0"/>
            </w:pPr>
            <w:r>
              <w:rPr>
                <w:sz w:val="19"/>
              </w:rPr>
              <w:t>—</w:t>
            </w:r>
          </w:p>
        </w:tc>
        <w:tc>
          <w:tcPr>
            <w:tcW w:type="dxa" w:w="911"/>
          </w:tcPr>
          <w:p>
            <w:pPr>
              <w:spacing w:before="0" w:after="0"/>
            </w:pPr>
            <w:r>
              <w:rPr>
                <w:sz w:val="19"/>
              </w:rPr>
              <w:t>Day 1</w:t>
            </w:r>
          </w:p>
        </w:tc>
      </w:tr>
      <w:tr>
        <w:trPr>
          <w:cantSplit/>
        </w:trPr>
        <w:tc>
          <w:tcPr>
            <w:tcW w:type="dxa" w:w="2174"/>
          </w:tcPr>
          <w:p>
            <w:pPr>
              <w:spacing w:before="0" w:after="0"/>
            </w:pPr>
            <w:r>
              <w:rPr>
                <w:b/>
                <w:sz w:val="19"/>
              </w:rPr>
              <w:t>Information architecture</w:t>
            </w:r>
          </w:p>
        </w:tc>
        <w:tc>
          <w:tcPr>
            <w:tcW w:type="dxa" w:w="5197"/>
          </w:tcPr>
          <w:p>
            <w:pPr>
              <w:spacing w:before="0" w:after="0"/>
            </w:pPr>
            <w:r>
              <w:rPr>
                <w:sz w:val="19"/>
              </w:rPr>
              <w:t>How the content of a website or app is organised, grouped and named, and how people move through it. It is the structure behind the screens.</w:t>
            </w:r>
          </w:p>
        </w:tc>
        <w:tc>
          <w:tcPr>
            <w:tcW w:type="dxa" w:w="1356"/>
          </w:tcPr>
          <w:p>
            <w:pPr>
              <w:spacing w:before="0" w:after="0"/>
            </w:pPr>
            <w:r>
              <w:rPr>
                <w:sz w:val="19"/>
              </w:rPr>
              <w:t>—</w:t>
            </w:r>
          </w:p>
        </w:tc>
        <w:tc>
          <w:tcPr>
            <w:tcW w:type="dxa" w:w="911"/>
          </w:tcPr>
          <w:p>
            <w:pPr>
              <w:spacing w:before="0" w:after="0"/>
            </w:pPr>
            <w:r>
              <w:rPr>
                <w:sz w:val="19"/>
              </w:rPr>
              <w:t>Day 2</w:t>
            </w:r>
          </w:p>
        </w:tc>
      </w:tr>
      <w:tr>
        <w:trPr>
          <w:cantSplit/>
        </w:trPr>
        <w:tc>
          <w:tcPr>
            <w:tcW w:type="dxa" w:w="2174"/>
          </w:tcPr>
          <w:p>
            <w:pPr>
              <w:spacing w:before="0" w:after="0"/>
            </w:pPr>
            <w:r>
              <w:rPr>
                <w:b/>
                <w:sz w:val="19"/>
              </w:rPr>
              <w:t>Maturity</w:t>
            </w:r>
          </w:p>
        </w:tc>
        <w:tc>
          <w:tcPr>
            <w:tcW w:type="dxa" w:w="5197"/>
          </w:tcPr>
          <w:p>
            <w:pPr>
              <w:spacing w:before="0" w:after="0"/>
            </w:pPr>
            <w:r>
              <w:rPr>
                <w:sz w:val="19"/>
              </w:rPr>
              <w:t>How far a technology is from an idea to reliable use: does it work, in the real environment, for real users, at scale?</w:t>
            </w:r>
          </w:p>
        </w:tc>
        <w:tc>
          <w:tcPr>
            <w:tcW w:type="dxa" w:w="1356"/>
          </w:tcPr>
          <w:p>
            <w:pPr>
              <w:spacing w:before="0" w:after="0"/>
            </w:pPr>
            <w:r>
              <w:rPr>
                <w:sz w:val="19"/>
              </w:rPr>
              <w:t>—</w:t>
            </w:r>
          </w:p>
        </w:tc>
        <w:tc>
          <w:tcPr>
            <w:tcW w:type="dxa" w:w="911"/>
          </w:tcPr>
          <w:p>
            <w:pPr>
              <w:spacing w:before="0" w:after="0"/>
            </w:pPr>
            <w:r>
              <w:rPr>
                <w:sz w:val="19"/>
              </w:rPr>
              <w:t>Day 14</w:t>
            </w:r>
          </w:p>
        </w:tc>
      </w:tr>
      <w:tr>
        <w:trPr>
          <w:cantSplit/>
        </w:trPr>
        <w:tc>
          <w:tcPr>
            <w:tcW w:type="dxa" w:w="2174"/>
          </w:tcPr>
          <w:p>
            <w:pPr>
              <w:spacing w:before="0" w:after="0"/>
            </w:pPr>
            <w:r>
              <w:rPr>
                <w:b/>
                <w:sz w:val="19"/>
              </w:rPr>
              <w:t>Neuro-UX</w:t>
            </w:r>
          </w:p>
        </w:tc>
        <w:tc>
          <w:tcPr>
            <w:tcW w:type="dxa" w:w="5197"/>
          </w:tcPr>
          <w:p>
            <w:pPr>
              <w:spacing w:before="0" w:after="0"/>
            </w:pPr>
            <w:r>
              <w:rPr>
                <w:sz w:val="19"/>
              </w:rPr>
              <w:t>Designing an interface with knowledge of how the brain sees, attends, feels and decides, so that the design steers these processes on purpose and responsibly.</w:t>
            </w:r>
          </w:p>
        </w:tc>
        <w:tc>
          <w:tcPr>
            <w:tcW w:type="dxa" w:w="1356"/>
          </w:tcPr>
          <w:p>
            <w:pPr>
              <w:spacing w:before="0" w:after="0"/>
            </w:pPr>
            <w:r>
              <w:rPr>
                <w:sz w:val="19"/>
              </w:rPr>
              <w:t>—</w:t>
            </w:r>
          </w:p>
        </w:tc>
        <w:tc>
          <w:tcPr>
            <w:tcW w:type="dxa" w:w="911"/>
          </w:tcPr>
          <w:p>
            <w:pPr>
              <w:spacing w:before="0" w:after="0"/>
            </w:pPr>
            <w:r>
              <w:rPr>
                <w:sz w:val="19"/>
              </w:rPr>
              <w:t>Day 1</w:t>
            </w:r>
          </w:p>
        </w:tc>
      </w:tr>
      <w:tr>
        <w:trPr>
          <w:cantSplit/>
        </w:trPr>
        <w:tc>
          <w:tcPr>
            <w:tcW w:type="dxa" w:w="2174"/>
          </w:tcPr>
          <w:p>
            <w:pPr>
              <w:spacing w:before="0" w:after="0"/>
            </w:pPr>
            <w:r>
              <w:rPr>
                <w:b/>
                <w:sz w:val="19"/>
              </w:rPr>
              <w:t>Neurodata</w:t>
            </w:r>
          </w:p>
        </w:tc>
        <w:tc>
          <w:tcPr>
            <w:tcW w:type="dxa" w:w="5197"/>
          </w:tcPr>
          <w:p>
            <w:pPr>
              <w:spacing w:before="0" w:after="0"/>
            </w:pPr>
            <w:r>
              <w:rPr>
                <w:sz w:val="19"/>
              </w:rPr>
              <w:t>Information produced directly by the brain and nervous system; regulators treat it as high-risk personal data.</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Neurofeedback</w:t>
            </w:r>
          </w:p>
        </w:tc>
        <w:tc>
          <w:tcPr>
            <w:tcW w:type="dxa" w:w="5197"/>
          </w:tcPr>
          <w:p>
            <w:pPr>
              <w:spacing w:before="0" w:after="0"/>
            </w:pPr>
            <w:r>
              <w:rPr>
                <w:sz w:val="19"/>
              </w:rPr>
              <w:t>Showing people a signal of their own brain activity, usually from EEG, so they can learn to change it; used in therapy and research, with mixed evidence.</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Personalisation</w:t>
            </w:r>
          </w:p>
        </w:tc>
        <w:tc>
          <w:tcPr>
            <w:tcW w:type="dxa" w:w="5197"/>
          </w:tcPr>
          <w:p>
            <w:pPr>
              <w:spacing w:before="0" w:after="0"/>
            </w:pPr>
            <w:r>
              <w:rPr>
                <w:sz w:val="19"/>
              </w:rPr>
              <w:t>Changing what someone sees from what is known about them: their history, their preferences, their profile.</w:t>
            </w:r>
          </w:p>
        </w:tc>
        <w:tc>
          <w:tcPr>
            <w:tcW w:type="dxa" w:w="1356"/>
          </w:tcPr>
          <w:p>
            <w:pPr>
              <w:spacing w:before="0" w:after="0"/>
            </w:pPr>
            <w:r>
              <w:rPr>
                <w:sz w:val="19"/>
              </w:rPr>
              <w:t>—</w:t>
            </w:r>
          </w:p>
        </w:tc>
        <w:tc>
          <w:tcPr>
            <w:tcW w:type="dxa" w:w="911"/>
          </w:tcPr>
          <w:p>
            <w:pPr>
              <w:spacing w:before="0" w:after="0"/>
            </w:pPr>
            <w:r>
              <w:rPr>
                <w:sz w:val="19"/>
              </w:rPr>
              <w:t>Day 10</w:t>
            </w:r>
          </w:p>
        </w:tc>
      </w:tr>
      <w:tr>
        <w:trPr>
          <w:cantSplit/>
        </w:trPr>
        <w:tc>
          <w:tcPr>
            <w:tcW w:type="dxa" w:w="2174"/>
          </w:tcPr>
          <w:p>
            <w:pPr>
              <w:spacing w:before="0" w:after="0"/>
            </w:pPr>
            <w:r>
              <w:rPr>
                <w:b/>
                <w:sz w:val="19"/>
              </w:rPr>
              <w:t>Ranking (leaderboard)</w:t>
            </w:r>
          </w:p>
        </w:tc>
        <w:tc>
          <w:tcPr>
            <w:tcW w:type="dxa" w:w="5197"/>
          </w:tcPr>
          <w:p>
            <w:pPr>
              <w:spacing w:before="0" w:after="0"/>
            </w:pPr>
            <w:r>
              <w:rPr>
                <w:sz w:val="19"/>
              </w:rPr>
              <w:t>A list that orders people by points or results; it motivates those near the top and can shame those near the bottom.</w:t>
            </w:r>
          </w:p>
        </w:tc>
        <w:tc>
          <w:tcPr>
            <w:tcW w:type="dxa" w:w="1356"/>
          </w:tcPr>
          <w:p>
            <w:pPr>
              <w:spacing w:before="0" w:after="0"/>
            </w:pPr>
            <w:r>
              <w:rPr>
                <w:sz w:val="19"/>
              </w:rPr>
              <w:t>—</w:t>
            </w:r>
          </w:p>
        </w:tc>
        <w:tc>
          <w:tcPr>
            <w:tcW w:type="dxa" w:w="911"/>
          </w:tcPr>
          <w:p>
            <w:pPr>
              <w:spacing w:before="0" w:after="0"/>
            </w:pPr>
            <w:r>
              <w:rPr>
                <w:sz w:val="19"/>
              </w:rPr>
              <w:t>Day 9</w:t>
            </w:r>
          </w:p>
        </w:tc>
      </w:tr>
      <w:tr>
        <w:trPr>
          <w:cantSplit/>
        </w:trPr>
        <w:tc>
          <w:tcPr>
            <w:tcW w:type="dxa" w:w="2174"/>
          </w:tcPr>
          <w:p>
            <w:pPr>
              <w:spacing w:before="0" w:after="0"/>
            </w:pPr>
            <w:r>
              <w:rPr>
                <w:b/>
                <w:sz w:val="19"/>
              </w:rPr>
              <w:t>Retrospective think-aloud</w:t>
            </w:r>
          </w:p>
        </w:tc>
        <w:tc>
          <w:tcPr>
            <w:tcW w:type="dxa" w:w="5197"/>
          </w:tcPr>
          <w:p>
            <w:pPr>
              <w:spacing w:before="0" w:after="0"/>
            </w:pPr>
            <w:r>
              <w:rPr>
                <w:sz w:val="19"/>
              </w:rPr>
              <w:t>Showing people their own recording after a test and asking them to say what they were thinking; it adds the why that the gaze cannot give.</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Saccade</w:t>
            </w:r>
          </w:p>
        </w:tc>
        <w:tc>
          <w:tcPr>
            <w:tcW w:type="dxa" w:w="5197"/>
          </w:tcPr>
          <w:p>
            <w:pPr>
              <w:spacing w:before="0" w:after="0"/>
            </w:pPr>
            <w:r>
              <w:rPr>
                <w:sz w:val="19"/>
              </w:rPr>
              <w:t>The fast jump of the eye from one fixation to the next; during it, we hardly see anything.</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Scanpath</w:t>
            </w:r>
          </w:p>
        </w:tc>
        <w:tc>
          <w:tcPr>
            <w:tcW w:type="dxa" w:w="5197"/>
          </w:tcPr>
          <w:p>
            <w:pPr>
              <w:spacing w:before="0" w:after="0"/>
            </w:pPr>
            <w:r>
              <w:rPr>
                <w:sz w:val="19"/>
              </w:rPr>
              <w:t>The order of fixations and jumps across a page: where someone looked first, next and last.</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UX (user experience)</w:t>
            </w:r>
          </w:p>
        </w:tc>
        <w:tc>
          <w:tcPr>
            <w:tcW w:type="dxa" w:w="5197"/>
          </w:tcPr>
          <w:p>
            <w:pPr>
              <w:spacing w:before="0" w:after="0"/>
            </w:pPr>
            <w:r>
              <w:rPr>
                <w:sz w:val="19"/>
              </w:rPr>
              <w:t>Everything a person goes through when using a product: what they notice, understand, feel and do, from the first look to the last step. The screens are only one part of it.</w:t>
            </w:r>
          </w:p>
        </w:tc>
        <w:tc>
          <w:tcPr>
            <w:tcW w:type="dxa" w:w="1356"/>
          </w:tcPr>
          <w:p>
            <w:pPr>
              <w:spacing w:before="0" w:after="0"/>
            </w:pPr>
            <w:r>
              <w:rPr>
                <w:sz w:val="19"/>
              </w:rPr>
              <w:t>Finding the booking you want at once and feeling sure it went through is a good UX.</w:t>
            </w:r>
          </w:p>
        </w:tc>
        <w:tc>
          <w:tcPr>
            <w:tcW w:type="dxa" w:w="911"/>
          </w:tcPr>
          <w:p>
            <w:pPr>
              <w:spacing w:before="0" w:after="0"/>
            </w:pPr>
            <w:r>
              <w:rPr>
                <w:sz w:val="19"/>
              </w:rPr>
              <w:t>Day 1</w:t>
            </w:r>
          </w:p>
        </w:tc>
      </w:tr>
      <w:tr>
        <w:trPr>
          <w:cantSplit/>
        </w:trPr>
        <w:tc>
          <w:tcPr>
            <w:tcW w:type="dxa" w:w="2174"/>
          </w:tcPr>
          <w:p>
            <w:pPr>
              <w:spacing w:before="0" w:after="0"/>
            </w:pPr>
            <w:r>
              <w:rPr>
                <w:b/>
                <w:sz w:val="19"/>
              </w:rPr>
              <w:t>Validity</w:t>
            </w:r>
          </w:p>
        </w:tc>
        <w:tc>
          <w:tcPr>
            <w:tcW w:type="dxa" w:w="5197"/>
          </w:tcPr>
          <w:p>
            <w:pPr>
              <w:spacing w:before="0" w:after="0"/>
            </w:pPr>
            <w:r>
              <w:rPr>
                <w:sz w:val="19"/>
              </w:rPr>
              <w:t>Whether a measure really measures what it claims to, for example whether a “concentration score” shows concentration and not just movement.</w:t>
            </w:r>
          </w:p>
        </w:tc>
        <w:tc>
          <w:tcPr>
            <w:tcW w:type="dxa" w:w="1356"/>
          </w:tcPr>
          <w:p>
            <w:pPr>
              <w:spacing w:before="0" w:after="0"/>
            </w:pPr>
            <w:r>
              <w:rPr>
                <w:sz w:val="19"/>
              </w:rPr>
              <w:t>—</w:t>
            </w:r>
          </w:p>
        </w:tc>
        <w:tc>
          <w:tcPr>
            <w:tcW w:type="dxa" w:w="911"/>
          </w:tcPr>
          <w:p>
            <w:pPr>
              <w:spacing w:before="0" w:after="0"/>
            </w:pPr>
            <w:r>
              <w:rPr>
                <w:sz w:val="19"/>
              </w:rPr>
              <w:t>Day 15</w:t>
            </w:r>
          </w:p>
        </w:tc>
      </w:tr>
      <w:tr>
        <w:trPr>
          <w:cantSplit/>
        </w:trPr>
        <w:tc>
          <w:tcPr>
            <w:tcW w:type="dxa" w:w="2174"/>
          </w:tcPr>
          <w:p>
            <w:pPr>
              <w:spacing w:before="0" w:after="0"/>
            </w:pPr>
            <w:r>
              <w:rPr>
                <w:b/>
                <w:sz w:val="19"/>
              </w:rPr>
              <w:t>Visual hierarchy</w:t>
            </w:r>
          </w:p>
        </w:tc>
        <w:tc>
          <w:tcPr>
            <w:tcW w:type="dxa" w:w="5197"/>
          </w:tcPr>
          <w:p>
            <w:pPr>
              <w:spacing w:before="0" w:after="0"/>
            </w:pPr>
            <w:r>
              <w:rPr>
                <w:sz w:val="19"/>
              </w:rPr>
              <w:t>An order the eye can follow: the most important thing is clearly the strongest, the rest is quieter. Without it, everything competes equally.</w:t>
            </w:r>
          </w:p>
        </w:tc>
        <w:tc>
          <w:tcPr>
            <w:tcW w:type="dxa" w:w="1356"/>
          </w:tcPr>
          <w:p>
            <w:pPr>
              <w:spacing w:before="0" w:after="0"/>
            </w:pPr>
            <w:r>
              <w:rPr>
                <w:sz w:val="19"/>
              </w:rPr>
              <w:t>—</w:t>
            </w:r>
          </w:p>
        </w:tc>
        <w:tc>
          <w:tcPr>
            <w:tcW w:type="dxa" w:w="911"/>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14"/>
        <w:gridCol w:w="7124"/>
      </w:tblGrid>
      <w:tr>
        <w:trPr>
          <w:cantSplit/>
          <w:tblHeader/>
        </w:trPr>
        <w:tc>
          <w:tcPr>
            <w:tcW w:type="dxa" w:w="2514"/>
            <w:shd w:val="clear" w:color="auto" w:fill="E6ECF4"/>
          </w:tcPr>
          <w:p>
            <w:pPr>
              <w:spacing w:before="0" w:after="0"/>
            </w:pPr>
            <w:r>
              <w:rPr>
                <w:b/>
                <w:sz w:val="20"/>
              </w:rPr>
              <w:t>What</w:t>
            </w:r>
          </w:p>
        </w:tc>
        <w:tc>
          <w:tcPr>
            <w:tcW w:type="dxa" w:w="7124"/>
            <w:shd w:val="clear" w:color="auto" w:fill="E6ECF4"/>
          </w:tcPr>
          <w:p>
            <w:pPr>
              <w:spacing w:before="0" w:after="0"/>
            </w:pPr>
            <w:r>
              <w:rPr>
                <w:b/>
                <w:sz w:val="20"/>
              </w:rPr>
              <w:t>Address</w:t>
            </w:r>
          </w:p>
        </w:tc>
      </w:tr>
      <w:tr>
        <w:trPr>
          <w:cantSplit/>
        </w:trPr>
        <w:tc>
          <w:tcPr>
            <w:tcW w:type="dxa" w:w="2514"/>
          </w:tcPr>
          <w:p>
            <w:pPr>
              <w:spacing w:before="0" w:after="0"/>
            </w:pPr>
            <w:r>
              <w:rPr>
                <w:sz w:val="20"/>
              </w:rPr>
              <w:t>Neuro-UX Lab (course website)</w:t>
            </w:r>
          </w:p>
        </w:tc>
        <w:tc>
          <w:tcPr>
            <w:tcW w:type="dxa" w:w="7124"/>
          </w:tcPr>
          <w:p>
            <w:pPr>
              <w:spacing w:before="0" w:after="0"/>
            </w:pPr>
            <w:r>
              <w:rPr>
                <w:sz w:val="20"/>
              </w:rPr>
              <w:t>https://aion-ux-lab.vercel.app/</w:t>
            </w:r>
          </w:p>
        </w:tc>
      </w:tr>
      <w:tr>
        <w:trPr>
          <w:cantSplit/>
        </w:trPr>
        <w:tc>
          <w:tcPr>
            <w:tcW w:type="dxa" w:w="2514"/>
          </w:tcPr>
          <w:p>
            <w:pPr>
              <w:spacing w:before="0" w:after="0"/>
            </w:pPr>
            <w:r>
              <w:rPr>
                <w:sz w:val="20"/>
              </w:rPr>
              <w:t>Day 15</w:t>
            </w:r>
          </w:p>
        </w:tc>
        <w:tc>
          <w:tcPr>
            <w:tcW w:type="dxa" w:w="7124"/>
          </w:tcPr>
          <w:p>
            <w:pPr>
              <w:spacing w:before="0" w:after="0"/>
            </w:pPr>
            <w:r>
              <w:rPr>
                <w:sz w:val="20"/>
              </w:rPr>
              <w:t>https://aion-ux-lab.vercel.app/day/15/</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15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Eye-tracking and gaze behaviour, neurofeedback and brain-computer interfaces</dc:title>
  <dc:subject>DAY 15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