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AION · UX DEVELOPER · PSYCHOLOGICAL UX DESIGN AND NEURO-UX</w:t>
      </w:r>
    </w:p>
    <w:p>
      <w:pPr>
        <w:spacing w:before="0" w:after="40"/>
      </w:pPr>
      <w:r>
        <w:rPr>
          <w:b/>
          <w:color w:val="1750A8"/>
          <w:sz w:val="20"/>
        </w:rPr>
        <w:t>DAY 2 · MATERI A AND MATERI B · ROUTES 1 AND 2 · LEVELS 1 TO 3</w:t>
      </w:r>
    </w:p>
    <w:p>
      <w:pPr>
        <w:spacing w:before="0" w:after="80" w:line="240" w:lineRule="auto"/>
      </w:pPr>
      <w:r>
        <w:rPr>
          <w:b/>
          <w:sz w:val="52"/>
        </w:rPr>
        <w:t>Visual perception and user-centred design</w:t>
      </w:r>
    </w:p>
    <w:p>
      <w:pPr>
        <w:spacing w:before="0" w:after="200"/>
      </w:pPr>
      <w:r>
        <w:rPr>
          <w:color w:val="556274"/>
          <w:sz w:val="26"/>
        </w:rPr>
        <w:t>Study material with real research, worked examples and the rules you use in the tasks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built the pictures and working examples of the lab. The content was then read, corrected and approved by the reviewer named below, who is responsible for its accuracy. Every picture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KI-gestützt erstellt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2 · Module 2 (day 1 of 2): Visual perception and user-centred design</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Neuro-UX Lab (website)</w:t>
            </w:r>
          </w:p>
        </w:tc>
        <w:tc>
          <w:tcPr>
            <w:tcW w:type="dxa" w:w="7338"/>
          </w:tcPr>
          <w:p>
            <w:pPr>
              <w:spacing w:before="0" w:after="0"/>
            </w:pPr>
            <w:r>
              <w:rPr>
                <w:sz w:val="20"/>
              </w:rPr>
              <w:t>https://aion-ux-lab.vercel.app/day/2/</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a made-up company in each card. The task case is CampusNow (see the Task document).</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1.0 · release date 29.10.2026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Neuro-UX Lab, the course website, as the place to practise and learn.</w:t>
            </w:r>
            <w:r>
              <w:rPr/>
              <w:t xml:space="preserve"> Its address is at the end of this document.</w:t>
            </w:r>
          </w:p>
          <w:p>
            <w:pPr>
              <w:spacing w:before="0" w:after="100"/>
            </w:pPr>
            <w:r>
              <w:rPr/>
              <w:t>Today is about reading an interface the way its users do. You learn how people scan a screen, pick out what looks relevant and decide what to look at first, what guides the eye (contrast and colour, grouping, structure), what information density does to orientation and load, and why a design has to start from the user's logic and not from the provider's. Then you use it on three products and decide what to change first. This document holds everything you need to study Day 2 without the website. Every card says what the idea is in plain words, shows it in a picture, gives the details and ends with the rules you use in the tasks.</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A1 · Seeing an interface, and designing from the user's side: user-centred against provider-centred design · 12 min · Core</w:t>
            </w:r>
          </w:p>
          <w:p>
            <w:pPr>
              <w:spacing w:before="0" w:after="20"/>
              <w:ind w:left="170"/>
            </w:pPr>
            <w:r>
              <w:rPr>
                <w:sz w:val="20"/>
              </w:rPr>
              <w:t>A2 · How people scan, select and prioritise: perception as the basis of UI decisions · 12 min · Core</w:t>
            </w:r>
          </w:p>
          <w:p>
            <w:pPr>
              <w:spacing w:before="0" w:after="20"/>
              <w:ind w:left="170"/>
            </w:pPr>
            <w:r>
              <w:rPr>
                <w:sz w:val="20"/>
              </w:rPr>
              <w:t>A3 · What guides the eye: contrast and colour, grouping and structure · 13 min · Core</w:t>
            </w:r>
          </w:p>
          <w:p>
            <w:pPr>
              <w:spacing w:before="0" w:after="20"/>
              <w:ind w:left="170"/>
            </w:pPr>
            <w:r>
              <w:rPr>
                <w:sz w:val="20"/>
              </w:rPr>
              <w:t>A4 · How much at once: information density, orientation, load and why order looks like quality · 12 min · Core</w:t>
            </w:r>
          </w:p>
          <w:p>
            <w:pPr>
              <w:spacing w:before="0" w:after="20"/>
              <w:ind w:left="170"/>
            </w:pPr>
            <w:r>
              <w:rPr>
                <w:sz w:val="20"/>
              </w:rPr>
              <w:t>A5 · Recognition instead of search, clarity instead of overload, and weighing a measure · 11 min · Core</w:t>
            </w:r>
          </w:p>
          <w:p>
            <w:pPr>
              <w:spacing w:before="0" w:after="20"/>
              <w:ind w:left="170"/>
            </w:pPr>
            <w:r>
              <w:rPr>
                <w:sz w:val="20"/>
              </w:rPr>
              <w:t>B1 · Inside logic against user logic: why good UI decisions come from the user's side · 20 min · Core</w:t>
            </w:r>
          </w:p>
          <w:p>
            <w:pPr>
              <w:spacing w:before="0" w:after="20"/>
              <w:ind w:left="170"/>
            </w:pPr>
            <w:r>
              <w:rPr>
                <w:sz w:val="20"/>
              </w:rPr>
              <w:t>B2 · Conflicts of goals: much information against simplicity, stakeholders against users · 20 min · Core</w:t>
            </w:r>
          </w:p>
          <w:p>
            <w:pPr>
              <w:spacing w:before="0" w:after="20"/>
              <w:ind w:left="170"/>
            </w:pPr>
            <w:r>
              <w:rPr>
                <w:sz w:val="20"/>
              </w:rPr>
              <w:t>B3 · User-centredness as the basis of accountable decisions: who owns the structure, and deciding with partial data · 20 min · Core</w:t>
            </w:r>
          </w:p>
        </w:tc>
      </w:tr>
    </w:tbl>
    <w:p>
      <w:pPr>
        <w:pStyle w:val="Heading1"/>
        <w:pBdr>
          <w:bottom w:val="single" w:sz="8" w:space="2" w:color="17212E"/>
        </w:pBdr>
      </w:pPr>
      <w:r>
        <w:rPr/>
        <w:t>Day at a glance</w:t>
      </w:r>
    </w:p>
    <w:p>
      <w:pPr>
        <w:spacing w:before="0" w:after="100"/>
      </w:pPr>
      <w:r>
        <w:rPr/>
        <w:t xml:space="preserve">Day 2 has ten teaching units (UE). This document is the study material; it is used in UE1 (Materi A) and UE8 (Materi B). The day is built from three documents and the Neuro-UX Lab: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9"/>
        <w:gridCol w:w="599"/>
        <w:gridCol w:w="1830"/>
        <w:gridCol w:w="3271"/>
        <w:gridCol w:w="1517"/>
        <w:gridCol w:w="1822"/>
      </w:tblGrid>
      <w:tr>
        <w:trPr>
          <w:cantSplit/>
          <w:tblHeader/>
        </w:trPr>
        <w:tc>
          <w:tcPr>
            <w:tcW w:type="dxa" w:w="599"/>
            <w:shd w:val="clear" w:color="auto" w:fill="E6ECF4"/>
          </w:tcPr>
          <w:p>
            <w:pPr>
              <w:spacing w:before="0" w:after="0"/>
            </w:pPr>
            <w:r>
              <w:rPr>
                <w:b/>
                <w:sz w:val="19"/>
              </w:rPr>
              <w:t>UE</w:t>
            </w:r>
          </w:p>
        </w:tc>
        <w:tc>
          <w:tcPr>
            <w:tcW w:type="dxa" w:w="599"/>
            <w:shd w:val="clear" w:color="auto" w:fill="E6ECF4"/>
          </w:tcPr>
          <w:p>
            <w:pPr>
              <w:spacing w:before="0" w:after="0"/>
            </w:pPr>
            <w:r>
              <w:rPr>
                <w:b/>
                <w:sz w:val="19"/>
              </w:rPr>
              <w:t>Min</w:t>
            </w:r>
          </w:p>
        </w:tc>
        <w:tc>
          <w:tcPr>
            <w:tcW w:type="dxa" w:w="1830"/>
            <w:shd w:val="clear" w:color="auto" w:fill="E6ECF4"/>
          </w:tcPr>
          <w:p>
            <w:pPr>
              <w:spacing w:before="0" w:after="0"/>
            </w:pPr>
            <w:r>
              <w:rPr>
                <w:b/>
                <w:sz w:val="19"/>
              </w:rPr>
              <w:t>Plan item</w:t>
            </w:r>
          </w:p>
        </w:tc>
        <w:tc>
          <w:tcPr>
            <w:tcW w:type="dxa" w:w="3271"/>
            <w:shd w:val="clear" w:color="auto" w:fill="E6ECF4"/>
          </w:tcPr>
          <w:p>
            <w:pPr>
              <w:spacing w:before="0" w:after="0"/>
            </w:pPr>
            <w:r>
              <w:rPr>
                <w:b/>
                <w:sz w:val="19"/>
              </w:rPr>
              <w:t>What happens</w:t>
            </w:r>
          </w:p>
        </w:tc>
        <w:tc>
          <w:tcPr>
            <w:tcW w:type="dxa" w:w="1517"/>
            <w:shd w:val="clear" w:color="auto" w:fill="E6ECF4"/>
          </w:tcPr>
          <w:p>
            <w:pPr>
              <w:spacing w:before="0" w:after="0"/>
            </w:pPr>
            <w:r>
              <w:rPr>
                <w:b/>
                <w:sz w:val="19"/>
              </w:rPr>
              <w:t>Material</w:t>
            </w:r>
          </w:p>
        </w:tc>
        <w:tc>
          <w:tcPr>
            <w:tcW w:type="dxa" w:w="1822"/>
            <w:shd w:val="clear" w:color="auto" w:fill="E6ECF4"/>
          </w:tcPr>
          <w:p>
            <w:pPr>
              <w:spacing w:before="0" w:after="0"/>
            </w:pPr>
            <w:r>
              <w:rPr>
                <w:b/>
                <w:sz w:val="19"/>
              </w:rPr>
              <w:t>Format</w:t>
            </w:r>
          </w:p>
        </w:tc>
      </w:tr>
      <w:tr>
        <w:trPr>
          <w:cantSplit/>
        </w:trPr>
        <w:tc>
          <w:tcPr>
            <w:tcW w:type="dxa" w:w="599"/>
          </w:tcPr>
          <w:p>
            <w:pPr>
              <w:spacing w:before="0" w:after="0"/>
            </w:pPr>
            <w:r>
              <w:rPr>
                <w:b/>
                <w:sz w:val="19"/>
              </w:rPr>
              <w:t>1</w:t>
            </w:r>
          </w:p>
        </w:tc>
        <w:tc>
          <w:tcPr>
            <w:tcW w:type="dxa" w:w="599"/>
          </w:tcPr>
          <w:p>
            <w:pPr>
              <w:spacing w:before="0" w:after="0"/>
            </w:pPr>
            <w:r>
              <w:rPr>
                <w:sz w:val="19"/>
              </w:rPr>
              <w:t>45</w:t>
            </w:r>
          </w:p>
        </w:tc>
        <w:tc>
          <w:tcPr>
            <w:tcW w:type="dxa" w:w="1830"/>
          </w:tcPr>
          <w:p>
            <w:pPr>
              <w:spacing w:before="0" w:after="0"/>
            </w:pPr>
            <w:r>
              <w:rPr>
                <w:sz w:val="19"/>
              </w:rPr>
              <w:t>Knowledge transfer · Level 1</w:t>
            </w:r>
          </w:p>
        </w:tc>
        <w:tc>
          <w:tcPr>
            <w:tcW w:type="dxa" w:w="3271"/>
          </w:tcPr>
          <w:p>
            <w:pPr>
              <w:spacing w:before="0" w:after="0"/>
            </w:pPr>
            <w:r>
              <w:rPr>
                <w:sz w:val="19"/>
              </w:rPr>
              <w:t>The trainer presents the cards of Materi A (A1, A2, A3, A4, A5, about 60 min of cards) in the Neuro-UX Lab; participants follow in the handout.</w:t>
            </w:r>
          </w:p>
        </w:tc>
        <w:tc>
          <w:tcPr>
            <w:tcW w:type="dxa" w:w="1517"/>
          </w:tcPr>
          <w:p>
            <w:pPr>
              <w:spacing w:before="0" w:after="0"/>
            </w:pPr>
            <w:r>
              <w:rPr>
                <w:sz w:val="19"/>
              </w:rPr>
              <w:t>Materi A (Route 1)</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2</w:t>
            </w:r>
          </w:p>
        </w:tc>
        <w:tc>
          <w:tcPr>
            <w:tcW w:type="dxa" w:w="599"/>
          </w:tcPr>
          <w:p>
            <w:pPr>
              <w:spacing w:before="0" w:after="0"/>
            </w:pPr>
            <w:r>
              <w:rPr>
                <w:sz w:val="19"/>
              </w:rPr>
              <w:t>45</w:t>
            </w:r>
          </w:p>
        </w:tc>
        <w:tc>
          <w:tcPr>
            <w:tcW w:type="dxa" w:w="1830"/>
          </w:tcPr>
          <w:p>
            <w:pPr>
              <w:spacing w:before="0" w:after="0"/>
            </w:pPr>
            <w:r>
              <w:rPr>
                <w:sz w:val="19"/>
              </w:rPr>
              <w:t>Level 1 · Task 1</w:t>
            </w:r>
          </w:p>
        </w:tc>
        <w:tc>
          <w:tcPr>
            <w:tcW w:type="dxa" w:w="3271"/>
          </w:tcPr>
          <w:p>
            <w:pPr>
              <w:spacing w:before="0" w:after="0"/>
            </w:pPr>
            <w:r>
              <w:rPr>
                <w:sz w:val="19"/>
              </w:rPr>
              <w:t>Individual work on Block 1.1 (Core, about 10 min): the first product of the day is read and its effect described. Pairs then compare their results and the trainer collects open questions.</w:t>
            </w:r>
          </w:p>
        </w:tc>
        <w:tc>
          <w:tcPr>
            <w:tcW w:type="dxa" w:w="1517"/>
          </w:tcPr>
          <w:p>
            <w:pPr>
              <w:spacing w:before="0" w:after="0"/>
            </w:pPr>
            <w:r>
              <w:rPr>
                <w:sz w:val="19"/>
              </w:rPr>
              <w:t>Task 1 · Part 1 · Block 1.1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3</w:t>
            </w:r>
          </w:p>
        </w:tc>
        <w:tc>
          <w:tcPr>
            <w:tcW w:type="dxa" w:w="599"/>
          </w:tcPr>
          <w:p>
            <w:pPr>
              <w:spacing w:before="0" w:after="0"/>
            </w:pPr>
            <w:r>
              <w:rPr>
                <w:sz w:val="19"/>
              </w:rPr>
              <w:t>45</w:t>
            </w:r>
          </w:p>
        </w:tc>
        <w:tc>
          <w:tcPr>
            <w:tcW w:type="dxa" w:w="1830"/>
          </w:tcPr>
          <w:p>
            <w:pPr>
              <w:spacing w:before="0" w:after="0"/>
            </w:pPr>
            <w:r>
              <w:rPr>
                <w:sz w:val="19"/>
              </w:rPr>
              <w:t>Level 1 · Task 2</w:t>
            </w:r>
          </w:p>
        </w:tc>
        <w:tc>
          <w:tcPr>
            <w:tcW w:type="dxa" w:w="3271"/>
          </w:tcPr>
          <w:p>
            <w:pPr>
              <w:spacing w:before="0" w:after="0"/>
            </w:pPr>
            <w:r>
              <w:rPr>
                <w:sz w:val="19"/>
              </w:rPr>
              <w:t>Three options are rated on the same criteria and one is chosen under the stated conditions: Block 1.2 (Core, about 8 min).</w:t>
            </w:r>
          </w:p>
        </w:tc>
        <w:tc>
          <w:tcPr>
            <w:tcW w:type="dxa" w:w="1517"/>
          </w:tcPr>
          <w:p>
            <w:pPr>
              <w:spacing w:before="0" w:after="0"/>
            </w:pPr>
            <w:r>
              <w:rPr>
                <w:sz w:val="19"/>
              </w:rPr>
              <w:t>Task 1 · Part 1 · Block 1.2</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4</w:t>
            </w:r>
          </w:p>
        </w:tc>
        <w:tc>
          <w:tcPr>
            <w:tcW w:type="dxa" w:w="599"/>
          </w:tcPr>
          <w:p>
            <w:pPr>
              <w:spacing w:before="0" w:after="0"/>
            </w:pPr>
            <w:r>
              <w:rPr>
                <w:sz w:val="19"/>
              </w:rPr>
              <w:t>45</w:t>
            </w:r>
          </w:p>
        </w:tc>
        <w:tc>
          <w:tcPr>
            <w:tcW w:type="dxa" w:w="1830"/>
          </w:tcPr>
          <w:p>
            <w:pPr>
              <w:spacing w:before="0" w:after="0"/>
            </w:pPr>
            <w:r>
              <w:rPr>
                <w:sz w:val="19"/>
              </w:rPr>
              <w:t>Coaching · transition from Level 1 to Level 2</w:t>
            </w:r>
          </w:p>
        </w:tc>
        <w:tc>
          <w:tcPr>
            <w:tcW w:type="dxa" w:w="3271"/>
          </w:tcPr>
          <w:p>
            <w:pPr>
              <w:spacing w:before="0" w:after="0"/>
            </w:pPr>
            <w:r>
              <w:rPr>
                <w:sz w:val="19"/>
              </w:rPr>
              <w:t>Trainer-led. A short talk on the day's coaching focus, then the reflection questions in pairs. The bridge: from describing an effect to a decision you answer for. There is no worksheet block in this unit.</w:t>
            </w:r>
          </w:p>
        </w:tc>
        <w:tc>
          <w:tcPr>
            <w:tcW w:type="dxa" w:w="1517"/>
          </w:tcPr>
          <w:p>
            <w:pPr>
              <w:spacing w:before="0" w:after="0"/>
            </w:pPr>
            <w:r>
              <w:rPr>
                <w:sz w:val="19"/>
              </w:rPr>
              <w:t>Trainer document, section Coaching</w:t>
            </w:r>
          </w:p>
        </w:tc>
        <w:tc>
          <w:tcPr>
            <w:tcW w:type="dxa" w:w="1822"/>
          </w:tcPr>
          <w:p>
            <w:pPr>
              <w:spacing w:before="0" w:after="0"/>
            </w:pPr>
            <w:r>
              <w:rPr>
                <w:sz w:val="19"/>
              </w:rPr>
              <w:t>Trainer only</w:t>
            </w:r>
          </w:p>
        </w:tc>
      </w:tr>
      <w:tr>
        <w:trPr>
          <w:cantSplit/>
        </w:trPr>
        <w:tc>
          <w:tcPr>
            <w:tcW w:type="dxa" w:w="599"/>
          </w:tcPr>
          <w:p>
            <w:pPr>
              <w:spacing w:before="0" w:after="0"/>
            </w:pPr>
            <w:r>
              <w:rPr>
                <w:b/>
                <w:sz w:val="19"/>
              </w:rPr>
              <w:t>5–6</w:t>
            </w:r>
          </w:p>
        </w:tc>
        <w:tc>
          <w:tcPr>
            <w:tcW w:type="dxa" w:w="599"/>
          </w:tcPr>
          <w:p>
            <w:pPr>
              <w:spacing w:before="0" w:after="0"/>
            </w:pPr>
            <w:r>
              <w:rPr>
                <w:sz w:val="19"/>
              </w:rPr>
              <w:t>90</w:t>
            </w:r>
          </w:p>
        </w:tc>
        <w:tc>
          <w:tcPr>
            <w:tcW w:type="dxa" w:w="1830"/>
          </w:tcPr>
          <w:p>
            <w:pPr>
              <w:spacing w:before="0" w:after="0"/>
            </w:pPr>
            <w:r>
              <w:rPr>
                <w:sz w:val="19"/>
              </w:rPr>
              <w:t>Level 2 · Case study CampusNow (</w:t>
            </w:r>
            <w:r>
              <w:rPr>
                <w:b/>
                <w:sz w:val="19"/>
              </w:rPr>
              <w:t>2 UE</w:t>
            </w:r>
            <w:r>
              <w:rPr>
                <w:sz w:val="19"/>
              </w:rPr>
              <w:t>) incl. model solution</w:t>
            </w:r>
          </w:p>
        </w:tc>
        <w:tc>
          <w:tcPr>
            <w:tcW w:type="dxa" w:w="3271"/>
          </w:tcPr>
          <w:p>
            <w:pPr>
              <w:spacing w:before="0" w:after="0"/>
            </w:pPr>
            <w:r>
              <w:rPr>
                <w:sz w:val="19"/>
              </w:rPr>
              <w:t>UE5: the trainer presents the case; participants work on Block 2.1 (Core, about 15 min). UE6: groups compare their results and defend them; the trainer closes with the model solution.</w:t>
            </w:r>
          </w:p>
        </w:tc>
        <w:tc>
          <w:tcPr>
            <w:tcW w:type="dxa" w:w="1517"/>
          </w:tcPr>
          <w:p>
            <w:pPr>
              <w:spacing w:before="0" w:after="0"/>
            </w:pPr>
            <w:r>
              <w:rPr>
                <w:sz w:val="19"/>
              </w:rPr>
              <w:t>Task 1 · Part 2 · Block 2.1</w:t>
            </w:r>
            <w:r>
              <w:br/>
            </w:r>
            <w:r>
              <w:rPr>
                <w:sz w:val="19"/>
              </w:rPr>
              <w:t>Trainer document, section Case study</w:t>
            </w:r>
          </w:p>
        </w:tc>
        <w:tc>
          <w:tcPr>
            <w:tcW w:type="dxa" w:w="1822"/>
          </w:tcPr>
          <w:p>
            <w:pPr>
              <w:spacing w:before="0" w:after="0"/>
            </w:pPr>
            <w:r>
              <w:rPr>
                <w:sz w:val="19"/>
              </w:rPr>
              <w:t>Handout; model solution shown after the work</w:t>
            </w:r>
          </w:p>
        </w:tc>
      </w:tr>
      <w:tr>
        <w:trPr>
          <w:cantSplit/>
        </w:trPr>
        <w:tc>
          <w:tcPr>
            <w:tcW w:type="dxa" w:w="599"/>
          </w:tcPr>
          <w:p>
            <w:pPr>
              <w:spacing w:before="0" w:after="0"/>
            </w:pPr>
            <w:r>
              <w:rPr>
                <w:b/>
                <w:sz w:val="19"/>
              </w:rPr>
              <w:t>7</w:t>
            </w:r>
          </w:p>
        </w:tc>
        <w:tc>
          <w:tcPr>
            <w:tcW w:type="dxa" w:w="599"/>
          </w:tcPr>
          <w:p>
            <w:pPr>
              <w:spacing w:before="0" w:after="0"/>
            </w:pPr>
            <w:r>
              <w:rPr>
                <w:sz w:val="19"/>
              </w:rPr>
              <w:t>45</w:t>
            </w:r>
          </w:p>
        </w:tc>
        <w:tc>
          <w:tcPr>
            <w:tcW w:type="dxa" w:w="1830"/>
          </w:tcPr>
          <w:p>
            <w:pPr>
              <w:spacing w:before="0" w:after="0"/>
            </w:pPr>
            <w:r>
              <w:rPr>
                <w:sz w:val="19"/>
              </w:rPr>
              <w:t>Level 2 + 3 · Feedback round with a management perspective</w:t>
            </w:r>
          </w:p>
        </w:tc>
        <w:tc>
          <w:tcPr>
            <w:tcW w:type="dxa" w:w="3271"/>
          </w:tcPr>
          <w:p>
            <w:pPr>
              <w:spacing w:before="0" w:after="0"/>
            </w:pPr>
            <w:r>
              <w:rPr>
                <w:sz w:val="19"/>
              </w:rPr>
              <w:t>Groups present their reasoning, not only their result. The trainer asks the day's Level 3 input questions and leads the discussion.</w:t>
            </w:r>
          </w:p>
        </w:tc>
        <w:tc>
          <w:tcPr>
            <w:tcW w:type="dxa" w:w="1517"/>
          </w:tcPr>
          <w:p>
            <w:pPr>
              <w:spacing w:before="0" w:after="0"/>
            </w:pPr>
            <w:r>
              <w:rPr>
                <w:sz w:val="19"/>
              </w:rPr>
              <w:t>Trainer document, section Feedback round</w:t>
            </w:r>
          </w:p>
        </w:tc>
        <w:tc>
          <w:tcPr>
            <w:tcW w:type="dxa" w:w="1822"/>
          </w:tcPr>
          <w:p>
            <w:pPr>
              <w:spacing w:before="0" w:after="0"/>
            </w:pPr>
            <w:r>
              <w:rPr>
                <w:sz w:val="19"/>
              </w:rPr>
              <w:t>Presentation by the groups; Trainer only</w:t>
            </w:r>
          </w:p>
        </w:tc>
      </w:tr>
      <w:tr>
        <w:trPr>
          <w:cantSplit/>
        </w:trPr>
        <w:tc>
          <w:tcPr>
            <w:tcW w:type="dxa" w:w="599"/>
          </w:tcPr>
          <w:p>
            <w:pPr>
              <w:spacing w:before="0" w:after="0"/>
            </w:pPr>
            <w:r>
              <w:rPr>
                <w:b/>
                <w:sz w:val="19"/>
              </w:rPr>
              <w:t>8</w:t>
            </w:r>
          </w:p>
        </w:tc>
        <w:tc>
          <w:tcPr>
            <w:tcW w:type="dxa" w:w="599"/>
          </w:tcPr>
          <w:p>
            <w:pPr>
              <w:spacing w:before="0" w:after="0"/>
            </w:pPr>
            <w:r>
              <w:rPr>
                <w:sz w:val="19"/>
              </w:rPr>
              <w:t>45</w:t>
            </w:r>
          </w:p>
        </w:tc>
        <w:tc>
          <w:tcPr>
            <w:tcW w:type="dxa" w:w="1830"/>
          </w:tcPr>
          <w:p>
            <w:pPr>
              <w:spacing w:before="0" w:after="0"/>
            </w:pPr>
            <w:r>
              <w:rPr>
                <w:sz w:val="19"/>
              </w:rPr>
              <w:t>Level 3 · Transfer project, Chief Experience Officer (</w:t>
            </w:r>
            <w:r>
              <w:rPr>
                <w:b/>
                <w:sz w:val="19"/>
              </w:rPr>
              <w:t>3 UE</w:t>
            </w:r>
            <w:r>
              <w:rPr>
                <w:sz w:val="19"/>
              </w:rPr>
              <w:t>: UE8–10)</w:t>
            </w:r>
          </w:p>
        </w:tc>
        <w:tc>
          <w:tcPr>
            <w:tcW w:type="dxa" w:w="3271"/>
          </w:tcPr>
          <w:p>
            <w:pPr>
              <w:spacing w:before="0" w:after="0"/>
            </w:pPr>
            <w:r>
              <w:rPr>
                <w:sz w:val="19"/>
              </w:rPr>
              <w:t>The trainer presents Materi B (B1, B2, B3; use the "In plain words" and "How to decide" boxes, the rest is handout) and sets the role and the situation.</w:t>
            </w:r>
          </w:p>
        </w:tc>
        <w:tc>
          <w:tcPr>
            <w:tcW w:type="dxa" w:w="1517"/>
          </w:tcPr>
          <w:p>
            <w:pPr>
              <w:spacing w:before="0" w:after="0"/>
            </w:pPr>
            <w:r>
              <w:rPr>
                <w:sz w:val="19"/>
              </w:rPr>
              <w:t>Materi B (Route 2)</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9</w:t>
            </w:r>
          </w:p>
        </w:tc>
        <w:tc>
          <w:tcPr>
            <w:tcW w:type="dxa" w:w="599"/>
          </w:tcPr>
          <w:p>
            <w:pPr>
              <w:spacing w:before="0" w:after="0"/>
            </w:pPr>
            <w:r>
              <w:rPr>
                <w:sz w:val="19"/>
              </w:rPr>
              <w:t>45</w:t>
            </w:r>
          </w:p>
        </w:tc>
        <w:tc>
          <w:tcPr>
            <w:tcW w:type="dxa" w:w="1830"/>
          </w:tcPr>
          <w:p>
            <w:pPr>
              <w:spacing w:before="0" w:after="0"/>
            </w:pPr>
            <w:r>
              <w:rPr>
                <w:sz w:val="19"/>
              </w:rPr>
              <w:t>Level 3 · Transfer project</w:t>
            </w:r>
          </w:p>
        </w:tc>
        <w:tc>
          <w:tcPr>
            <w:tcW w:type="dxa" w:w="3271"/>
          </w:tcPr>
          <w:p>
            <w:pPr>
              <w:spacing w:before="0" w:after="0"/>
            </w:pPr>
            <w:r>
              <w:rPr>
                <w:sz w:val="19"/>
              </w:rPr>
              <w:t>Individual work or in pairs on Block 3.1 (Core, about 20 min): the strategy memo.</w:t>
            </w:r>
          </w:p>
        </w:tc>
        <w:tc>
          <w:tcPr>
            <w:tcW w:type="dxa" w:w="1517"/>
          </w:tcPr>
          <w:p>
            <w:pPr>
              <w:spacing w:before="0" w:after="0"/>
            </w:pPr>
            <w:r>
              <w:rPr>
                <w:sz w:val="19"/>
              </w:rPr>
              <w:t>Task 2 · Block 3.1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10</w:t>
            </w:r>
          </w:p>
        </w:tc>
        <w:tc>
          <w:tcPr>
            <w:tcW w:type="dxa" w:w="599"/>
          </w:tcPr>
          <w:p>
            <w:pPr>
              <w:spacing w:before="0" w:after="0"/>
            </w:pPr>
            <w:r>
              <w:rPr>
                <w:sz w:val="19"/>
              </w:rPr>
              <w:t>45</w:t>
            </w:r>
          </w:p>
        </w:tc>
        <w:tc>
          <w:tcPr>
            <w:tcW w:type="dxa" w:w="1830"/>
          </w:tcPr>
          <w:p>
            <w:pPr>
              <w:spacing w:before="0" w:after="0"/>
            </w:pPr>
            <w:r>
              <w:rPr>
                <w:sz w:val="19"/>
              </w:rPr>
              <w:t>Level 3 · Transfer project</w:t>
            </w:r>
          </w:p>
        </w:tc>
        <w:tc>
          <w:tcPr>
            <w:tcW w:type="dxa" w:w="3271"/>
          </w:tcPr>
          <w:p>
            <w:pPr>
              <w:spacing w:before="0" w:after="0"/>
            </w:pPr>
            <w:r>
              <w:rPr>
                <w:sz w:val="19"/>
              </w:rPr>
              <w:t>Participants present their decision and what they give up, including the one decision made under uncertainty; the trainer debriefs with the model solution.</w:t>
            </w:r>
          </w:p>
        </w:tc>
        <w:tc>
          <w:tcPr>
            <w:tcW w:type="dxa" w:w="1517"/>
          </w:tcPr>
          <w:p>
            <w:pPr>
              <w:spacing w:before="0" w:after="0"/>
            </w:pPr>
            <w:r>
              <w:rPr>
                <w:sz w:val="19"/>
              </w:rPr>
              <w:t>Task 2 · Block 3.1</w:t>
            </w:r>
            <w:r>
              <w:br/>
            </w:r>
            <w:r>
              <w:rPr>
                <w:sz w:val="19"/>
              </w:rPr>
              <w:t>Trainer document, section Transfer project</w:t>
            </w:r>
          </w:p>
        </w:tc>
        <w:tc>
          <w:tcPr>
            <w:tcW w:type="dxa" w:w="1822"/>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44"/>
        <w:gridCol w:w="1021"/>
        <w:gridCol w:w="1458"/>
        <w:gridCol w:w="2319"/>
        <w:gridCol w:w="2296"/>
      </w:tblGrid>
      <w:tr>
        <w:trPr>
          <w:cantSplit/>
          <w:tblHeader/>
        </w:trPr>
        <w:tc>
          <w:tcPr>
            <w:tcW w:type="dxa" w:w="2544"/>
            <w:shd w:val="clear" w:color="auto" w:fill="E6ECF4"/>
          </w:tcPr>
          <w:p>
            <w:pPr>
              <w:spacing w:before="0" w:after="0"/>
            </w:pPr>
            <w:r>
              <w:rPr>
                <w:b/>
                <w:sz w:val="19"/>
              </w:rPr>
              <w:t>Component</w:t>
            </w:r>
          </w:p>
        </w:tc>
        <w:tc>
          <w:tcPr>
            <w:tcW w:type="dxa" w:w="1021"/>
            <w:shd w:val="clear" w:color="auto" w:fill="E6ECF4"/>
          </w:tcPr>
          <w:p>
            <w:pPr>
              <w:spacing w:before="0" w:after="0"/>
            </w:pPr>
            <w:r>
              <w:rPr>
                <w:b/>
                <w:sz w:val="19"/>
              </w:rPr>
              <w:t>UE</w:t>
            </w:r>
          </w:p>
        </w:tc>
        <w:tc>
          <w:tcPr>
            <w:tcW w:type="dxa" w:w="1458"/>
            <w:shd w:val="clear" w:color="auto" w:fill="E6ECF4"/>
          </w:tcPr>
          <w:p>
            <w:pPr>
              <w:spacing w:before="0" w:after="0"/>
            </w:pPr>
            <w:r>
              <w:rPr>
                <w:b/>
                <w:sz w:val="19"/>
              </w:rPr>
              <w:t>Duration</w:t>
            </w:r>
          </w:p>
        </w:tc>
        <w:tc>
          <w:tcPr>
            <w:tcW w:type="dxa" w:w="2319"/>
            <w:shd w:val="clear" w:color="auto" w:fill="E6ECF4"/>
          </w:tcPr>
          <w:p>
            <w:pPr>
              <w:spacing w:before="0" w:after="0"/>
            </w:pPr>
            <w:r>
              <w:rPr>
                <w:b/>
                <w:sz w:val="19"/>
              </w:rPr>
              <w:t>Participants work in</w:t>
            </w:r>
          </w:p>
        </w:tc>
        <w:tc>
          <w:tcPr>
            <w:tcW w:type="dxa" w:w="2296"/>
            <w:shd w:val="clear" w:color="auto" w:fill="E6ECF4"/>
          </w:tcPr>
          <w:p>
            <w:pPr>
              <w:spacing w:before="0" w:after="0"/>
            </w:pPr>
            <w:r>
              <w:rPr>
                <w:b/>
                <w:sz w:val="19"/>
              </w:rPr>
              <w:t>Model solution in</w:t>
            </w:r>
          </w:p>
        </w:tc>
      </w:tr>
      <w:tr>
        <w:trPr>
          <w:cantSplit/>
        </w:trPr>
        <w:tc>
          <w:tcPr>
            <w:tcW w:type="dxa" w:w="2544"/>
          </w:tcPr>
          <w:p>
            <w:pPr>
              <w:spacing w:before="0" w:after="0"/>
            </w:pPr>
            <w:r>
              <w:rPr>
                <w:b/>
                <w:sz w:val="19"/>
              </w:rPr>
              <w:t>Level 2 case study</w:t>
            </w:r>
            <w:r>
              <w:rPr>
                <w:sz w:val="19"/>
              </w:rPr>
              <w:t xml:space="preserve"> (CampusNow)</w:t>
            </w:r>
          </w:p>
        </w:tc>
        <w:tc>
          <w:tcPr>
            <w:tcW w:type="dxa" w:w="1021"/>
          </w:tcPr>
          <w:p>
            <w:pPr>
              <w:spacing w:before="0" w:after="0"/>
            </w:pPr>
            <w:r>
              <w:rPr>
                <w:sz w:val="19"/>
              </w:rPr>
              <w:t>UE5–6</w:t>
            </w:r>
          </w:p>
        </w:tc>
        <w:tc>
          <w:tcPr>
            <w:tcW w:type="dxa" w:w="1458"/>
          </w:tcPr>
          <w:p>
            <w:pPr>
              <w:spacing w:before="0" w:after="0"/>
            </w:pPr>
            <w:r>
              <w:rPr>
                <w:b/>
                <w:sz w:val="19"/>
              </w:rPr>
              <w:t>2 UE</w:t>
            </w:r>
            <w:r>
              <w:rPr>
                <w:sz w:val="19"/>
              </w:rPr>
              <w:t xml:space="preserve"> · 90 min</w:t>
            </w:r>
          </w:p>
        </w:tc>
        <w:tc>
          <w:tcPr>
            <w:tcW w:type="dxa" w:w="2319"/>
          </w:tcPr>
          <w:p>
            <w:pPr>
              <w:spacing w:before="0" w:after="0"/>
            </w:pPr>
            <w:r>
              <w:rPr>
                <w:sz w:val="19"/>
              </w:rPr>
              <w:t>Task 1 · Part 2 (Block 2.1)</w:t>
            </w:r>
          </w:p>
        </w:tc>
        <w:tc>
          <w:tcPr>
            <w:tcW w:type="dxa" w:w="2296"/>
          </w:tcPr>
          <w:p>
            <w:pPr>
              <w:spacing w:before="0" w:after="0"/>
            </w:pPr>
            <w:r>
              <w:rPr>
                <w:sz w:val="19"/>
              </w:rPr>
              <w:t>Trainer document, section Case study</w:t>
            </w:r>
          </w:p>
        </w:tc>
      </w:tr>
      <w:tr>
        <w:trPr>
          <w:cantSplit/>
        </w:trPr>
        <w:tc>
          <w:tcPr>
            <w:tcW w:type="dxa" w:w="2544"/>
          </w:tcPr>
          <w:p>
            <w:pPr>
              <w:spacing w:before="0" w:after="0"/>
            </w:pPr>
            <w:r>
              <w:rPr>
                <w:b/>
                <w:sz w:val="19"/>
              </w:rPr>
              <w:t>Level 3 transfer project</w:t>
            </w:r>
            <w:r>
              <w:rPr>
                <w:sz w:val="19"/>
              </w:rPr>
              <w:t xml:space="preserve"> (Chief Experience Officer)</w:t>
            </w:r>
          </w:p>
        </w:tc>
        <w:tc>
          <w:tcPr>
            <w:tcW w:type="dxa" w:w="1021"/>
          </w:tcPr>
          <w:p>
            <w:pPr>
              <w:spacing w:before="0" w:after="0"/>
            </w:pPr>
            <w:r>
              <w:rPr>
                <w:sz w:val="19"/>
              </w:rPr>
              <w:t>UE8–10</w:t>
            </w:r>
          </w:p>
        </w:tc>
        <w:tc>
          <w:tcPr>
            <w:tcW w:type="dxa" w:w="1458"/>
          </w:tcPr>
          <w:p>
            <w:pPr>
              <w:spacing w:before="0" w:after="0"/>
            </w:pPr>
            <w:r>
              <w:rPr>
                <w:b/>
                <w:sz w:val="19"/>
              </w:rPr>
              <w:t>3 UE</w:t>
            </w:r>
            <w:r>
              <w:rPr>
                <w:sz w:val="19"/>
              </w:rPr>
              <w:t xml:space="preserve"> · 135 min</w:t>
            </w:r>
          </w:p>
        </w:tc>
        <w:tc>
          <w:tcPr>
            <w:tcW w:type="dxa" w:w="2319"/>
          </w:tcPr>
          <w:p>
            <w:pPr>
              <w:spacing w:before="0" w:after="0"/>
            </w:pPr>
            <w:r>
              <w:rPr>
                <w:sz w:val="19"/>
              </w:rPr>
              <w:t>Materi B and Task 2 (Block 3.1)</w:t>
            </w:r>
          </w:p>
        </w:tc>
        <w:tc>
          <w:tcPr>
            <w:tcW w:type="dxa" w:w="2296"/>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Levels 1 and 2: read an unfamiliar municipal portal as a first-time user, rate three start pages of a further-education platform and decide despite missing data, then analyse an education portal, develop four user-centred measures, rate them and decide what comes first. The cards give you the ideas and the rules you use in Task 1.</w:t>
            </w:r>
          </w:p>
        </w:tc>
      </w:tr>
    </w:tbl>
    <w:p>
      <w:pPr>
        <w:spacing w:before="0" w:after="80"/>
      </w:pPr>
    </w:p>
    <w:p>
      <w:pPr>
        <w:pStyle w:val="Heading2"/>
      </w:pPr>
      <w:r>
        <w:rPr/>
        <w:t>A1 · Seeing an interface, and designing from the user's side: user-centred against provider-centred design · 12 min · Core</w:t>
      </w:r>
    </w:p>
    <w:p>
      <w:pPr>
        <w:pBdr>
          <w:left w:val="single" w:sz="18" w:space="6" w:color="1750A8"/>
        </w:pBdr>
        <w:spacing w:before="40" w:after="120"/>
        <w:ind w:left="170"/>
      </w:pPr>
      <w:r>
        <w:rPr>
          <w:i/>
          <w:color w:val="556274"/>
          <w:sz w:val="22"/>
        </w:rPr>
        <w:t>People see a screen before they read it. User-centred design starts from what users come to do and how they see; provider-centred design starts from how the organisation is built.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Before people read a screen they see it: shapes, contrasts and groups decide what is noticed and what is missed. User-centred design starts from what the users come to do and how they see, and checks the design with them. Provider-centred design starts from how the organisation is built and what it wants to say, so the menu mirrors its departments and the start page mirrors its wishes. Both can be complete; only one is easy to use.</w:t>
            </w:r>
          </w:p>
          <w:p>
            <w:pPr>
              <w:spacing w:before="0" w:after="100"/>
            </w:pPr>
            <w:r>
              <w:rPr>
                <w:b/>
              </w:rPr>
              <w:t>Why it matters.</w:t>
            </w:r>
            <w:r>
              <w:rPr/>
              <w:t xml:space="preserve"> Block 1.1 asks you to read CityDesk as a first-time user, Block 1.2 to choose a start page from a user-centred point of view, and Block 2.1 to find CampusNow's problems, several of which come from inside logic. This card gives you the difference to look for.</w:t>
            </w:r>
          </w:p>
          <w:p>
            <w:pPr>
              <w:spacing w:before="0" w:after="100"/>
            </w:pPr>
            <w:r>
              <w:rPr>
                <w:b/>
              </w:rPr>
              <w:t>How to read the picture.</w:t>
            </w:r>
            <w:r>
              <w:rPr/>
              <w:t xml:space="preserve"> The same Brightwater start page twice: built from the provider's side and from the user's side.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710898"/>
            <wp:docPr id="1" name="Picture 1"/>
            <wp:cNvGraphicFramePr>
              <a:graphicFrameLocks noChangeAspect="1"/>
            </wp:cNvGraphicFramePr>
            <a:graphic>
              <a:graphicData uri="http://schemas.openxmlformats.org/drawingml/2006/picture">
                <pic:pic>
                  <pic:nvPicPr>
                    <pic:cNvPr id="0" name="d2_A1_0-148f61158a02.png"/>
                    <pic:cNvPicPr/>
                  </pic:nvPicPr>
                  <pic:blipFill>
                    <a:blip r:embed="rId10"/>
                    <a:stretch>
                      <a:fillRect/>
                    </a:stretch>
                  </pic:blipFill>
                  <pic:spPr>
                    <a:xfrm>
                      <a:off x="0" y="0"/>
                      <a:ext cx="5940000" cy="4710898"/>
                    </a:xfrm>
                    <a:prstGeom prst="rect"/>
                  </pic:spPr>
                </pic:pic>
              </a:graphicData>
            </a:graphic>
          </wp:inline>
        </w:drawing>
      </w:r>
    </w:p>
    <w:p>
      <w:pPr>
        <w:spacing w:before="0" w:after="160"/>
        <w:jc w:val="center"/>
      </w:pPr>
      <w:r>
        <w:rPr>
          <w:i/>
          <w:color w:val="556274"/>
          <w:sz w:val="18"/>
        </w:rPr>
        <w:t>Figure 1 · The same Brightwater start page, built from the provider's side and from the user's side. Shown here in its starting state; in the Neuro-UX Lab every version and every stress test can be used.</w:t>
      </w:r>
    </w:p>
    <w:p>
      <w:pPr>
        <w:spacing w:before="0" w:after="100"/>
      </w:pPr>
      <w:r>
        <w:rPr>
          <w:b/>
        </w:rPr>
        <w:t>Provider-centred and user-centred design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665"/>
        <w:gridCol w:w="3951"/>
        <w:gridCol w:w="4022"/>
      </w:tblGrid>
      <w:tr>
        <w:trPr>
          <w:cantSplit/>
          <w:tblHeader/>
        </w:trPr>
        <w:tc>
          <w:tcPr>
            <w:tcW w:type="dxa" w:w="1665"/>
            <w:shd w:val="clear" w:color="auto" w:fill="E6ECF4"/>
          </w:tcPr>
          <w:p>
            <w:pPr>
              <w:spacing w:before="0" w:after="0"/>
            </w:pPr>
            <w:r>
              <w:rPr>
                <w:b/>
                <w:sz w:val="20"/>
              </w:rPr>
              <w:t>Aspect</w:t>
            </w:r>
          </w:p>
        </w:tc>
        <w:tc>
          <w:tcPr>
            <w:tcW w:type="dxa" w:w="3951"/>
            <w:shd w:val="clear" w:color="auto" w:fill="E6ECF4"/>
          </w:tcPr>
          <w:p>
            <w:pPr>
              <w:spacing w:before="0" w:after="0"/>
            </w:pPr>
            <w:r>
              <w:rPr>
                <w:b/>
                <w:sz w:val="20"/>
              </w:rPr>
              <w:t>Provider-centred</w:t>
            </w:r>
          </w:p>
        </w:tc>
        <w:tc>
          <w:tcPr>
            <w:tcW w:type="dxa" w:w="4022"/>
            <w:shd w:val="clear" w:color="auto" w:fill="E6ECF4"/>
          </w:tcPr>
          <w:p>
            <w:pPr>
              <w:spacing w:before="0" w:after="0"/>
            </w:pPr>
            <w:r>
              <w:rPr>
                <w:b/>
                <w:sz w:val="20"/>
              </w:rPr>
              <w:t>User-centred</w:t>
            </w:r>
          </w:p>
        </w:tc>
      </w:tr>
      <w:tr>
        <w:trPr>
          <w:cantSplit/>
        </w:trPr>
        <w:tc>
          <w:tcPr>
            <w:tcW w:type="dxa" w:w="1665"/>
          </w:tcPr>
          <w:p>
            <w:pPr>
              <w:spacing w:before="0" w:after="0"/>
            </w:pPr>
            <w:r>
              <w:rPr>
                <w:sz w:val="20"/>
              </w:rPr>
              <w:t>Starts from</w:t>
            </w:r>
          </w:p>
        </w:tc>
        <w:tc>
          <w:tcPr>
            <w:tcW w:type="dxa" w:w="3951"/>
          </w:tcPr>
          <w:p>
            <w:pPr>
              <w:spacing w:before="0" w:after="0"/>
            </w:pPr>
            <w:r>
              <w:rPr>
                <w:sz w:val="20"/>
              </w:rPr>
              <w:t>The organisation's structure and wishes.</w:t>
            </w:r>
          </w:p>
        </w:tc>
        <w:tc>
          <w:tcPr>
            <w:tcW w:type="dxa" w:w="4022"/>
          </w:tcPr>
          <w:p>
            <w:pPr>
              <w:spacing w:before="0" w:after="0"/>
            </w:pPr>
            <w:r>
              <w:rPr>
                <w:sz w:val="20"/>
              </w:rPr>
              <w:t>The users' tasks, words and way of seeing.</w:t>
            </w:r>
          </w:p>
        </w:tc>
      </w:tr>
      <w:tr>
        <w:trPr>
          <w:cantSplit/>
        </w:trPr>
        <w:tc>
          <w:tcPr>
            <w:tcW w:type="dxa" w:w="1665"/>
          </w:tcPr>
          <w:p>
            <w:pPr>
              <w:spacing w:before="0" w:after="0"/>
            </w:pPr>
            <w:r>
              <w:rPr>
                <w:sz w:val="20"/>
              </w:rPr>
              <w:t>The menu</w:t>
            </w:r>
          </w:p>
        </w:tc>
        <w:tc>
          <w:tcPr>
            <w:tcW w:type="dxa" w:w="3951"/>
          </w:tcPr>
          <w:p>
            <w:pPr>
              <w:spacing w:before="0" w:after="0"/>
            </w:pPr>
            <w:r>
              <w:rPr>
                <w:sz w:val="20"/>
              </w:rPr>
              <w:t>One item per department.</w:t>
            </w:r>
          </w:p>
        </w:tc>
        <w:tc>
          <w:tcPr>
            <w:tcW w:type="dxa" w:w="4022"/>
          </w:tcPr>
          <w:p>
            <w:pPr>
              <w:spacing w:before="0" w:after="0"/>
            </w:pPr>
            <w:r>
              <w:rPr>
                <w:sz w:val="20"/>
              </w:rPr>
              <w:t>One item per task people come for.</w:t>
            </w:r>
          </w:p>
        </w:tc>
      </w:tr>
      <w:tr>
        <w:trPr>
          <w:cantSplit/>
        </w:trPr>
        <w:tc>
          <w:tcPr>
            <w:tcW w:type="dxa" w:w="1665"/>
          </w:tcPr>
          <w:p>
            <w:pPr>
              <w:spacing w:before="0" w:after="0"/>
            </w:pPr>
            <w:r>
              <w:rPr>
                <w:sz w:val="20"/>
              </w:rPr>
              <w:t>The words</w:t>
            </w:r>
          </w:p>
        </w:tc>
        <w:tc>
          <w:tcPr>
            <w:tcW w:type="dxa" w:w="3951"/>
          </w:tcPr>
          <w:p>
            <w:pPr>
              <w:spacing w:before="0" w:after="0"/>
            </w:pPr>
            <w:r>
              <w:rPr>
                <w:sz w:val="20"/>
              </w:rPr>
              <w:t>The organisation's terms.</w:t>
            </w:r>
          </w:p>
        </w:tc>
        <w:tc>
          <w:tcPr>
            <w:tcW w:type="dxa" w:w="4022"/>
          </w:tcPr>
          <w:p>
            <w:pPr>
              <w:spacing w:before="0" w:after="0"/>
            </w:pPr>
            <w:r>
              <w:rPr>
                <w:sz w:val="20"/>
              </w:rPr>
              <w:t>The words users would type or say.</w:t>
            </w:r>
          </w:p>
        </w:tc>
      </w:tr>
      <w:tr>
        <w:trPr>
          <w:cantSplit/>
        </w:trPr>
        <w:tc>
          <w:tcPr>
            <w:tcW w:type="dxa" w:w="1665"/>
          </w:tcPr>
          <w:p>
            <w:pPr>
              <w:spacing w:before="0" w:after="0"/>
            </w:pPr>
            <w:r>
              <w:rPr>
                <w:sz w:val="20"/>
              </w:rPr>
              <w:t>Checked by</w:t>
            </w:r>
          </w:p>
        </w:tc>
        <w:tc>
          <w:tcPr>
            <w:tcW w:type="dxa" w:w="3951"/>
          </w:tcPr>
          <w:p>
            <w:pPr>
              <w:spacing w:before="0" w:after="0"/>
            </w:pPr>
            <w:r>
              <w:rPr>
                <w:sz w:val="20"/>
              </w:rPr>
              <w:t>Whether everything is there.</w:t>
            </w:r>
          </w:p>
        </w:tc>
        <w:tc>
          <w:tcPr>
            <w:tcW w:type="dxa" w:w="4022"/>
          </w:tcPr>
          <w:p>
            <w:pPr>
              <w:spacing w:before="0" w:after="0"/>
            </w:pPr>
            <w:r>
              <w:rPr>
                <w:sz w:val="20"/>
              </w:rPr>
              <w:t>Whether users can do their task, tested with them.</w:t>
            </w:r>
          </w:p>
        </w:tc>
      </w:tr>
      <w:tr>
        <w:trPr>
          <w:cantSplit/>
        </w:trPr>
        <w:tc>
          <w:tcPr>
            <w:tcW w:type="dxa" w:w="1665"/>
          </w:tcPr>
          <w:p>
            <w:pPr>
              <w:spacing w:before="0" w:after="0"/>
            </w:pPr>
            <w:r>
              <w:rPr>
                <w:sz w:val="20"/>
              </w:rPr>
              <w:t>Typical result</w:t>
            </w:r>
          </w:p>
        </w:tc>
        <w:tc>
          <w:tcPr>
            <w:tcW w:type="dxa" w:w="3951"/>
          </w:tcPr>
          <w:p>
            <w:pPr>
              <w:spacing w:before="0" w:after="0"/>
            </w:pPr>
            <w:r>
              <w:rPr>
                <w:sz w:val="20"/>
              </w:rPr>
              <w:t>Complete, but people search and call.</w:t>
            </w:r>
          </w:p>
        </w:tc>
        <w:tc>
          <w:tcPr>
            <w:tcW w:type="dxa" w:w="4022"/>
          </w:tcPr>
          <w:p>
            <w:pPr>
              <w:spacing w:before="0" w:after="0"/>
            </w:pPr>
            <w:r>
              <w:rPr>
                <w:sz w:val="20"/>
              </w:rPr>
              <w:t>The same content, found and used.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Brightwater, Ana, Felix, Lea and Omar are made up for this example. User-centred design follows ISO 9241-210 and the principles of Gould and Lewis (1985): an early focus on users and their tasks, testing with real users, and iteration.</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Read the screen as someone who has never seen it: what would they come to do, and can they see where to do it?</w:t>
            </w:r>
          </w:p>
          <w:p>
            <w:pPr>
              <w:pStyle w:val="ListBullet"/>
              <w:spacing w:before="0" w:after="40"/>
            </w:pPr>
            <w:r>
              <w:rPr/>
              <w:t>Look for the organisation in the interface: menu items named after departments, the organisation's own words, a page that opens with what the provider wants to say.</w:t>
            </w:r>
          </w:p>
          <w:p>
            <w:pPr>
              <w:pStyle w:val="ListBullet"/>
              <w:spacing w:before="0" w:after="40"/>
            </w:pPr>
            <w:r>
              <w:rPr/>
              <w:t>A complete interface is not the same as a usable one: everything can be there and still not be found.</w:t>
            </w:r>
          </w:p>
          <w:p>
            <w:pPr>
              <w:pStyle w:val="ListBullet"/>
              <w:spacing w:before="0" w:after="100"/>
            </w:pPr>
            <w:r>
              <w:rPr/>
              <w:t>Judge a UI decision from the user's side, not from the inside logic of the people who built it.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ISO 9241-210 calls it human-centred design and names four activities that repeat: understand the context of use, specify the users' requirements, produce design solutions, and evaluate them against the requirements. The point is the loop: a design is not finished when it is complete, but when users can do what they came for.</w:t>
            </w:r>
          </w:p>
        </w:tc>
      </w:tr>
    </w:tbl>
    <w:p>
      <w:pPr>
        <w:spacing w:before="0" w:after="80"/>
      </w:pPr>
    </w:p>
    <w:p>
      <w:pPr>
        <w:spacing w:before="80" w:after="160"/>
      </w:pPr>
      <w:r>
        <w:rPr>
          <w:b/>
          <w:color w:val="556274"/>
          <w:sz w:val="18"/>
        </w:rPr>
        <w:t xml:space="preserve">Sources · </w:t>
      </w:r>
      <w:r>
        <w:rPr>
          <w:color w:val="556274"/>
          <w:sz w:val="18"/>
        </w:rPr>
        <w:t>ISO 9241-210 · Gould &amp; Lewis 1985 · Norman &amp; Nielsen · Rosenfeld et al. 2015</w:t>
      </w:r>
    </w:p>
    <w:p>
      <w:pPr>
        <w:pStyle w:val="Heading2"/>
      </w:pPr>
      <w:r>
        <w:rPr/>
        <w:t>A2 · How people scan, select and prioritise: perception as the basis of UI decisions · 12 min · Core</w:t>
      </w:r>
    </w:p>
    <w:p>
      <w:pPr>
        <w:pBdr>
          <w:left w:val="single" w:sz="18" w:space="6" w:color="1750A8"/>
        </w:pBdr>
        <w:spacing w:before="40" w:after="120"/>
        <w:ind w:left="170"/>
      </w:pPr>
      <w:r>
        <w:rPr>
          <w:i/>
          <w:color w:val="556274"/>
          <w:sz w:val="22"/>
        </w:rPr>
        <w:t>People scan before they read: the eye jumps to what stands out and what looks relevant, ranks it and skips the rest. What the scan does not catch is, for the user, not there.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People rarely read a screen; they scan it. The eye jumps to what stands out, picks out headings, words and buttons that look relevant to the goal, and skips the rest. On text-heavy pages the jumps often follow an F-shape: across the top, across a little lower, then down the left edge. What is not picked out in this first pass is, for the user, not there. A UI decision is therefore a decision about what the scan will catch.</w:t>
            </w:r>
          </w:p>
          <w:p>
            <w:pPr>
              <w:spacing w:before="0" w:after="100"/>
            </w:pPr>
            <w:r>
              <w:rPr>
                <w:b/>
              </w:rPr>
              <w:t>Why it matters.</w:t>
            </w:r>
            <w:r>
              <w:rPr/>
              <w:t xml:space="preserve"> Block 1.1 asks what a first-time user perceives first on CityDesk and which obstacles stop them, and Block 2.1 asks why CampusNow's long text blocks are hard to scan. You need the scan to say why something is seen or missed.</w:t>
            </w:r>
          </w:p>
          <w:p>
            <w:pPr>
              <w:spacing w:before="0" w:after="100"/>
            </w:pPr>
            <w:r>
              <w:rPr>
                <w:b/>
              </w:rPr>
              <w:t>How to read the picture.</w:t>
            </w:r>
            <w:r>
              <w:rPr/>
              <w:t xml:space="preserve"> First the four steps of a scan. Then one Brightwater page in two forms: a dense block of text and the same content structured for scanning.</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327904"/>
            <wp:docPr id="2" name="Picture 2"/>
            <wp:cNvGraphicFramePr>
              <a:graphicFrameLocks noChangeAspect="1"/>
            </wp:cNvGraphicFramePr>
            <a:graphic>
              <a:graphicData uri="http://schemas.openxmlformats.org/drawingml/2006/picture">
                <pic:pic>
                  <pic:nvPicPr>
                    <pic:cNvPr id="0" name="d2_A2_0-0f70201e1c8f.png"/>
                    <pic:cNvPicPr/>
                  </pic:nvPicPr>
                  <pic:blipFill>
                    <a:blip r:embed="rId11"/>
                    <a:stretch>
                      <a:fillRect/>
                    </a:stretch>
                  </pic:blipFill>
                  <pic:spPr>
                    <a:xfrm>
                      <a:off x="0" y="0"/>
                      <a:ext cx="5940000" cy="1327904"/>
                    </a:xfrm>
                    <a:prstGeom prst="rect"/>
                  </pic:spPr>
                </pic:pic>
              </a:graphicData>
            </a:graphic>
          </wp:inline>
        </w:drawing>
      </w:r>
    </w:p>
    <w:p>
      <w:pPr>
        <w:spacing w:before="0" w:after="160"/>
        <w:jc w:val="center"/>
      </w:pPr>
      <w:r>
        <w:rPr>
          <w:i/>
          <w:color w:val="556274"/>
          <w:sz w:val="18"/>
        </w:rPr>
        <w:t>Figure 2 · How people take in a screen: four steps in a second or two.</w:t>
      </w:r>
    </w:p>
    <w:p>
      <w:pPr>
        <w:keepNext/>
        <w:spacing w:before="80" w:after="40"/>
        <w:jc w:val="center"/>
      </w:pPr>
      <w:r>
        <w:drawing>
          <wp:inline xmlns:a="http://schemas.openxmlformats.org/drawingml/2006/main" xmlns:pic="http://schemas.openxmlformats.org/drawingml/2006/picture">
            <wp:extent cx="5940000" cy="4584431"/>
            <wp:docPr id="3" name="Picture 3"/>
            <wp:cNvGraphicFramePr>
              <a:graphicFrameLocks noChangeAspect="1"/>
            </wp:cNvGraphicFramePr>
            <a:graphic>
              <a:graphicData uri="http://schemas.openxmlformats.org/drawingml/2006/picture">
                <pic:pic>
                  <pic:nvPicPr>
                    <pic:cNvPr id="0" name="d2_A2_1-d1f3eaaa30c1.png"/>
                    <pic:cNvPicPr/>
                  </pic:nvPicPr>
                  <pic:blipFill>
                    <a:blip r:embed="rId12"/>
                    <a:stretch>
                      <a:fillRect/>
                    </a:stretch>
                  </pic:blipFill>
                  <pic:spPr>
                    <a:xfrm>
                      <a:off x="0" y="0"/>
                      <a:ext cx="5940000" cy="4584431"/>
                    </a:xfrm>
                    <a:prstGeom prst="rect"/>
                  </pic:spPr>
                </pic:pic>
              </a:graphicData>
            </a:graphic>
          </wp:inline>
        </w:drawing>
      </w:r>
    </w:p>
    <w:p>
      <w:pPr>
        <w:spacing w:before="0" w:after="160"/>
        <w:jc w:val="center"/>
      </w:pPr>
      <w:r>
        <w:rPr>
          <w:i/>
          <w:color w:val="556274"/>
          <w:sz w:val="18"/>
        </w:rPr>
        <w:t>Figure 3 · One Brightwater course page as a dense block and as a page built for scanning. Shown here in its starting state; in the Neuro-UX Lab every version and every stress test can be used.</w:t>
      </w:r>
    </w:p>
    <w:p>
      <w:pPr>
        <w:spacing w:before="0" w:after="100"/>
      </w:pPr>
      <w:r>
        <w:rPr>
          <w:b/>
        </w:rPr>
        <w:t>What the scan catches, and what it misses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263"/>
        <w:gridCol w:w="5375"/>
      </w:tblGrid>
      <w:tr>
        <w:trPr>
          <w:cantSplit/>
          <w:tblHeader/>
        </w:trPr>
        <w:tc>
          <w:tcPr>
            <w:tcW w:type="dxa" w:w="4263"/>
            <w:shd w:val="clear" w:color="auto" w:fill="E6ECF4"/>
          </w:tcPr>
          <w:p>
            <w:pPr>
              <w:spacing w:before="0" w:after="0"/>
            </w:pPr>
            <w:r>
              <w:rPr>
                <w:b/>
                <w:sz w:val="20"/>
              </w:rPr>
              <w:t>The scan catches</w:t>
            </w:r>
          </w:p>
        </w:tc>
        <w:tc>
          <w:tcPr>
            <w:tcW w:type="dxa" w:w="5375"/>
            <w:shd w:val="clear" w:color="auto" w:fill="E6ECF4"/>
          </w:tcPr>
          <w:p>
            <w:pPr>
              <w:spacing w:before="0" w:after="0"/>
            </w:pPr>
            <w:r>
              <w:rPr>
                <w:b/>
                <w:sz w:val="20"/>
              </w:rPr>
              <w:t>The scan misses</w:t>
            </w:r>
          </w:p>
        </w:tc>
      </w:tr>
      <w:tr>
        <w:trPr>
          <w:cantSplit/>
        </w:trPr>
        <w:tc>
          <w:tcPr>
            <w:tcW w:type="dxa" w:w="4263"/>
          </w:tcPr>
          <w:p>
            <w:pPr>
              <w:spacing w:before="0" w:after="0"/>
            </w:pPr>
            <w:r>
              <w:rPr>
                <w:sz w:val="20"/>
              </w:rPr>
              <w:t>Strong contrasts, large shapes, movement.</w:t>
            </w:r>
          </w:p>
        </w:tc>
        <w:tc>
          <w:tcPr>
            <w:tcW w:type="dxa" w:w="5375"/>
          </w:tcPr>
          <w:p>
            <w:pPr>
              <w:spacing w:before="0" w:after="0"/>
            </w:pPr>
            <w:r>
              <w:rPr>
                <w:sz w:val="20"/>
              </w:rPr>
              <w:t>Pale, small or low-contrast elements, such as a grey search box.</w:t>
            </w:r>
          </w:p>
        </w:tc>
      </w:tr>
      <w:tr>
        <w:trPr>
          <w:cantSplit/>
        </w:trPr>
        <w:tc>
          <w:tcPr>
            <w:tcW w:type="dxa" w:w="4263"/>
          </w:tcPr>
          <w:p>
            <w:pPr>
              <w:spacing w:before="0" w:after="0"/>
            </w:pPr>
            <w:r>
              <w:rPr>
                <w:sz w:val="20"/>
              </w:rPr>
              <w:t>Headings and the first words of lines.</w:t>
            </w:r>
          </w:p>
        </w:tc>
        <w:tc>
          <w:tcPr>
            <w:tcW w:type="dxa" w:w="5375"/>
          </w:tcPr>
          <w:p>
            <w:pPr>
              <w:spacing w:before="0" w:after="0"/>
            </w:pPr>
            <w:r>
              <w:rPr>
                <w:sz w:val="20"/>
              </w:rPr>
              <w:t>The middle of long, dense paragraphs.</w:t>
            </w:r>
          </w:p>
        </w:tc>
      </w:tr>
      <w:tr>
        <w:trPr>
          <w:cantSplit/>
        </w:trPr>
        <w:tc>
          <w:tcPr>
            <w:tcW w:type="dxa" w:w="4263"/>
          </w:tcPr>
          <w:p>
            <w:pPr>
              <w:spacing w:before="0" w:after="0"/>
            </w:pPr>
            <w:r>
              <w:rPr>
                <w:sz w:val="20"/>
              </w:rPr>
              <w:t>Words that match the goal (“Book”, “Opening hours”).</w:t>
            </w:r>
          </w:p>
        </w:tc>
        <w:tc>
          <w:tcPr>
            <w:tcW w:type="dxa" w:w="5375"/>
          </w:tcPr>
          <w:p>
            <w:pPr>
              <w:spacing w:before="0" w:after="0"/>
            </w:pPr>
            <w:r>
              <w:rPr>
                <w:sz w:val="20"/>
              </w:rPr>
              <w:t>The organisation's own terms the user does not know.</w:t>
            </w:r>
          </w:p>
        </w:tc>
      </w:tr>
      <w:tr>
        <w:trPr>
          <w:cantSplit/>
        </w:trPr>
        <w:tc>
          <w:tcPr>
            <w:tcW w:type="dxa" w:w="4263"/>
          </w:tcPr>
          <w:p>
            <w:pPr>
              <w:spacing w:before="0" w:after="0"/>
            </w:pPr>
            <w:r>
              <w:rPr>
                <w:sz w:val="20"/>
              </w:rPr>
              <w:t>The top of the page and the left edge.</w:t>
            </w:r>
          </w:p>
        </w:tc>
        <w:tc>
          <w:tcPr>
            <w:tcW w:type="dxa" w:w="5375"/>
          </w:tcPr>
          <w:p>
            <w:pPr>
              <w:spacing w:before="0" w:after="0"/>
            </w:pPr>
            <w:r>
              <w:rPr>
                <w:sz w:val="20"/>
              </w:rPr>
              <w:t>What is far down the page or only after long scrolling.</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Brightwater, Ana, Felix, Lea and Omar are made up for this example. Scanning follows Nielsen (1997); the F-shaped pattern on unstructured text follows Pernice (2017); the pull of strong signals follows Itti and Koch (2001).</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Ask what a first-time user sees in the first second or two: the strongest contrasts, the largest shapes, the top and the left edge.</w:t>
            </w:r>
          </w:p>
          <w:p>
            <w:pPr>
              <w:pStyle w:val="ListBullet"/>
              <w:spacing w:before="0" w:after="40"/>
            </w:pPr>
            <w:r>
              <w:rPr/>
              <w:t>Ask what they would look for, in their own words, and whether those words appear where the scan passes.</w:t>
            </w:r>
          </w:p>
          <w:p>
            <w:pPr>
              <w:pStyle w:val="ListBullet"/>
              <w:spacing w:before="0" w:after="40"/>
            </w:pPr>
            <w:r>
              <w:rPr/>
              <w:t>Treat a long, dense block as invisible in the first pass: what is in its middle is usually missed.</w:t>
            </w:r>
          </w:p>
          <w:p>
            <w:pPr>
              <w:pStyle w:val="ListBullet"/>
              <w:spacing w:before="0" w:after="100"/>
            </w:pPr>
            <w:r>
              <w:rPr/>
              <w:t>Headings, short labelled facts and clear buttons give the scan something to catch.</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The F-pattern is not a rule to design for; it is a sign that a page gives the eye nothing better. Pernice (2017) describes how headings, bullet points, bold key words and short paragraphs change the pattern: the eye then jumps from anchor to anchor instead of skimming the top and sliding down the left edge.</w:t>
            </w:r>
          </w:p>
        </w:tc>
      </w:tr>
    </w:tbl>
    <w:p>
      <w:pPr>
        <w:spacing w:before="0" w:after="80"/>
      </w:pPr>
    </w:p>
    <w:p>
      <w:pPr>
        <w:spacing w:before="80" w:after="160"/>
      </w:pPr>
      <w:r>
        <w:rPr>
          <w:b/>
          <w:color w:val="556274"/>
          <w:sz w:val="18"/>
        </w:rPr>
        <w:t xml:space="preserve">Sources · </w:t>
      </w:r>
      <w:r>
        <w:rPr>
          <w:color w:val="556274"/>
          <w:sz w:val="18"/>
        </w:rPr>
        <w:t>Nielsen 1997 · Pernice 2017 · Krug 2014 · Itti &amp; Koch 2001</w:t>
      </w:r>
    </w:p>
    <w:p>
      <w:pPr>
        <w:pStyle w:val="Heading2"/>
      </w:pPr>
      <w:r>
        <w:rPr/>
        <w:t>A3 · What guides the eye: contrast and colour, grouping and structure · 13 min · Core</w:t>
      </w:r>
    </w:p>
    <w:p>
      <w:pPr>
        <w:pBdr>
          <w:left w:val="single" w:sz="18" w:space="6" w:color="1750A8"/>
        </w:pBdr>
        <w:spacing w:before="40" w:after="120"/>
        <w:ind w:left="170"/>
      </w:pPr>
      <w:r>
        <w:rPr>
          <w:i/>
          <w:color w:val="556274"/>
          <w:sz w:val="22"/>
        </w:rPr>
        <w:t>Contrast makes one thing stand out, grouping shows what belongs together, structure gives the eye a path. Used on purpose, they guide the eye; used against each other, everything competes.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Four means guide the eye. Contrast makes one thing stand out from its surroundings. Grouping shows what belongs together: things that are close to each other or look alike are read as one group. Structure gives an order the eye can follow, such as headings, columns and alignment. Visual guidance is these three used on purpose, so that the eye goes first to what matters and then along a path. Used against each other, boxes, colours and lines compete and the eye finds no way. Colour is the strongest of these signals: it is seen before shape or text and carries meaning people have learnt, such as red for danger. Used strategically, one accent colour marks the main action and a warning colour is kept for real warnings.</w:t>
            </w:r>
          </w:p>
          <w:p>
            <w:pPr>
              <w:spacing w:before="0" w:after="100"/>
            </w:pPr>
            <w:r>
              <w:rPr>
                <w:b/>
              </w:rPr>
              <w:t>Why it matters.</w:t>
            </w:r>
            <w:r>
              <w:rPr/>
              <w:t xml:space="preserve"> Block 1.1 asks you to sort CityDesk's problems into visual guidance, structure and other categories, and Block 2.1 asks about CampusNow's missing prioritisation and inconsistent page types. These means, and how colour is used, are what you check.</w:t>
            </w:r>
          </w:p>
          <w:p>
            <w:pPr>
              <w:spacing w:before="0" w:after="100"/>
            </w:pPr>
            <w:r>
              <w:rPr>
                <w:b/>
              </w:rPr>
              <w:t>How to read the picture.</w:t>
            </w:r>
            <w:r>
              <w:rPr/>
              <w:t xml:space="preserve"> One Brightwater page with three switches: contrast, grouping and structure.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584431"/>
            <wp:docPr id="4" name="Picture 4"/>
            <wp:cNvGraphicFramePr>
              <a:graphicFrameLocks noChangeAspect="1"/>
            </wp:cNvGraphicFramePr>
            <a:graphic>
              <a:graphicData uri="http://schemas.openxmlformats.org/drawingml/2006/picture">
                <pic:pic>
                  <pic:nvPicPr>
                    <pic:cNvPr id="0" name="d2_A3_0-a5a567d88e0a.png"/>
                    <pic:cNvPicPr/>
                  </pic:nvPicPr>
                  <pic:blipFill>
                    <a:blip r:embed="rId13"/>
                    <a:stretch>
                      <a:fillRect/>
                    </a:stretch>
                  </pic:blipFill>
                  <pic:spPr>
                    <a:xfrm>
                      <a:off x="0" y="0"/>
                      <a:ext cx="5940000" cy="4584431"/>
                    </a:xfrm>
                    <a:prstGeom prst="rect"/>
                  </pic:spPr>
                </pic:pic>
              </a:graphicData>
            </a:graphic>
          </wp:inline>
        </w:drawing>
      </w:r>
    </w:p>
    <w:p>
      <w:pPr>
        <w:spacing w:before="0" w:after="160"/>
        <w:jc w:val="center"/>
      </w:pPr>
      <w:r>
        <w:rPr>
          <w:i/>
          <w:color w:val="556274"/>
          <w:sz w:val="18"/>
        </w:rPr>
        <w:t>Figure 4 · A Brightwater offers page with and without contrast, grouping and structure. Shown here in its starting state; in the Neuro-UX Lab every version and every stress test can be used.</w:t>
      </w:r>
    </w:p>
    <w:p>
      <w:pPr>
        <w:spacing w:before="0" w:after="100"/>
      </w:pPr>
      <w:r>
        <w:rPr>
          <w:b/>
        </w:rPr>
        <w:t>The means of visual guidance, and a sign that one is missing</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618"/>
        <w:gridCol w:w="4104"/>
        <w:gridCol w:w="3916"/>
      </w:tblGrid>
      <w:tr>
        <w:trPr>
          <w:cantSplit/>
          <w:tblHeader/>
        </w:trPr>
        <w:tc>
          <w:tcPr>
            <w:tcW w:type="dxa" w:w="1618"/>
            <w:shd w:val="clear" w:color="auto" w:fill="E6ECF4"/>
          </w:tcPr>
          <w:p>
            <w:pPr>
              <w:spacing w:before="0" w:after="0"/>
            </w:pPr>
            <w:r>
              <w:rPr>
                <w:b/>
                <w:sz w:val="20"/>
              </w:rPr>
              <w:t>Means</w:t>
            </w:r>
          </w:p>
        </w:tc>
        <w:tc>
          <w:tcPr>
            <w:tcW w:type="dxa" w:w="4104"/>
            <w:shd w:val="clear" w:color="auto" w:fill="E6ECF4"/>
          </w:tcPr>
          <w:p>
            <w:pPr>
              <w:spacing w:before="0" w:after="0"/>
            </w:pPr>
            <w:r>
              <w:rPr>
                <w:b/>
                <w:sz w:val="20"/>
              </w:rPr>
              <w:t>What it does</w:t>
            </w:r>
          </w:p>
        </w:tc>
        <w:tc>
          <w:tcPr>
            <w:tcW w:type="dxa" w:w="3916"/>
            <w:shd w:val="clear" w:color="auto" w:fill="E6ECF4"/>
          </w:tcPr>
          <w:p>
            <w:pPr>
              <w:spacing w:before="0" w:after="0"/>
            </w:pPr>
            <w:r>
              <w:rPr>
                <w:b/>
                <w:sz w:val="20"/>
              </w:rPr>
              <w:t>A sign it is missing</w:t>
            </w:r>
          </w:p>
        </w:tc>
      </w:tr>
      <w:tr>
        <w:trPr>
          <w:cantSplit/>
        </w:trPr>
        <w:tc>
          <w:tcPr>
            <w:tcW w:type="dxa" w:w="1618"/>
          </w:tcPr>
          <w:p>
            <w:pPr>
              <w:spacing w:before="0" w:after="0"/>
            </w:pPr>
            <w:r>
              <w:rPr>
                <w:sz w:val="20"/>
              </w:rPr>
              <w:t>Contrast</w:t>
            </w:r>
          </w:p>
        </w:tc>
        <w:tc>
          <w:tcPr>
            <w:tcW w:type="dxa" w:w="4104"/>
          </w:tcPr>
          <w:p>
            <w:pPr>
              <w:spacing w:before="0" w:after="0"/>
            </w:pPr>
            <w:r>
              <w:rPr>
                <w:sz w:val="20"/>
              </w:rPr>
              <w:t>Makes one element stand out from its surroundings.</w:t>
            </w:r>
          </w:p>
        </w:tc>
        <w:tc>
          <w:tcPr>
            <w:tcW w:type="dxa" w:w="3916"/>
          </w:tcPr>
          <w:p>
            <w:pPr>
              <w:spacing w:before="0" w:after="0"/>
            </w:pPr>
            <w:r>
              <w:rPr>
                <w:sz w:val="20"/>
              </w:rPr>
              <w:t>The main action is as pale as everything else; or everything is loud.</w:t>
            </w:r>
          </w:p>
        </w:tc>
      </w:tr>
      <w:tr>
        <w:trPr>
          <w:cantSplit/>
        </w:trPr>
        <w:tc>
          <w:tcPr>
            <w:tcW w:type="dxa" w:w="1618"/>
          </w:tcPr>
          <w:p>
            <w:pPr>
              <w:spacing w:before="0" w:after="0"/>
            </w:pPr>
            <w:r>
              <w:rPr>
                <w:sz w:val="20"/>
              </w:rPr>
              <w:t>Grouping</w:t>
            </w:r>
          </w:p>
        </w:tc>
        <w:tc>
          <w:tcPr>
            <w:tcW w:type="dxa" w:w="4104"/>
          </w:tcPr>
          <w:p>
            <w:pPr>
              <w:spacing w:before="0" w:after="0"/>
            </w:pPr>
            <w:r>
              <w:rPr>
                <w:sz w:val="20"/>
              </w:rPr>
              <w:t>Shows what belongs together (close together, alike).</w:t>
            </w:r>
          </w:p>
        </w:tc>
        <w:tc>
          <w:tcPr>
            <w:tcW w:type="dxa" w:w="3916"/>
          </w:tcPr>
          <w:p>
            <w:pPr>
              <w:spacing w:before="0" w:after="0"/>
            </w:pPr>
            <w:r>
              <w:rPr>
                <w:sz w:val="20"/>
              </w:rPr>
              <w:t>Related items are scattered; unrelated items share a box.</w:t>
            </w:r>
          </w:p>
        </w:tc>
      </w:tr>
      <w:tr>
        <w:trPr>
          <w:cantSplit/>
        </w:trPr>
        <w:tc>
          <w:tcPr>
            <w:tcW w:type="dxa" w:w="1618"/>
          </w:tcPr>
          <w:p>
            <w:pPr>
              <w:spacing w:before="0" w:after="0"/>
            </w:pPr>
            <w:r>
              <w:rPr>
                <w:sz w:val="20"/>
              </w:rPr>
              <w:t>Structure</w:t>
            </w:r>
          </w:p>
        </w:tc>
        <w:tc>
          <w:tcPr>
            <w:tcW w:type="dxa" w:w="4104"/>
          </w:tcPr>
          <w:p>
            <w:pPr>
              <w:spacing w:before="0" w:after="0"/>
            </w:pPr>
            <w:r>
              <w:rPr>
                <w:sz w:val="20"/>
              </w:rPr>
              <w:t>Gives an order the eye can follow: headings, columns, alignment.</w:t>
            </w:r>
          </w:p>
        </w:tc>
        <w:tc>
          <w:tcPr>
            <w:tcW w:type="dxa" w:w="3916"/>
          </w:tcPr>
          <w:p>
            <w:pPr>
              <w:spacing w:before="0" w:after="0"/>
            </w:pPr>
            <w:r>
              <w:rPr>
                <w:sz w:val="20"/>
              </w:rPr>
              <w:t>Boxes placed anywhere; every page type laid out differently.</w:t>
            </w:r>
          </w:p>
        </w:tc>
      </w:tr>
      <w:tr>
        <w:trPr>
          <w:cantSplit/>
        </w:trPr>
        <w:tc>
          <w:tcPr>
            <w:tcW w:type="dxa" w:w="1618"/>
          </w:tcPr>
          <w:p>
            <w:pPr>
              <w:spacing w:before="0" w:after="0"/>
            </w:pPr>
            <w:r>
              <w:rPr>
                <w:sz w:val="20"/>
              </w:rPr>
              <w:t>Visual guidance</w:t>
            </w:r>
          </w:p>
        </w:tc>
        <w:tc>
          <w:tcPr>
            <w:tcW w:type="dxa" w:w="4104"/>
          </w:tcPr>
          <w:p>
            <w:pPr>
              <w:spacing w:before="0" w:after="0"/>
            </w:pPr>
            <w:r>
              <w:rPr>
                <w:sz w:val="20"/>
              </w:rPr>
              <w:t>All three on purpose: the eye goes first to what matters, then along a path.</w:t>
            </w:r>
          </w:p>
        </w:tc>
        <w:tc>
          <w:tcPr>
            <w:tcW w:type="dxa" w:w="3916"/>
          </w:tcPr>
          <w:p>
            <w:pPr>
              <w:spacing w:before="0" w:after="0"/>
            </w:pPr>
            <w:r>
              <w:rPr>
                <w:sz w:val="20"/>
              </w:rPr>
              <w:t>Boxes, colours and lines compete; the eye jumps.</w:t>
            </w:r>
          </w:p>
        </w:tc>
      </w:tr>
    </w:tbl>
    <w:p>
      <w:pPr>
        <w:spacing w:before="0" w:after="80"/>
      </w:pPr>
    </w:p>
    <w:p>
      <w:pPr>
        <w:spacing w:before="0" w:after="100"/>
      </w:pPr>
      <w:r>
        <w:rPr>
          <w:b/>
        </w:rPr>
        <w:t>Colour used strategically, and colour used against the user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345"/>
        <w:gridCol w:w="3489"/>
        <w:gridCol w:w="3804"/>
      </w:tblGrid>
      <w:tr>
        <w:trPr>
          <w:cantSplit/>
          <w:tblHeader/>
        </w:trPr>
        <w:tc>
          <w:tcPr>
            <w:tcW w:type="dxa" w:w="2345"/>
            <w:shd w:val="clear" w:color="auto" w:fill="E6ECF4"/>
          </w:tcPr>
          <w:p>
            <w:pPr>
              <w:spacing w:before="0" w:after="0"/>
            </w:pPr>
            <w:r>
              <w:rPr>
                <w:b/>
                <w:sz w:val="20"/>
              </w:rPr>
              <w:t>Strategic use</w:t>
            </w:r>
          </w:p>
        </w:tc>
        <w:tc>
          <w:tcPr>
            <w:tcW w:type="dxa" w:w="3489"/>
            <w:shd w:val="clear" w:color="auto" w:fill="E6ECF4"/>
          </w:tcPr>
          <w:p>
            <w:pPr>
              <w:spacing w:before="0" w:after="0"/>
            </w:pPr>
            <w:r>
              <w:rPr>
                <w:b/>
                <w:sz w:val="20"/>
              </w:rPr>
              <w:t>What it does</w:t>
            </w:r>
          </w:p>
        </w:tc>
        <w:tc>
          <w:tcPr>
            <w:tcW w:type="dxa" w:w="3804"/>
            <w:shd w:val="clear" w:color="auto" w:fill="E6ECF4"/>
          </w:tcPr>
          <w:p>
            <w:pPr>
              <w:spacing w:before="0" w:after="0"/>
            </w:pPr>
            <w:r>
              <w:rPr>
                <w:b/>
                <w:sz w:val="20"/>
              </w:rPr>
              <w:t>Used against the user</w:t>
            </w:r>
          </w:p>
        </w:tc>
      </w:tr>
      <w:tr>
        <w:trPr>
          <w:cantSplit/>
        </w:trPr>
        <w:tc>
          <w:tcPr>
            <w:tcW w:type="dxa" w:w="2345"/>
          </w:tcPr>
          <w:p>
            <w:pPr>
              <w:spacing w:before="0" w:after="0"/>
            </w:pPr>
            <w:r>
              <w:rPr>
                <w:sz w:val="20"/>
              </w:rPr>
              <w:t>One accent colour for the main action</w:t>
            </w:r>
          </w:p>
        </w:tc>
        <w:tc>
          <w:tcPr>
            <w:tcW w:type="dxa" w:w="3489"/>
          </w:tcPr>
          <w:p>
            <w:pPr>
              <w:spacing w:before="0" w:after="0"/>
            </w:pPr>
            <w:r>
              <w:rPr>
                <w:sz w:val="20"/>
              </w:rPr>
              <w:t>The eye finds the action first.</w:t>
            </w:r>
          </w:p>
        </w:tc>
        <w:tc>
          <w:tcPr>
            <w:tcW w:type="dxa" w:w="3804"/>
          </w:tcPr>
          <w:p>
            <w:pPr>
              <w:spacing w:before="0" w:after="0"/>
            </w:pPr>
            <w:r>
              <w:rPr>
                <w:sz w:val="20"/>
              </w:rPr>
              <w:t>Three button colours with no meaning: the eye compares instead of acting.</w:t>
            </w:r>
          </w:p>
        </w:tc>
      </w:tr>
      <w:tr>
        <w:trPr>
          <w:cantSplit/>
        </w:trPr>
        <w:tc>
          <w:tcPr>
            <w:tcW w:type="dxa" w:w="2345"/>
          </w:tcPr>
          <w:p>
            <w:pPr>
              <w:spacing w:before="0" w:after="0"/>
            </w:pPr>
            <w:r>
              <w:rPr>
                <w:sz w:val="20"/>
              </w:rPr>
              <w:t>A warning colour only for real warnings</w:t>
            </w:r>
          </w:p>
        </w:tc>
        <w:tc>
          <w:tcPr>
            <w:tcW w:type="dxa" w:w="3489"/>
          </w:tcPr>
          <w:p>
            <w:pPr>
              <w:spacing w:before="0" w:after="0"/>
            </w:pPr>
            <w:r>
              <w:rPr>
                <w:sz w:val="20"/>
              </w:rPr>
              <w:t>Red keeps its meaning, so people react when it matters.</w:t>
            </w:r>
          </w:p>
        </w:tc>
        <w:tc>
          <w:tcPr>
            <w:tcW w:type="dxa" w:w="3804"/>
          </w:tcPr>
          <w:p>
            <w:pPr>
              <w:spacing w:before="0" w:after="0"/>
            </w:pPr>
            <w:r>
              <w:rPr>
                <w:sz w:val="20"/>
              </w:rPr>
              <w:t>Red on neutral information: people learn to ignore it, or feel unsafe.</w:t>
            </w:r>
          </w:p>
        </w:tc>
      </w:tr>
      <w:tr>
        <w:trPr>
          <w:cantSplit/>
        </w:trPr>
        <w:tc>
          <w:tcPr>
            <w:tcW w:type="dxa" w:w="2345"/>
          </w:tcPr>
          <w:p>
            <w:pPr>
              <w:spacing w:before="0" w:after="0"/>
            </w:pPr>
            <w:r>
              <w:rPr>
                <w:sz w:val="20"/>
              </w:rPr>
              <w:t>Colour plus a word or an icon</w:t>
            </w:r>
          </w:p>
        </w:tc>
        <w:tc>
          <w:tcPr>
            <w:tcW w:type="dxa" w:w="3489"/>
          </w:tcPr>
          <w:p>
            <w:pPr>
              <w:spacing w:before="0" w:after="0"/>
            </w:pPr>
            <w:r>
              <w:rPr>
                <w:sz w:val="20"/>
              </w:rPr>
              <w:t>Everyone gets the meaning, also people who see colours differently.</w:t>
            </w:r>
          </w:p>
        </w:tc>
        <w:tc>
          <w:tcPr>
            <w:tcW w:type="dxa" w:w="3804"/>
          </w:tcPr>
          <w:p>
            <w:pPr>
              <w:spacing w:before="0" w:after="0"/>
            </w:pPr>
            <w:r>
              <w:rPr>
                <w:sz w:val="20"/>
              </w:rPr>
              <w:t>Colour alone: “the red fields are required”.</w:t>
            </w:r>
          </w:p>
        </w:tc>
      </w:tr>
      <w:tr>
        <w:trPr>
          <w:cantSplit/>
        </w:trPr>
        <w:tc>
          <w:tcPr>
            <w:tcW w:type="dxa" w:w="2345"/>
          </w:tcPr>
          <w:p>
            <w:pPr>
              <w:spacing w:before="0" w:after="0"/>
            </w:pPr>
            <w:r>
              <w:rPr>
                <w:sz w:val="20"/>
              </w:rPr>
              <w:t>Colours that group</w:t>
            </w:r>
          </w:p>
        </w:tc>
        <w:tc>
          <w:tcPr>
            <w:tcW w:type="dxa" w:w="3489"/>
          </w:tcPr>
          <w:p>
            <w:pPr>
              <w:spacing w:before="0" w:after="0"/>
            </w:pPr>
            <w:r>
              <w:rPr>
                <w:sz w:val="20"/>
              </w:rPr>
              <w:t>Things of one kind share a colour, so the eye reads groups.</w:t>
            </w:r>
          </w:p>
        </w:tc>
        <w:tc>
          <w:tcPr>
            <w:tcW w:type="dxa" w:w="3804"/>
          </w:tcPr>
          <w:p>
            <w:pPr>
              <w:spacing w:before="0" w:after="0"/>
            </w:pPr>
            <w:r>
              <w:rPr>
                <w:sz w:val="20"/>
              </w:rPr>
              <w:t>A different colour for every box: nothing belongs together.</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Brightwater, Ana, Felix, Lea and Omar are made up for this example. Grouping by proximity and similarity follows the Gestalt research summarised by Wagemans et al. (2012); contrast and visual search follow Ware (2012); the meaning of colour follows Elliot and Maier (2014); not using colour alone follows WCAG 2.2, criterion 1.4.1.</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Find the strongest contrast on the screen and ask whether it is the most important thing. If not, it misleads the eye.</w:t>
            </w:r>
          </w:p>
          <w:p>
            <w:pPr>
              <w:pStyle w:val="ListBullet"/>
              <w:spacing w:before="0" w:after="40"/>
            </w:pPr>
            <w:r>
              <w:rPr/>
              <w:t>Check grouping: things that belong together should be close together or look alike, and unrelated things should not.</w:t>
            </w:r>
          </w:p>
          <w:p>
            <w:pPr>
              <w:pStyle w:val="ListBullet"/>
              <w:spacing w:before="0" w:after="40"/>
            </w:pPr>
            <w:r>
              <w:rPr/>
              <w:t>Check structure: headings, columns and alignment the eye can follow from top to bottom.</w:t>
            </w:r>
          </w:p>
          <w:p>
            <w:pPr>
              <w:pStyle w:val="ListBullet"/>
              <w:spacing w:before="0" w:after="40"/>
            </w:pPr>
            <w:r>
              <w:rPr/>
              <w:t>Count the competing boxes, colours and lines. Many strong ones of equal weight mean there is no visual guidance.</w:t>
            </w:r>
          </w:p>
          <w:p>
            <w:pPr>
              <w:pStyle w:val="ListBullet"/>
              <w:spacing w:before="0" w:after="40"/>
            </w:pPr>
            <w:r>
              <w:rPr/>
              <w:t>Different page types with different structures make people learn every page again: keep one structure per page type.</w:t>
            </w:r>
          </w:p>
          <w:p>
            <w:pPr>
              <w:pStyle w:val="ListBullet"/>
              <w:spacing w:before="0" w:after="100"/>
            </w:pPr>
            <w:r>
              <w:rPr/>
              <w:t>Use colour strategically: one accent for the main action, a warning colour only for real warnings, and never colour alone to carry a meaning.</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Proximity usually wins over colour: two items close together are read as a group even if their colours differ, and a heading placed nearer the text below it than the text above it is read as belonging to the text below. Much visual guidance is therefore done with spacing alone, before any colour is chosen.</w:t>
            </w:r>
          </w:p>
        </w:tc>
      </w:tr>
    </w:tbl>
    <w:p>
      <w:pPr>
        <w:spacing w:before="0" w:after="80"/>
      </w:pPr>
    </w:p>
    <w:p>
      <w:pPr>
        <w:spacing w:before="80" w:after="160"/>
      </w:pPr>
      <w:r>
        <w:rPr>
          <w:b/>
          <w:color w:val="556274"/>
          <w:sz w:val="18"/>
        </w:rPr>
        <w:t xml:space="preserve">Sources · </w:t>
      </w:r>
      <w:r>
        <w:rPr>
          <w:color w:val="556274"/>
          <w:sz w:val="18"/>
        </w:rPr>
        <w:t>Wagemans et al. 2012 · Ware 2012 · Elliot &amp; Maier 2014 · WCAG 2.2 · Nielsen 1994</w:t>
      </w:r>
    </w:p>
    <w:p>
      <w:pPr>
        <w:pStyle w:val="Heading2"/>
      </w:pPr>
      <w:r>
        <w:rPr/>
        <w:t>A4 · How much at once: information density, orientation, load and why order looks like quality · 12 min · Core</w:t>
      </w:r>
    </w:p>
    <w:p>
      <w:pPr>
        <w:pBdr>
          <w:left w:val="single" w:sz="18" w:space="6" w:color="1750A8"/>
        </w:pBdr>
        <w:spacing w:before="40" w:after="120"/>
        <w:ind w:left="170"/>
      </w:pPr>
      <w:r>
        <w:rPr>
          <w:i/>
          <w:color w:val="556274"/>
          <w:sz w:val="22"/>
        </w:rPr>
        <w:t>Too much at once and everything competes: orientation is lost and the load rises. Too little and people click a lot. An ordered page also looks more trustworthy and of higher quality.</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Information density is how much a screen shows at once. When it is too high, everything competes, orientation is lost and the cognitive load rises: people have to hold and sort too much. When it is very low, people click a lot to reach anything. Visual order also changes how good a product seems: a calm, ordered page is judged more trustworthy and of higher quality, often before it has been used. Order is not decoration; it is part of the quality people perceive.</w:t>
            </w:r>
          </w:p>
          <w:p>
            <w:pPr>
              <w:spacing w:before="0" w:after="100"/>
            </w:pPr>
            <w:r>
              <w:rPr>
                <w:b/>
              </w:rPr>
              <w:t>Why it matters.</w:t>
            </w:r>
            <w:r>
              <w:rPr/>
              <w:t xml:space="preserve"> Block 1.1 asks about CityDesk's information density, Block 1.2 asks you to weigh EduFlex's crowded, reduced and image-led start pages, and Block 2.1 asks about the overloaded start page of CampusNow. This card gives you the trade-off and its effect on load and on perceived quality.</w:t>
            </w:r>
          </w:p>
          <w:p>
            <w:pPr>
              <w:spacing w:before="0" w:after="100"/>
            </w:pPr>
            <w:r>
              <w:rPr>
                <w:b/>
              </w:rPr>
              <w:t>How to read the picture.</w:t>
            </w:r>
            <w:r>
              <w:rPr/>
              <w:t xml:space="preserve"> One Brightwater start page at three densities: crowded, balanced and sparse.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584431"/>
            <wp:docPr id="5" name="Picture 5"/>
            <wp:cNvGraphicFramePr>
              <a:graphicFrameLocks noChangeAspect="1"/>
            </wp:cNvGraphicFramePr>
            <a:graphic>
              <a:graphicData uri="http://schemas.openxmlformats.org/drawingml/2006/picture">
                <pic:pic>
                  <pic:nvPicPr>
                    <pic:cNvPr id="0" name="d2_A4_0-c305df4da983.png"/>
                    <pic:cNvPicPr/>
                  </pic:nvPicPr>
                  <pic:blipFill>
                    <a:blip r:embed="rId14"/>
                    <a:stretch>
                      <a:fillRect/>
                    </a:stretch>
                  </pic:blipFill>
                  <pic:spPr>
                    <a:xfrm>
                      <a:off x="0" y="0"/>
                      <a:ext cx="5940000" cy="4584431"/>
                    </a:xfrm>
                    <a:prstGeom prst="rect"/>
                  </pic:spPr>
                </pic:pic>
              </a:graphicData>
            </a:graphic>
          </wp:inline>
        </w:drawing>
      </w:r>
    </w:p>
    <w:p>
      <w:pPr>
        <w:spacing w:before="0" w:after="160"/>
        <w:jc w:val="center"/>
      </w:pPr>
      <w:r>
        <w:rPr>
          <w:i/>
          <w:color w:val="556274"/>
          <w:sz w:val="18"/>
        </w:rPr>
        <w:t>Figure 5 · The Brightwater start page at three densities. Shown here in its starting state; in the Neuro-UX Lab every version and every stress test can be used.</w:t>
      </w:r>
    </w:p>
    <w:p>
      <w:pPr>
        <w:spacing w:before="0" w:after="100"/>
      </w:pPr>
      <w:r>
        <w:rPr>
          <w:b/>
        </w:rPr>
        <w:t>Three densities and what they do</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512"/>
        <w:gridCol w:w="4602"/>
        <w:gridCol w:w="3524"/>
      </w:tblGrid>
      <w:tr>
        <w:trPr>
          <w:cantSplit/>
          <w:tblHeader/>
        </w:trPr>
        <w:tc>
          <w:tcPr>
            <w:tcW w:type="dxa" w:w="1512"/>
            <w:shd w:val="clear" w:color="auto" w:fill="E6ECF4"/>
          </w:tcPr>
          <w:p>
            <w:pPr>
              <w:spacing w:before="0" w:after="0"/>
            </w:pPr>
            <w:r>
              <w:rPr>
                <w:b/>
                <w:sz w:val="20"/>
              </w:rPr>
              <w:t>Density</w:t>
            </w:r>
          </w:p>
        </w:tc>
        <w:tc>
          <w:tcPr>
            <w:tcW w:type="dxa" w:w="4602"/>
            <w:shd w:val="clear" w:color="auto" w:fill="E6ECF4"/>
          </w:tcPr>
          <w:p>
            <w:pPr>
              <w:spacing w:before="0" w:after="0"/>
            </w:pPr>
            <w:r>
              <w:rPr>
                <w:b/>
                <w:sz w:val="20"/>
              </w:rPr>
              <w:t>Orientation and load</w:t>
            </w:r>
          </w:p>
        </w:tc>
        <w:tc>
          <w:tcPr>
            <w:tcW w:type="dxa" w:w="3524"/>
            <w:shd w:val="clear" w:color="auto" w:fill="E6ECF4"/>
          </w:tcPr>
          <w:p>
            <w:pPr>
              <w:spacing w:before="0" w:after="0"/>
            </w:pPr>
            <w:r>
              <w:rPr>
                <w:b/>
                <w:sz w:val="20"/>
              </w:rPr>
              <w:t>How the product seems</w:t>
            </w:r>
          </w:p>
        </w:tc>
      </w:tr>
      <w:tr>
        <w:trPr>
          <w:cantSplit/>
        </w:trPr>
        <w:tc>
          <w:tcPr>
            <w:tcW w:type="dxa" w:w="1512"/>
          </w:tcPr>
          <w:p>
            <w:pPr>
              <w:spacing w:before="0" w:after="0"/>
            </w:pPr>
            <w:r>
              <w:rPr>
                <w:sz w:val="20"/>
              </w:rPr>
              <w:t>Crowded</w:t>
            </w:r>
          </w:p>
        </w:tc>
        <w:tc>
          <w:tcPr>
            <w:tcW w:type="dxa" w:w="4602"/>
          </w:tcPr>
          <w:p>
            <w:pPr>
              <w:spacing w:before="0" w:after="0"/>
            </w:pPr>
            <w:r>
              <w:rPr>
                <w:sz w:val="20"/>
              </w:rPr>
              <w:t>Everything competes; orientation is lost; the load is high.</w:t>
            </w:r>
          </w:p>
        </w:tc>
        <w:tc>
          <w:tcPr>
            <w:tcW w:type="dxa" w:w="3524"/>
          </w:tcPr>
          <w:p>
            <w:pPr>
              <w:spacing w:before="0" w:after="0"/>
            </w:pPr>
            <w:r>
              <w:rPr>
                <w:sz w:val="20"/>
              </w:rPr>
              <w:t>Chaotic, less trustworthy.</w:t>
            </w:r>
          </w:p>
        </w:tc>
      </w:tr>
      <w:tr>
        <w:trPr>
          <w:cantSplit/>
        </w:trPr>
        <w:tc>
          <w:tcPr>
            <w:tcW w:type="dxa" w:w="1512"/>
          </w:tcPr>
          <w:p>
            <w:pPr>
              <w:spacing w:before="0" w:after="0"/>
            </w:pPr>
            <w:r>
              <w:rPr>
                <w:sz w:val="20"/>
              </w:rPr>
              <w:t>Balanced</w:t>
            </w:r>
          </w:p>
        </w:tc>
        <w:tc>
          <w:tcPr>
            <w:tcW w:type="dxa" w:w="4602"/>
          </w:tcPr>
          <w:p>
            <w:pPr>
              <w:spacing w:before="0" w:after="0"/>
            </w:pPr>
            <w:r>
              <w:rPr>
                <w:sz w:val="20"/>
              </w:rPr>
              <w:t>The main tasks are seen at once; the rest is close by.</w:t>
            </w:r>
          </w:p>
        </w:tc>
        <w:tc>
          <w:tcPr>
            <w:tcW w:type="dxa" w:w="3524"/>
          </w:tcPr>
          <w:p>
            <w:pPr>
              <w:spacing w:before="0" w:after="0"/>
            </w:pPr>
            <w:r>
              <w:rPr>
                <w:sz w:val="20"/>
              </w:rPr>
              <w:t>Calm, well run, of higher quality.</w:t>
            </w:r>
          </w:p>
        </w:tc>
      </w:tr>
      <w:tr>
        <w:trPr>
          <w:cantSplit/>
        </w:trPr>
        <w:tc>
          <w:tcPr>
            <w:tcW w:type="dxa" w:w="1512"/>
          </w:tcPr>
          <w:p>
            <w:pPr>
              <w:spacing w:before="0" w:after="0"/>
            </w:pPr>
            <w:r>
              <w:rPr>
                <w:sz w:val="20"/>
              </w:rPr>
              <w:t>Sparse</w:t>
            </w:r>
          </w:p>
        </w:tc>
        <w:tc>
          <w:tcPr>
            <w:tcW w:type="dxa" w:w="4602"/>
          </w:tcPr>
          <w:p>
            <w:pPr>
              <w:spacing w:before="0" w:after="0"/>
            </w:pPr>
            <w:r>
              <w:rPr>
                <w:sz w:val="20"/>
              </w:rPr>
              <w:t>Calm, but the tasks are behind menus; many clicks.</w:t>
            </w:r>
          </w:p>
        </w:tc>
        <w:tc>
          <w:tcPr>
            <w:tcW w:type="dxa" w:w="3524"/>
          </w:tcPr>
          <w:p>
            <w:pPr>
              <w:spacing w:before="0" w:after="0"/>
            </w:pPr>
            <w:r>
              <w:rPr>
                <w:sz w:val="20"/>
              </w:rPr>
              <w:t>Elegant, but it can seem empty or evasive.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Brightwater, Ana, Felix, Lea and Omar are made up for this example. Cognitive load follows Sweller (1988); the aesthetic-usability effect follows Kurosu and Kashimura (1995) and Tractinsky et al. (2000); simplicity as a facet of visual aesthetics follows Moshagen and Thielsch (2010).</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Count what the first screen asks the user to take in at once. Every extra element adds to the cognitive load.</w:t>
            </w:r>
          </w:p>
          <w:p>
            <w:pPr>
              <w:pStyle w:val="ListBullet"/>
              <w:spacing w:before="0" w:after="40"/>
            </w:pPr>
            <w:r>
              <w:rPr/>
              <w:t>A crowded page costs orientation; a very sparse one costs clicks. Choose the density for the task the page serves.</w:t>
            </w:r>
          </w:p>
          <w:p>
            <w:pPr>
              <w:pStyle w:val="ListBullet"/>
              <w:spacing w:before="0" w:after="40"/>
            </w:pPr>
            <w:r>
              <w:rPr/>
              <w:t>Visual order changes how good a product seems: a disordered page is judged less trustworthy before it is used.</w:t>
            </w:r>
          </w:p>
          <w:p>
            <w:pPr>
              <w:pStyle w:val="ListBullet"/>
              <w:spacing w:before="0" w:after="100"/>
            </w:pPr>
            <w:r>
              <w:rPr/>
              <w:t>On a phone the same content is longer and narrower, so density problems grow.</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Moshagen and Thielsch (2010) found four facets of how good a website looks: simplicity, diversity, colour and craftsmanship. Simplicity, the order and clarity of the layout, is the one a crowded page loses first. That is why an overloaded portal is judged not only harder to use but also of lower quality, even when its content is complete.</w:t>
            </w:r>
          </w:p>
        </w:tc>
      </w:tr>
    </w:tbl>
    <w:p>
      <w:pPr>
        <w:spacing w:before="0" w:after="80"/>
      </w:pPr>
    </w:p>
    <w:p>
      <w:pPr>
        <w:spacing w:before="80" w:after="160"/>
      </w:pPr>
      <w:r>
        <w:rPr>
          <w:b/>
          <w:color w:val="556274"/>
          <w:sz w:val="18"/>
        </w:rPr>
        <w:t xml:space="preserve">Sources · </w:t>
      </w:r>
      <w:r>
        <w:rPr>
          <w:color w:val="556274"/>
          <w:sz w:val="18"/>
        </w:rPr>
        <w:t>Sweller 1988 · Kurosu &amp; Kashimura 1995 · Moshagen &amp; Thielsch 2010 · Tractinsky et al. 2000</w:t>
      </w:r>
    </w:p>
    <w:p>
      <w:pPr>
        <w:pStyle w:val="Heading2"/>
      </w:pPr>
      <w:r>
        <w:rPr/>
        <w:t>A5 · Recognition instead of search, clarity instead of overload, and weighing a measure · 11 min · Core</w:t>
      </w:r>
    </w:p>
    <w:p>
      <w:pPr>
        <w:pBdr>
          <w:left w:val="single" w:sz="18" w:space="6" w:color="1750A8"/>
        </w:pBdr>
        <w:spacing w:before="40" w:after="120"/>
        <w:ind w:left="170"/>
      </w:pPr>
      <w:r>
        <w:rPr>
          <w:i/>
          <w:color w:val="556274"/>
          <w:sz w:val="22"/>
        </w:rPr>
        <w:t>Let people recognise instead of search, and give a few clear signals instead of many loud ones. To put measures in order, weigh each on effect on users, effort, risk and timeliness, with a reason.</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Two first principles of user guidance. Recognition instead of search: show people the options, words and next step so they can recognise them, instead of making them remember or hunt. Clarity instead of overload: a few clear signals do more than many loud ones. To put measures in order, weigh each one on the four questions Block 2.1 names: effect on users, effort (the time and the people it takes), risk and timeliness (how soon users notice it). The reason next to each rating matters more than the rating.</w:t>
            </w:r>
          </w:p>
          <w:p>
            <w:pPr>
              <w:spacing w:before="0" w:after="100"/>
            </w:pPr>
            <w:r>
              <w:rPr>
                <w:b/>
              </w:rPr>
              <w:t>Why it matters.</w:t>
            </w:r>
            <w:r>
              <w:rPr/>
              <w:t xml:space="preserve"> Block 1.1 asks for the two biggest hurdles for an inexperienced user, Block 1.2 asks you to rate start pages on findability and focus, and Block 2.1 asks you to rate four measures on effect, effort, risk and timeliness and to decide what comes first. The example uses Brightwater and its own measures, so the answer for the task cases is not given.</w:t>
            </w:r>
          </w:p>
          <w:p>
            <w:pPr>
              <w:spacing w:before="0" w:after="100"/>
            </w:pPr>
            <w:r>
              <w:rPr>
                <w:b/>
              </w:rPr>
              <w:t>How to read the picture.</w:t>
            </w:r>
            <w:r>
              <w:rPr/>
              <w:t xml:space="preserve"> Three measures Brightwater considered, rated on effect on users, effort, risk and timeliness. A rating is a reading of the example, not a mark.</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699162"/>
            <wp:docPr id="6" name="Picture 6"/>
            <wp:cNvGraphicFramePr>
              <a:graphicFrameLocks noChangeAspect="1"/>
            </wp:cNvGraphicFramePr>
            <a:graphic>
              <a:graphicData uri="http://schemas.openxmlformats.org/drawingml/2006/picture">
                <pic:pic>
                  <pic:nvPicPr>
                    <pic:cNvPr id="0" name="d2_A5_0-7d866c63f4d2.png"/>
                    <pic:cNvPicPr/>
                  </pic:nvPicPr>
                  <pic:blipFill>
                    <a:blip r:embed="rId15"/>
                    <a:stretch>
                      <a:fillRect/>
                    </a:stretch>
                  </pic:blipFill>
                  <pic:spPr>
                    <a:xfrm>
                      <a:off x="0" y="0"/>
                      <a:ext cx="5940000" cy="3699162"/>
                    </a:xfrm>
                    <a:prstGeom prst="rect"/>
                  </pic:spPr>
                </pic:pic>
              </a:graphicData>
            </a:graphic>
          </wp:inline>
        </w:drawing>
      </w:r>
    </w:p>
    <w:p>
      <w:pPr>
        <w:spacing w:before="0" w:after="160"/>
        <w:jc w:val="center"/>
      </w:pPr>
      <w:r>
        <w:rPr>
          <w:i/>
          <w:color w:val="556274"/>
          <w:sz w:val="18"/>
        </w:rPr>
        <w:t>Figure 6 · Brightwater weighs three measures on effect on users, effort, risk and timeliness.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Brightwater, Ana, Felix, Lea and Omar are made up for this example. Recognition rather than recall and aesthetic and minimalist design are Nielsen's heuristics (1994); rating options on the same criteria with a reason follows Gibbons (2018). The four criteria are the ones the plan names for the case study.</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Recognition instead of search: show the options, the words and the next step so people recognise them, instead of making them remember or hunt.</w:t>
            </w:r>
          </w:p>
          <w:p>
            <w:pPr>
              <w:pStyle w:val="ListBullet"/>
              <w:spacing w:before="0" w:after="40"/>
            </w:pPr>
            <w:r>
              <w:rPr/>
              <w:t>Clarity instead of overload: one main action per screen, a visible search, and only the signals that help the task.</w:t>
            </w:r>
          </w:p>
          <w:p>
            <w:pPr>
              <w:pStyle w:val="ListBullet"/>
              <w:spacing w:before="0" w:after="40"/>
            </w:pPr>
            <w:r>
              <w:rPr/>
              <w:t>Rate every measure on the same four questions: effect on users, effort (the time and the people it takes), risk, timeliness (how soon users notice it).</w:t>
            </w:r>
          </w:p>
          <w:p>
            <w:pPr>
              <w:pStyle w:val="ListBullet"/>
              <w:spacing w:before="0" w:after="40"/>
            </w:pPr>
            <w:r>
              <w:rPr/>
              <w:t>A rating is a judgement with a reason, never a mark. A different order with a better reason is a better answer.</w:t>
            </w:r>
          </w:p>
          <w:p>
            <w:pPr>
              <w:pStyle w:val="ListBullet"/>
              <w:spacing w:before="0" w:after="100"/>
            </w:pPr>
            <w:r>
              <w:rPr/>
              <w:t>A measure with a high effect, little effort, low risk and a quick result usually comes first; a larger, strategic one can still be started early.</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Effort on this course is always time and people: who has to work on a measure and for how long. That keeps the comparison honest when the money is fixed, and it shows where a measure needs a department's time, such as agreeing new names, rather than a developer's.</w:t>
            </w:r>
          </w:p>
        </w:tc>
      </w:tr>
    </w:tbl>
    <w:p>
      <w:pPr>
        <w:spacing w:before="0" w:after="80"/>
      </w:pPr>
    </w:p>
    <w:p>
      <w:pPr>
        <w:spacing w:before="80" w:after="160"/>
      </w:pPr>
      <w:r>
        <w:rPr>
          <w:b/>
          <w:color w:val="556274"/>
          <w:sz w:val="18"/>
        </w:rPr>
        <w:t xml:space="preserve">Sources · </w:t>
      </w:r>
      <w:r>
        <w:rPr>
          <w:color w:val="556274"/>
          <w:sz w:val="18"/>
        </w:rPr>
        <w:t>Nielsen 1994 · Krug 2014 · Gibbons 2018</w:t>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led by the facilitator. Level 3 in the Chief Experience Officer's chair: a guiding vision of user-centred design, three strategic decisions, an order of the areas to rework, a risk analysis, a governance model, one decision under uncertainty and a statement to the management. The cards give you the ideas you use in Task 2.</w:t>
            </w:r>
          </w:p>
        </w:tc>
      </w:tr>
    </w:tbl>
    <w:p>
      <w:pPr>
        <w:spacing w:before="0" w:after="80"/>
      </w:pPr>
    </w:p>
    <w:p>
      <w:pPr>
        <w:pStyle w:val="Heading2"/>
      </w:pPr>
      <w:r>
        <w:rPr/>
        <w:t>B1 · Inside logic against user logic: why good UI decisions come from the user's side · 20 min · Core</w:t>
      </w:r>
    </w:p>
    <w:p>
      <w:pPr>
        <w:pBdr>
          <w:left w:val="single" w:sz="18" w:space="6" w:color="1750A8"/>
        </w:pBdr>
        <w:spacing w:before="40" w:after="120"/>
        <w:ind w:left="170"/>
      </w:pPr>
      <w:r>
        <w:rPr>
          <w:i/>
          <w:color w:val="556274"/>
          <w:sz w:val="22"/>
        </w:rPr>
        <w:t>Organisations tend to build what mirrors their own structure. Good UI decisions start from the users' tasks and words and work back to screens, structures and owners.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Organisations tend to build their digital services the way they are built themselves: one menu item per department, one page layout per team, the organisation's own words. Users do not know the organisation chart; they know their task. Good UI decisions therefore start from the users' tasks and words and work back to screens, structures and owners. When the inside logic wins, users search instead of being guided, and the problem is no longer a design problem but one of how the organisation decides.</w:t>
            </w:r>
          </w:p>
          <w:p>
            <w:pPr>
              <w:spacing w:before="0" w:after="100"/>
            </w:pPr>
            <w:r>
              <w:rPr>
                <w:b/>
              </w:rPr>
              <w:t>Why it matters.</w:t>
            </w:r>
            <w:r>
              <w:rPr/>
              <w:t xml:space="preserve"> Block 3.1 asks for a guiding vision, three decisions on orientation, structure, information priority and guidance, and an order of the areas to rework, for an organisation that discusses colours while the cause lies in its structure. You work from the users' tasks, not from the organisation chart.</w:t>
            </w:r>
          </w:p>
          <w:p>
            <w:pPr>
              <w:spacing w:before="0" w:after="100"/>
            </w:pPr>
            <w:r>
              <w:rPr>
                <w:b/>
              </w:rPr>
              <w:t>How to read the picture.</w:t>
            </w:r>
            <w:r>
              <w:rPr/>
              <w:t xml:space="preserve"> Left the same Brightwater services ordered by the inside logic, right by the users' tasks. Below, the chain from a single screen to the structure behind it.</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968144"/>
            <wp:docPr id="7" name="Picture 7"/>
            <wp:cNvGraphicFramePr>
              <a:graphicFrameLocks noChangeAspect="1"/>
            </wp:cNvGraphicFramePr>
            <a:graphic>
              <a:graphicData uri="http://schemas.openxmlformats.org/drawingml/2006/picture">
                <pic:pic>
                  <pic:nvPicPr>
                    <pic:cNvPr id="0" name="d2_B1_0-dd07638f4028.png"/>
                    <pic:cNvPicPr/>
                  </pic:nvPicPr>
                  <pic:blipFill>
                    <a:blip r:embed="rId16"/>
                    <a:stretch>
                      <a:fillRect/>
                    </a:stretch>
                  </pic:blipFill>
                  <pic:spPr>
                    <a:xfrm>
                      <a:off x="0" y="0"/>
                      <a:ext cx="5940000" cy="1968144"/>
                    </a:xfrm>
                    <a:prstGeom prst="rect"/>
                  </pic:spPr>
                </pic:pic>
              </a:graphicData>
            </a:graphic>
          </wp:inline>
        </w:drawing>
      </w:r>
    </w:p>
    <w:p>
      <w:pPr>
        <w:spacing w:before="0" w:after="160"/>
        <w:jc w:val="center"/>
      </w:pPr>
      <w:r>
        <w:rPr>
          <w:i/>
          <w:color w:val="556274"/>
          <w:sz w:val="18"/>
        </w:rPr>
        <w:t>Figure 7 · The same Brightwater services ordered by the inside logic and by the users' tasks.</w:t>
      </w:r>
    </w:p>
    <w:p>
      <w:pPr>
        <w:keepNext/>
        <w:spacing w:before="80" w:after="40"/>
        <w:jc w:val="center"/>
      </w:pPr>
      <w:r>
        <w:drawing>
          <wp:inline xmlns:a="http://schemas.openxmlformats.org/drawingml/2006/main" xmlns:pic="http://schemas.openxmlformats.org/drawingml/2006/picture">
            <wp:extent cx="5940000" cy="1478084"/>
            <wp:docPr id="8" name="Picture 8"/>
            <wp:cNvGraphicFramePr>
              <a:graphicFrameLocks noChangeAspect="1"/>
            </wp:cNvGraphicFramePr>
            <a:graphic>
              <a:graphicData uri="http://schemas.openxmlformats.org/drawingml/2006/picture">
                <pic:pic>
                  <pic:nvPicPr>
                    <pic:cNvPr id="0" name="d2_B1_1-55a3811bcca7.png"/>
                    <pic:cNvPicPr/>
                  </pic:nvPicPr>
                  <pic:blipFill>
                    <a:blip r:embed="rId17"/>
                    <a:stretch>
                      <a:fillRect/>
                    </a:stretch>
                  </pic:blipFill>
                  <pic:spPr>
                    <a:xfrm>
                      <a:off x="0" y="0"/>
                      <a:ext cx="5940000" cy="1478084"/>
                    </a:xfrm>
                    <a:prstGeom prst="rect"/>
                  </pic:spPr>
                </pic:pic>
              </a:graphicData>
            </a:graphic>
          </wp:inline>
        </w:drawing>
      </w:r>
    </w:p>
    <w:p>
      <w:pPr>
        <w:spacing w:before="0" w:after="160"/>
        <w:jc w:val="center"/>
      </w:pPr>
      <w:r>
        <w:rPr>
          <w:i/>
          <w:color w:val="556274"/>
          <w:sz w:val="18"/>
        </w:rPr>
        <w:t>Figure 8 · From a single screen to the structure behind it.</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Brightwater, Ana, Felix, Lea and Omar are made up for this example. That organisations build what mirrors their communication structure follows Conway (1968); labelling in the users' language follows Rosenfeld, Morville and Arango (2015); card sorting follows Spencer (2009).</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Look for the organisation chart in the interface: menu items per department, page layouts per team, the organisation's words.</w:t>
            </w:r>
          </w:p>
          <w:p>
            <w:pPr>
              <w:pStyle w:val="ListBullet"/>
              <w:spacing w:before="0" w:after="40"/>
            </w:pPr>
            <w:r>
              <w:rPr/>
              <w:t>Start from the users' tasks: name and order everything by what people come to do.</w:t>
            </w:r>
          </w:p>
          <w:p>
            <w:pPr>
              <w:pStyle w:val="ListBullet"/>
              <w:spacing w:before="0" w:after="40"/>
            </w:pPr>
            <w:r>
              <w:rPr/>
              <w:t>When a problem keeps coming back on the screen, look further down: the structure, the information architecture, who owns them.</w:t>
            </w:r>
          </w:p>
          <w:p>
            <w:pPr>
              <w:pStyle w:val="ListBullet"/>
              <w:spacing w:before="0" w:after="40"/>
            </w:pPr>
            <w:r>
              <w:rPr/>
              <w:t>Discussions about colours and single screens are a sign that nobody owns the structure.</w:t>
            </w:r>
          </w:p>
          <w:p>
            <w:pPr>
              <w:pStyle w:val="ListBullet"/>
              <w:spacing w:before="0" w:after="100"/>
            </w:pPr>
            <w:r>
              <w:rPr/>
              <w:t>Find the users' logic with them, for example with a card sort, instead of guessing it from the inside.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card sort is simple: write the names of the content on cards, ask a few users to group them and name the groups, and compare their groups with your menu. Where users put things together that your menu keeps apart, the structure follows the inside logic.</w:t>
            </w:r>
          </w:p>
        </w:tc>
      </w:tr>
    </w:tbl>
    <w:p>
      <w:pPr>
        <w:spacing w:before="0" w:after="80"/>
      </w:pPr>
    </w:p>
    <w:p>
      <w:pPr>
        <w:spacing w:before="80" w:after="160"/>
      </w:pPr>
      <w:r>
        <w:rPr>
          <w:b/>
          <w:color w:val="556274"/>
          <w:sz w:val="18"/>
        </w:rPr>
        <w:t xml:space="preserve">Sources · </w:t>
      </w:r>
      <w:r>
        <w:rPr>
          <w:color w:val="556274"/>
          <w:sz w:val="18"/>
        </w:rPr>
        <w:t>Conway 1968 · Rosenfeld et al. 2015 · Spencer 2009</w:t>
      </w:r>
    </w:p>
    <w:p>
      <w:pPr>
        <w:pStyle w:val="Heading2"/>
      </w:pPr>
      <w:r>
        <w:rPr/>
        <w:t>B2 · Conflicts of goals: much information against simplicity, stakeholders against users · 20 min · Core</w:t>
      </w:r>
    </w:p>
    <w:p>
      <w:pPr>
        <w:pBdr>
          <w:left w:val="single" w:sz="18" w:space="6" w:color="1750A8"/>
        </w:pBdr>
        <w:spacing w:before="40" w:after="120"/>
        <w:ind w:left="170"/>
      </w:pPr>
      <w:r>
        <w:rPr>
          <w:i/>
          <w:color w:val="556274"/>
          <w:sz w:val="22"/>
        </w:rPr>
        <w:t>Much information against simplicity, standardisation against fit, stakeholders against users: the goals pull against each other. Show the few central tasks first and the rest one step deeper.</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In user-centred design the goals pull against each other. Much information on the first page helps the department that wants everything seen, and hurts the user who needs relief. One standard for every page helps IT and predictability, and limits what a team can adapt. Activation helps marketing and can cost focus. A common way through is to show the few central tasks first and the rest one step deeper (progressive disclosure). The work is to name the conflict, choose, and say what you give up.</w:t>
            </w:r>
          </w:p>
          <w:p>
            <w:pPr>
              <w:spacing w:before="0" w:after="100"/>
            </w:pPr>
            <w:r>
              <w:rPr>
                <w:b/>
              </w:rPr>
              <w:t>Why it matters.</w:t>
            </w:r>
            <w:r>
              <w:rPr/>
              <w:t xml:space="preserve"> Block 3.1 asks for three guiding decisions, a risk analysis and a governance model for stakeholders with different goals. Each of these is a decision between conflicting goals.</w:t>
            </w:r>
          </w:p>
          <w:p>
            <w:pPr>
              <w:spacing w:before="0" w:after="100"/>
            </w:pPr>
            <w:r>
              <w:rPr>
                <w:b/>
              </w:rPr>
              <w:t>How to read the picture.</w:t>
            </w:r>
            <w:r>
              <w:rPr/>
              <w:t xml:space="preserve"> The matrix places five Brightwater start pages by how much they show at once (to the right) and how easily people find their task (upwards). A position is a reading of the example, not a score.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612095"/>
            <wp:docPr id="9" name="Picture 9"/>
            <wp:cNvGraphicFramePr>
              <a:graphicFrameLocks noChangeAspect="1"/>
            </wp:cNvGraphicFramePr>
            <a:graphic>
              <a:graphicData uri="http://schemas.openxmlformats.org/drawingml/2006/picture">
                <pic:pic>
                  <pic:nvPicPr>
                    <pic:cNvPr id="0" name="d2_B2_0-6376f638784b.png"/>
                    <pic:cNvPicPr/>
                  </pic:nvPicPr>
                  <pic:blipFill>
                    <a:blip r:embed="rId18"/>
                    <a:stretch>
                      <a:fillRect/>
                    </a:stretch>
                  </pic:blipFill>
                  <pic:spPr>
                    <a:xfrm>
                      <a:off x="0" y="0"/>
                      <a:ext cx="5940000" cy="4612095"/>
                    </a:xfrm>
                    <a:prstGeom prst="rect"/>
                  </pic:spPr>
                </pic:pic>
              </a:graphicData>
            </a:graphic>
          </wp:inline>
        </w:drawing>
      </w:r>
    </w:p>
    <w:p>
      <w:pPr>
        <w:spacing w:before="0" w:after="160"/>
        <w:jc w:val="center"/>
      </w:pPr>
      <w:r>
        <w:rPr>
          <w:i/>
          <w:color w:val="556274"/>
          <w:sz w:val="18"/>
        </w:rPr>
        <w:t>Figure 9 · Five Brightwater start pages by how much they show and how easily people find their task · Exploratory.</w:t>
      </w:r>
    </w:p>
    <w:p>
      <w:pPr>
        <w:spacing w:before="0" w:after="100"/>
      </w:pPr>
      <w:r>
        <w:rPr>
          <w:b/>
        </w:rPr>
        <w:t>Three standing conflicts of user-centred design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717"/>
        <w:gridCol w:w="3847"/>
        <w:gridCol w:w="3074"/>
      </w:tblGrid>
      <w:tr>
        <w:trPr>
          <w:cantSplit/>
          <w:tblHeader/>
        </w:trPr>
        <w:tc>
          <w:tcPr>
            <w:tcW w:type="dxa" w:w="2717"/>
            <w:shd w:val="clear" w:color="auto" w:fill="E6ECF4"/>
          </w:tcPr>
          <w:p>
            <w:pPr>
              <w:spacing w:before="0" w:after="0"/>
            </w:pPr>
            <w:r>
              <w:rPr>
                <w:b/>
                <w:sz w:val="20"/>
              </w:rPr>
              <w:t>Conflict</w:t>
            </w:r>
          </w:p>
        </w:tc>
        <w:tc>
          <w:tcPr>
            <w:tcW w:type="dxa" w:w="3847"/>
            <w:shd w:val="clear" w:color="auto" w:fill="E6ECF4"/>
          </w:tcPr>
          <w:p>
            <w:pPr>
              <w:spacing w:before="0" w:after="0"/>
            </w:pPr>
            <w:r>
              <w:rPr>
                <w:b/>
                <w:sz w:val="20"/>
              </w:rPr>
              <w:t>Who usually stands for each side</w:t>
            </w:r>
          </w:p>
        </w:tc>
        <w:tc>
          <w:tcPr>
            <w:tcW w:type="dxa" w:w="3074"/>
            <w:shd w:val="clear" w:color="auto" w:fill="E6ECF4"/>
          </w:tcPr>
          <w:p>
            <w:pPr>
              <w:spacing w:before="0" w:after="0"/>
            </w:pPr>
            <w:r>
              <w:rPr>
                <w:b/>
                <w:sz w:val="20"/>
              </w:rPr>
              <w:t>What to ask</w:t>
            </w:r>
          </w:p>
        </w:tc>
      </w:tr>
      <w:tr>
        <w:trPr>
          <w:cantSplit/>
        </w:trPr>
        <w:tc>
          <w:tcPr>
            <w:tcW w:type="dxa" w:w="2717"/>
          </w:tcPr>
          <w:p>
            <w:pPr>
              <w:spacing w:before="0" w:after="0"/>
            </w:pPr>
            <w:r>
              <w:rPr>
                <w:sz w:val="20"/>
              </w:rPr>
              <w:t>Much information against simplicity</w:t>
            </w:r>
          </w:p>
        </w:tc>
        <w:tc>
          <w:tcPr>
            <w:tcW w:type="dxa" w:w="3847"/>
          </w:tcPr>
          <w:p>
            <w:pPr>
              <w:spacing w:before="0" w:after="0"/>
            </w:pPr>
            <w:r>
              <w:rPr>
                <w:sz w:val="20"/>
              </w:rPr>
              <w:t>A department that wants everything seen, against users who need relief.</w:t>
            </w:r>
          </w:p>
        </w:tc>
        <w:tc>
          <w:tcPr>
            <w:tcW w:type="dxa" w:w="3074"/>
          </w:tcPr>
          <w:p>
            <w:pPr>
              <w:spacing w:before="0" w:after="0"/>
            </w:pPr>
            <w:r>
              <w:rPr>
                <w:sz w:val="20"/>
              </w:rPr>
              <w:t>What do most users need first, and what can be one step deeper?</w:t>
            </w:r>
          </w:p>
        </w:tc>
      </w:tr>
      <w:tr>
        <w:trPr>
          <w:cantSplit/>
        </w:trPr>
        <w:tc>
          <w:tcPr>
            <w:tcW w:type="dxa" w:w="2717"/>
          </w:tcPr>
          <w:p>
            <w:pPr>
              <w:spacing w:before="0" w:after="0"/>
            </w:pPr>
            <w:r>
              <w:rPr>
                <w:sz w:val="20"/>
              </w:rPr>
              <w:t>Standardisation against fit</w:t>
            </w:r>
          </w:p>
        </w:tc>
        <w:tc>
          <w:tcPr>
            <w:tcW w:type="dxa" w:w="3847"/>
          </w:tcPr>
          <w:p>
            <w:pPr>
              <w:spacing w:before="0" w:after="0"/>
            </w:pPr>
            <w:r>
              <w:rPr>
                <w:sz w:val="20"/>
              </w:rPr>
              <w:t>IT and predictability, against a team with a special case.</w:t>
            </w:r>
          </w:p>
        </w:tc>
        <w:tc>
          <w:tcPr>
            <w:tcW w:type="dxa" w:w="3074"/>
          </w:tcPr>
          <w:p>
            <w:pPr>
              <w:spacing w:before="0" w:after="0"/>
            </w:pPr>
            <w:r>
              <w:rPr>
                <w:sz w:val="20"/>
              </w:rPr>
              <w:t>Does the special case really need its own structure?</w:t>
            </w:r>
          </w:p>
        </w:tc>
      </w:tr>
      <w:tr>
        <w:trPr>
          <w:cantSplit/>
        </w:trPr>
        <w:tc>
          <w:tcPr>
            <w:tcW w:type="dxa" w:w="2717"/>
          </w:tcPr>
          <w:p>
            <w:pPr>
              <w:spacing w:before="0" w:after="0"/>
            </w:pPr>
            <w:r>
              <w:rPr>
                <w:sz w:val="20"/>
              </w:rPr>
              <w:t>Stakeholders against users</w:t>
            </w:r>
          </w:p>
        </w:tc>
        <w:tc>
          <w:tcPr>
            <w:tcW w:type="dxa" w:w="3847"/>
          </w:tcPr>
          <w:p>
            <w:pPr>
              <w:spacing w:before="0" w:after="0"/>
            </w:pPr>
            <w:r>
              <w:rPr>
                <w:sz w:val="20"/>
              </w:rPr>
              <w:t>Marketing's activation, a department's visibility, against the users' task.</w:t>
            </w:r>
          </w:p>
        </w:tc>
        <w:tc>
          <w:tcPr>
            <w:tcW w:type="dxa" w:w="3074"/>
          </w:tcPr>
          <w:p>
            <w:pPr>
              <w:spacing w:before="0" w:after="0"/>
            </w:pPr>
            <w:r>
              <w:rPr>
                <w:sz w:val="20"/>
              </w:rPr>
              <w:t>Whose goal does this element serve, and at what cost to the task?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Brightwater, Ana, Felix, Lea and Omar are made up for this example. Progressive disclosure follows Nielsen (2006); the matrix is a reading of the example, not a score.</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the conflict as two goals before you choose between them, and say who stands for each.</w:t>
            </w:r>
          </w:p>
          <w:p>
            <w:pPr>
              <w:pStyle w:val="ListBullet"/>
              <w:spacing w:before="0" w:after="40"/>
            </w:pPr>
            <w:r>
              <w:rPr/>
              <w:t>More on the first page is not better findability; past a point it is worse.</w:t>
            </w:r>
          </w:p>
          <w:p>
            <w:pPr>
              <w:pStyle w:val="ListBullet"/>
              <w:spacing w:before="0" w:after="40"/>
            </w:pPr>
            <w:r>
              <w:rPr/>
              <w:t>Progressive disclosure: the few central tasks first, the rest on request, so the first screen stays clear.</w:t>
            </w:r>
          </w:p>
          <w:p>
            <w:pPr>
              <w:pStyle w:val="ListBullet"/>
              <w:spacing w:before="0" w:after="40"/>
            </w:pPr>
            <w:r>
              <w:rPr/>
              <w:t>A standard for every page helps predictability and IT; say where it does not fit and what happens then.</w:t>
            </w:r>
          </w:p>
          <w:p>
            <w:pPr>
              <w:pStyle w:val="ListBullet"/>
              <w:spacing w:before="0" w:after="100"/>
            </w:pPr>
            <w:r>
              <w:rPr/>
              <w:t>Say what the choice gives up; a decision that gives up nothing has not been made.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Progressive disclosure has one condition: the first level must hold what most people need most of the time. If it does not, people dig through the second level for everything and the design is slower than a crowded page. Choosing the first level is therefore the real decision, and it needs evidence about the users' tasks.</w:t>
            </w:r>
          </w:p>
        </w:tc>
      </w:tr>
    </w:tbl>
    <w:p>
      <w:pPr>
        <w:spacing w:before="0" w:after="80"/>
      </w:pPr>
    </w:p>
    <w:p>
      <w:pPr>
        <w:spacing w:before="80" w:after="160"/>
      </w:pPr>
      <w:r>
        <w:rPr>
          <w:b/>
          <w:color w:val="556274"/>
          <w:sz w:val="18"/>
        </w:rPr>
        <w:t xml:space="preserve">Sources · </w:t>
      </w:r>
      <w:r>
        <w:rPr>
          <w:color w:val="556274"/>
          <w:sz w:val="18"/>
        </w:rPr>
        <w:t>Nielsen 2006 · Gibbons 2018 · Krug 2014</w:t>
      </w:r>
    </w:p>
    <w:p>
      <w:pPr>
        <w:pStyle w:val="Heading2"/>
      </w:pPr>
      <w:r>
        <w:rPr/>
        <w:t>B3 · User-centredness as the basis of accountable decisions: who owns the structure, and deciding with partial data · 20 min · Core</w:t>
      </w:r>
    </w:p>
    <w:p>
      <w:pPr>
        <w:pBdr>
          <w:left w:val="single" w:sz="18" w:space="6" w:color="1750A8"/>
        </w:pBdr>
        <w:spacing w:before="40" w:after="120"/>
        <w:ind w:left="170"/>
      </w:pPr>
      <w:r>
        <w:rPr>
          <w:i/>
          <w:color w:val="556274"/>
          <w:sz w:val="22"/>
        </w:rPr>
        <w:t>User-centredness lasts only when someone owns it. A decision with partial data says what it decides, what it does not know, when it would reverse it and what it gives up.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User-centredness only lasts when someone is responsible for it: who owns the structure and the words across all touchpoints, who answers for what users experience, and how a conflict between departments is settled. Because the data is rarely complete, a decision under uncertainty says four things: what you decide, what you do not know, when you would reverse it, and what you give up. A wrong priority is not neutral; it shows up as support effort and dissatisfied users.</w:t>
            </w:r>
          </w:p>
          <w:p>
            <w:pPr>
              <w:spacing w:before="0" w:after="100"/>
            </w:pPr>
            <w:r>
              <w:rPr>
                <w:b/>
              </w:rPr>
              <w:t>Why it matters.</w:t>
            </w:r>
            <w:r>
              <w:rPr/>
              <w:t xml:space="preserve"> Block 3.1 asks for a governance model, a decision under uncertainty that you can still justify, and a statement to the management. This card gives you the parts of each.</w:t>
            </w:r>
          </w:p>
          <w:p>
            <w:pPr>
              <w:spacing w:before="0" w:after="100"/>
            </w:pPr>
            <w:r>
              <w:rPr>
                <w:b/>
              </w:rPr>
              <w:t>How to read the picture.</w:t>
            </w:r>
            <w:r>
              <w:rPr/>
              <w:t xml:space="preserve"> The four boxes at the top are the parts of a decision, filled in for Brightwater. The two boxes below are the rule for future decisions.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153892"/>
            <wp:docPr id="10" name="Picture 10"/>
            <wp:cNvGraphicFramePr>
              <a:graphicFrameLocks noChangeAspect="1"/>
            </wp:cNvGraphicFramePr>
            <a:graphic>
              <a:graphicData uri="http://schemas.openxmlformats.org/drawingml/2006/picture">
                <pic:pic>
                  <pic:nvPicPr>
                    <pic:cNvPr id="0" name="d2_B3_0-1dc696b84a78.png"/>
                    <pic:cNvPicPr/>
                  </pic:nvPicPr>
                  <pic:blipFill>
                    <a:blip r:embed="rId19"/>
                    <a:stretch>
                      <a:fillRect/>
                    </a:stretch>
                  </pic:blipFill>
                  <pic:spPr>
                    <a:xfrm>
                      <a:off x="0" y="0"/>
                      <a:ext cx="5940000" cy="2153892"/>
                    </a:xfrm>
                    <a:prstGeom prst="rect"/>
                  </pic:spPr>
                </pic:pic>
              </a:graphicData>
            </a:graphic>
          </wp:inline>
        </w:drawing>
      </w:r>
    </w:p>
    <w:p>
      <w:pPr>
        <w:spacing w:before="0" w:after="160"/>
        <w:jc w:val="center"/>
      </w:pPr>
      <w:r>
        <w:rPr>
          <w:i/>
          <w:color w:val="556274"/>
          <w:sz w:val="18"/>
        </w:rPr>
        <w:t>Figure 10 · A decision under uncertainty, filled in for Brightwater.</w:t>
      </w:r>
    </w:p>
    <w:p>
      <w:pPr>
        <w:spacing w:before="0" w:after="100"/>
      </w:pPr>
      <w:r>
        <w:rPr>
          <w:b/>
        </w:rPr>
        <w:t>Three parts of a governance model for user-centred design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95"/>
        <w:gridCol w:w="3817"/>
        <w:gridCol w:w="3926"/>
      </w:tblGrid>
      <w:tr>
        <w:trPr>
          <w:cantSplit/>
          <w:tblHeader/>
        </w:trPr>
        <w:tc>
          <w:tcPr>
            <w:tcW w:type="dxa" w:w="1895"/>
            <w:shd w:val="clear" w:color="auto" w:fill="E6ECF4"/>
          </w:tcPr>
          <w:p>
            <w:pPr>
              <w:spacing w:before="0" w:after="0"/>
            </w:pPr>
            <w:r>
              <w:rPr>
                <w:b/>
                <w:sz w:val="20"/>
              </w:rPr>
              <w:t>Part</w:t>
            </w:r>
          </w:p>
        </w:tc>
        <w:tc>
          <w:tcPr>
            <w:tcW w:type="dxa" w:w="3817"/>
            <w:shd w:val="clear" w:color="auto" w:fill="E6ECF4"/>
          </w:tcPr>
          <w:p>
            <w:pPr>
              <w:spacing w:before="0" w:after="0"/>
            </w:pPr>
            <w:r>
              <w:rPr>
                <w:b/>
                <w:sz w:val="20"/>
              </w:rPr>
              <w:t>The question</w:t>
            </w:r>
          </w:p>
        </w:tc>
        <w:tc>
          <w:tcPr>
            <w:tcW w:type="dxa" w:w="3926"/>
            <w:shd w:val="clear" w:color="auto" w:fill="E6ECF4"/>
          </w:tcPr>
          <w:p>
            <w:pPr>
              <w:spacing w:before="0" w:after="0"/>
            </w:pPr>
            <w:r>
              <w:rPr>
                <w:b/>
                <w:sz w:val="20"/>
              </w:rPr>
              <w:t>An example (Brightwater)</w:t>
            </w:r>
          </w:p>
        </w:tc>
      </w:tr>
      <w:tr>
        <w:trPr>
          <w:cantSplit/>
        </w:trPr>
        <w:tc>
          <w:tcPr>
            <w:tcW w:type="dxa" w:w="1895"/>
          </w:tcPr>
          <w:p>
            <w:pPr>
              <w:spacing w:before="0" w:after="0"/>
            </w:pPr>
            <w:r>
              <w:rPr>
                <w:sz w:val="20"/>
              </w:rPr>
              <w:t>Who owns what</w:t>
            </w:r>
          </w:p>
        </w:tc>
        <w:tc>
          <w:tcPr>
            <w:tcW w:type="dxa" w:w="3817"/>
          </w:tcPr>
          <w:p>
            <w:pPr>
              <w:spacing w:before="0" w:after="0"/>
            </w:pPr>
            <w:r>
              <w:rPr>
                <w:sz w:val="20"/>
              </w:rPr>
              <w:t>Who owns the structure, the names and the page patterns; who owns the content?</w:t>
            </w:r>
          </w:p>
        </w:tc>
        <w:tc>
          <w:tcPr>
            <w:tcW w:type="dxa" w:w="3926"/>
          </w:tcPr>
          <w:p>
            <w:pPr>
              <w:spacing w:before="0" w:after="0"/>
            </w:pPr>
            <w:r>
              <w:rPr>
                <w:sz w:val="20"/>
              </w:rPr>
              <w:t>Digital services own the structure; each department owns its texts.</w:t>
            </w:r>
          </w:p>
        </w:tc>
      </w:tr>
      <w:tr>
        <w:trPr>
          <w:cantSplit/>
        </w:trPr>
        <w:tc>
          <w:tcPr>
            <w:tcW w:type="dxa" w:w="1895"/>
          </w:tcPr>
          <w:p>
            <w:pPr>
              <w:spacing w:before="0" w:after="0"/>
            </w:pPr>
            <w:r>
              <w:rPr>
                <w:sz w:val="20"/>
              </w:rPr>
              <w:t>Who answers for it</w:t>
            </w:r>
          </w:p>
        </w:tc>
        <w:tc>
          <w:tcPr>
            <w:tcW w:type="dxa" w:w="3817"/>
          </w:tcPr>
          <w:p>
            <w:pPr>
              <w:spacing w:before="0" w:after="0"/>
            </w:pPr>
            <w:r>
              <w:rPr>
                <w:sz w:val="20"/>
              </w:rPr>
              <w:t>Who answers for what users experience across touchpoints?</w:t>
            </w:r>
          </w:p>
        </w:tc>
        <w:tc>
          <w:tcPr>
            <w:tcW w:type="dxa" w:w="3926"/>
          </w:tcPr>
          <w:p>
            <w:pPr>
              <w:spacing w:before="0" w:after="0"/>
            </w:pPr>
            <w:r>
              <w:rPr>
                <w:sz w:val="20"/>
              </w:rPr>
              <w:t>The head of digital services.</w:t>
            </w:r>
          </w:p>
        </w:tc>
      </w:tr>
      <w:tr>
        <w:trPr>
          <w:cantSplit/>
        </w:trPr>
        <w:tc>
          <w:tcPr>
            <w:tcW w:type="dxa" w:w="1895"/>
          </w:tcPr>
          <w:p>
            <w:pPr>
              <w:spacing w:before="0" w:after="0"/>
            </w:pPr>
            <w:r>
              <w:rPr>
                <w:sz w:val="20"/>
              </w:rPr>
              <w:t>How conflicts are settled</w:t>
            </w:r>
          </w:p>
        </w:tc>
        <w:tc>
          <w:tcPr>
            <w:tcW w:type="dxa" w:w="3817"/>
          </w:tcPr>
          <w:p>
            <w:pPr>
              <w:spacing w:before="0" w:after="0"/>
            </w:pPr>
            <w:r>
              <w:rPr>
                <w:sz w:val="20"/>
              </w:rPr>
              <w:t>What happens when departments want different things?</w:t>
            </w:r>
          </w:p>
        </w:tc>
        <w:tc>
          <w:tcPr>
            <w:tcW w:type="dxa" w:w="3926"/>
          </w:tcPr>
          <w:p>
            <w:pPr>
              <w:spacing w:before="0" w:after="0"/>
            </w:pPr>
            <w:r>
              <w:rPr>
                <w:sz w:val="20"/>
              </w:rPr>
              <w:t>The visitors' task decides, shown by calls, searches and tests; the director settles a tie.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Brightwater, Ana, Felix, Lea and Omar are made up for this example. Deciding with limited information follows Simon (1956); the premortem follows Klein (2007).</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who owns the structure and the names across all touchpoints, and who owns only the content.</w:t>
            </w:r>
          </w:p>
          <w:p>
            <w:pPr>
              <w:pStyle w:val="ListBullet"/>
              <w:spacing w:before="0" w:after="40"/>
            </w:pPr>
            <w:r>
              <w:rPr/>
              <w:t>Name who answers for what users experience, not only for a single page.</w:t>
            </w:r>
          </w:p>
          <w:p>
            <w:pPr>
              <w:pStyle w:val="ListBullet"/>
              <w:spacing w:before="0" w:after="40"/>
            </w:pPr>
            <w:r>
              <w:rPr/>
              <w:t>Give conflicts a rule: the users' task decides, shown by evidence; where it does not settle it, a named person does.</w:t>
            </w:r>
          </w:p>
          <w:p>
            <w:pPr>
              <w:pStyle w:val="ListBullet"/>
              <w:spacing w:before="0" w:after="40"/>
            </w:pPr>
            <w:r>
              <w:rPr/>
              <w:t>Say what you decide, what you do not know, when you would reverse it and what you give up.</w:t>
            </w:r>
          </w:p>
          <w:p>
            <w:pPr>
              <w:pStyle w:val="ListBullet"/>
              <w:spacing w:before="0" w:after="100"/>
            </w:pPr>
            <w:r>
              <w:rPr/>
              <w:t>A wrong priority is not neutral: it shows up as support effort and dissatisfied users. Say when you will check.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Before committing, imagine it is a year later and the reorganisation has failed, and ask why (Klein 2007). The answers are usually wrong assumptions about users: that they browse when they search, that they know a term they do not, that they use a desktop when they use a phone. Those are the assumptions to check first.</w:t>
            </w:r>
          </w:p>
        </w:tc>
      </w:tr>
    </w:tbl>
    <w:p>
      <w:pPr>
        <w:spacing w:before="0" w:after="80"/>
      </w:pPr>
    </w:p>
    <w:p>
      <w:pPr>
        <w:spacing w:before="80" w:after="160"/>
      </w:pPr>
      <w:r>
        <w:rPr>
          <w:b/>
          <w:color w:val="556274"/>
          <w:sz w:val="18"/>
        </w:rPr>
        <w:t xml:space="preserve">Sources · </w:t>
      </w:r>
      <w:r>
        <w:rPr>
          <w:color w:val="556274"/>
          <w:sz w:val="18"/>
        </w:rPr>
        <w:t>Simon 1956 · Klein 2007 · ISO 9241-210</w:t>
      </w:r>
    </w:p>
    <w:p>
      <w:r>
        <w:br w:type="page"/>
      </w:r>
    </w:p>
    <w:p>
      <w:pPr>
        <w:pStyle w:val="Heading1"/>
        <w:pBdr>
          <w:bottom w:val="single" w:sz="8" w:space="2" w:color="17212E"/>
        </w:pBdr>
      </w:pPr>
      <w:r>
        <w:rPr/>
        <w:t>Use in class: presentation and handout</w:t>
      </w:r>
    </w:p>
    <w:p>
      <w:pPr>
        <w:spacing w:before="0" w:after="100"/>
      </w:pPr>
      <w:r>
        <w:rPr/>
        <w:t xml:space="preserve">Mark of use for the study material. </w:t>
      </w:r>
      <w:r>
        <w:rPr>
          <w:b/>
        </w:rPr>
        <w:t>Presentation</w:t>
      </w:r>
      <w:r>
        <w:rPr/>
        <w:t xml:space="preserve"> is what the trainer shows on screen; </w:t>
      </w:r>
      <w:r>
        <w:rPr>
          <w:b/>
        </w:rPr>
        <w:t>Handout</w:t>
      </w:r>
      <w:r>
        <w:rPr/>
        <w:t xml:space="preserve"> is what participants read and keep.</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721"/>
        <w:gridCol w:w="3527"/>
        <w:gridCol w:w="1390"/>
      </w:tblGrid>
      <w:tr>
        <w:trPr>
          <w:cantSplit/>
          <w:tblHeader/>
        </w:trPr>
        <w:tc>
          <w:tcPr>
            <w:tcW w:type="dxa" w:w="4721"/>
            <w:shd w:val="clear" w:color="auto" w:fill="E6ECF4"/>
          </w:tcPr>
          <w:p>
            <w:pPr>
              <w:spacing w:before="0" w:after="0"/>
            </w:pPr>
            <w:r>
              <w:rPr>
                <w:b/>
                <w:sz w:val="20"/>
              </w:rPr>
              <w:t>Card</w:t>
            </w:r>
          </w:p>
        </w:tc>
        <w:tc>
          <w:tcPr>
            <w:tcW w:type="dxa" w:w="3527"/>
            <w:shd w:val="clear" w:color="auto" w:fill="E6ECF4"/>
          </w:tcPr>
          <w:p>
            <w:pPr>
              <w:spacing w:before="0" w:after="0"/>
            </w:pPr>
            <w:r>
              <w:rPr>
                <w:b/>
                <w:sz w:val="20"/>
              </w:rPr>
              <w:t>Presentation (shown in the Neuro-UX Lab)</w:t>
            </w:r>
          </w:p>
        </w:tc>
        <w:tc>
          <w:tcPr>
            <w:tcW w:type="dxa" w:w="1390"/>
            <w:shd w:val="clear" w:color="auto" w:fill="E6ECF4"/>
          </w:tcPr>
          <w:p>
            <w:pPr>
              <w:spacing w:before="0" w:after="0"/>
            </w:pPr>
            <w:r>
              <w:rPr>
                <w:b/>
                <w:sz w:val="20"/>
              </w:rPr>
              <w:t>Handout</w:t>
            </w:r>
          </w:p>
        </w:tc>
      </w:tr>
      <w:tr>
        <w:trPr>
          <w:cantSplit/>
        </w:trPr>
        <w:tc>
          <w:tcPr>
            <w:tcW w:type="dxa" w:w="4721"/>
          </w:tcPr>
          <w:p>
            <w:pPr>
              <w:spacing w:before="0" w:after="0"/>
            </w:pPr>
            <w:r>
              <w:rPr>
                <w:b/>
                <w:sz w:val="20"/>
              </w:rPr>
              <w:t>A1</w:t>
            </w:r>
            <w:r>
              <w:rPr>
                <w:sz w:val="20"/>
              </w:rPr>
              <w:t xml:space="preserve"> · Seeing an interface, and designing from the user's side: user-centred against provider-centred design (Core)</w:t>
            </w:r>
          </w:p>
        </w:tc>
        <w:tc>
          <w:tcPr>
            <w:tcW w:type="dxa" w:w="3527"/>
          </w:tcPr>
          <w:p>
            <w:pPr>
              <w:spacing w:before="0" w:after="0"/>
            </w:pPr>
            <w:r>
              <w:rPr>
                <w:sz w:val="20"/>
              </w:rPr>
              <w:t>Scan line and Figure 1; the "In plain words" and "How to decide" boxes</w:t>
            </w:r>
          </w:p>
        </w:tc>
        <w:tc>
          <w:tcPr>
            <w:tcW w:type="dxa" w:w="1390"/>
          </w:tcPr>
          <w:p>
            <w:pPr>
              <w:spacing w:before="0" w:after="0"/>
            </w:pPr>
            <w:r>
              <w:rPr>
                <w:sz w:val="20"/>
              </w:rPr>
              <w:t>The whole card</w:t>
            </w:r>
          </w:p>
        </w:tc>
      </w:tr>
      <w:tr>
        <w:trPr>
          <w:cantSplit/>
        </w:trPr>
        <w:tc>
          <w:tcPr>
            <w:tcW w:type="dxa" w:w="4721"/>
          </w:tcPr>
          <w:p>
            <w:pPr>
              <w:spacing w:before="0" w:after="0"/>
            </w:pPr>
            <w:r>
              <w:rPr>
                <w:b/>
                <w:sz w:val="20"/>
              </w:rPr>
              <w:t>A2</w:t>
            </w:r>
            <w:r>
              <w:rPr>
                <w:sz w:val="20"/>
              </w:rPr>
              <w:t xml:space="preserve"> · How people scan, select and prioritise: perception as the basis of UI decisions (Core)</w:t>
            </w:r>
          </w:p>
        </w:tc>
        <w:tc>
          <w:tcPr>
            <w:tcW w:type="dxa" w:w="3527"/>
          </w:tcPr>
          <w:p>
            <w:pPr>
              <w:spacing w:before="0" w:after="0"/>
            </w:pPr>
            <w:r>
              <w:rPr>
                <w:sz w:val="20"/>
              </w:rPr>
              <w:t>Scan line and Figures 2–3; the "In plain words" and "How to decide" boxes</w:t>
            </w:r>
          </w:p>
        </w:tc>
        <w:tc>
          <w:tcPr>
            <w:tcW w:type="dxa" w:w="1390"/>
          </w:tcPr>
          <w:p>
            <w:pPr>
              <w:spacing w:before="0" w:after="0"/>
            </w:pPr>
            <w:r>
              <w:rPr>
                <w:sz w:val="20"/>
              </w:rPr>
              <w:t>The whole card</w:t>
            </w:r>
          </w:p>
        </w:tc>
      </w:tr>
      <w:tr>
        <w:trPr>
          <w:cantSplit/>
        </w:trPr>
        <w:tc>
          <w:tcPr>
            <w:tcW w:type="dxa" w:w="4721"/>
          </w:tcPr>
          <w:p>
            <w:pPr>
              <w:spacing w:before="0" w:after="0"/>
            </w:pPr>
            <w:r>
              <w:rPr>
                <w:b/>
                <w:sz w:val="20"/>
              </w:rPr>
              <w:t>A3</w:t>
            </w:r>
            <w:r>
              <w:rPr>
                <w:sz w:val="20"/>
              </w:rPr>
              <w:t xml:space="preserve"> · What guides the eye: contrast and colour, grouping and structure (Core)</w:t>
            </w:r>
          </w:p>
        </w:tc>
        <w:tc>
          <w:tcPr>
            <w:tcW w:type="dxa" w:w="3527"/>
          </w:tcPr>
          <w:p>
            <w:pPr>
              <w:spacing w:before="0" w:after="0"/>
            </w:pPr>
            <w:r>
              <w:rPr>
                <w:sz w:val="20"/>
              </w:rPr>
              <w:t>Scan line and Figure 4; the "In plain words" and "How to decide" boxes</w:t>
            </w:r>
          </w:p>
        </w:tc>
        <w:tc>
          <w:tcPr>
            <w:tcW w:type="dxa" w:w="1390"/>
          </w:tcPr>
          <w:p>
            <w:pPr>
              <w:spacing w:before="0" w:after="0"/>
            </w:pPr>
            <w:r>
              <w:rPr>
                <w:sz w:val="20"/>
              </w:rPr>
              <w:t>The whole card</w:t>
            </w:r>
          </w:p>
        </w:tc>
      </w:tr>
      <w:tr>
        <w:trPr>
          <w:cantSplit/>
        </w:trPr>
        <w:tc>
          <w:tcPr>
            <w:tcW w:type="dxa" w:w="4721"/>
          </w:tcPr>
          <w:p>
            <w:pPr>
              <w:spacing w:before="0" w:after="0"/>
            </w:pPr>
            <w:r>
              <w:rPr>
                <w:b/>
                <w:sz w:val="20"/>
              </w:rPr>
              <w:t>A4</w:t>
            </w:r>
            <w:r>
              <w:rPr>
                <w:sz w:val="20"/>
              </w:rPr>
              <w:t xml:space="preserve"> · How much at once: information density, orientation, load and why order looks like quality (Core)</w:t>
            </w:r>
          </w:p>
        </w:tc>
        <w:tc>
          <w:tcPr>
            <w:tcW w:type="dxa" w:w="3527"/>
          </w:tcPr>
          <w:p>
            <w:pPr>
              <w:spacing w:before="0" w:after="0"/>
            </w:pPr>
            <w:r>
              <w:rPr>
                <w:sz w:val="20"/>
              </w:rPr>
              <w:t>Scan line and Figure 5; the "In plain words" and "How to decide" boxes</w:t>
            </w:r>
          </w:p>
        </w:tc>
        <w:tc>
          <w:tcPr>
            <w:tcW w:type="dxa" w:w="1390"/>
          </w:tcPr>
          <w:p>
            <w:pPr>
              <w:spacing w:before="0" w:after="0"/>
            </w:pPr>
            <w:r>
              <w:rPr>
                <w:sz w:val="20"/>
              </w:rPr>
              <w:t>The whole card</w:t>
            </w:r>
          </w:p>
        </w:tc>
      </w:tr>
      <w:tr>
        <w:trPr>
          <w:cantSplit/>
        </w:trPr>
        <w:tc>
          <w:tcPr>
            <w:tcW w:type="dxa" w:w="4721"/>
          </w:tcPr>
          <w:p>
            <w:pPr>
              <w:spacing w:before="0" w:after="0"/>
            </w:pPr>
            <w:r>
              <w:rPr>
                <w:b/>
                <w:sz w:val="20"/>
              </w:rPr>
              <w:t>A5</w:t>
            </w:r>
            <w:r>
              <w:rPr>
                <w:sz w:val="20"/>
              </w:rPr>
              <w:t xml:space="preserve"> · Recognition instead of search, clarity instead of overload, and weighing a measure (Core)</w:t>
            </w:r>
          </w:p>
        </w:tc>
        <w:tc>
          <w:tcPr>
            <w:tcW w:type="dxa" w:w="3527"/>
          </w:tcPr>
          <w:p>
            <w:pPr>
              <w:spacing w:before="0" w:after="0"/>
            </w:pPr>
            <w:r>
              <w:rPr>
                <w:sz w:val="20"/>
              </w:rPr>
              <w:t>Scan line and Figure 6; the "In plain words" and "How to decide" boxes</w:t>
            </w:r>
          </w:p>
        </w:tc>
        <w:tc>
          <w:tcPr>
            <w:tcW w:type="dxa" w:w="1390"/>
          </w:tcPr>
          <w:p>
            <w:pPr>
              <w:spacing w:before="0" w:after="0"/>
            </w:pPr>
            <w:r>
              <w:rPr>
                <w:sz w:val="20"/>
              </w:rPr>
              <w:t>The whole card</w:t>
            </w:r>
          </w:p>
        </w:tc>
      </w:tr>
      <w:tr>
        <w:trPr>
          <w:cantSplit/>
        </w:trPr>
        <w:tc>
          <w:tcPr>
            <w:tcW w:type="dxa" w:w="4721"/>
          </w:tcPr>
          <w:p>
            <w:pPr>
              <w:spacing w:before="0" w:after="0"/>
            </w:pPr>
            <w:r>
              <w:rPr>
                <w:b/>
                <w:sz w:val="20"/>
              </w:rPr>
              <w:t>B1</w:t>
            </w:r>
            <w:r>
              <w:rPr>
                <w:sz w:val="20"/>
              </w:rPr>
              <w:t xml:space="preserve"> · Inside logic against user logic: why good UI decisions come from the user's side (Core)</w:t>
            </w:r>
          </w:p>
        </w:tc>
        <w:tc>
          <w:tcPr>
            <w:tcW w:type="dxa" w:w="3527"/>
          </w:tcPr>
          <w:p>
            <w:pPr>
              <w:spacing w:before="0" w:after="0"/>
            </w:pPr>
            <w:r>
              <w:rPr>
                <w:sz w:val="20"/>
              </w:rPr>
              <w:t>Scan line and Figures 7–8; the "In plain words" and "How to decide" boxes</w:t>
            </w:r>
          </w:p>
        </w:tc>
        <w:tc>
          <w:tcPr>
            <w:tcW w:type="dxa" w:w="1390"/>
          </w:tcPr>
          <w:p>
            <w:pPr>
              <w:spacing w:before="0" w:after="0"/>
            </w:pPr>
            <w:r>
              <w:rPr>
                <w:sz w:val="20"/>
              </w:rPr>
              <w:t>The whole card</w:t>
            </w:r>
          </w:p>
        </w:tc>
      </w:tr>
      <w:tr>
        <w:trPr>
          <w:cantSplit/>
        </w:trPr>
        <w:tc>
          <w:tcPr>
            <w:tcW w:type="dxa" w:w="4721"/>
          </w:tcPr>
          <w:p>
            <w:pPr>
              <w:spacing w:before="0" w:after="0"/>
            </w:pPr>
            <w:r>
              <w:rPr>
                <w:b/>
                <w:sz w:val="20"/>
              </w:rPr>
              <w:t>B2</w:t>
            </w:r>
            <w:r>
              <w:rPr>
                <w:sz w:val="20"/>
              </w:rPr>
              <w:t xml:space="preserve"> · Conflicts of goals: much information against simplicity, stakeholders against users (Core)</w:t>
            </w:r>
          </w:p>
        </w:tc>
        <w:tc>
          <w:tcPr>
            <w:tcW w:type="dxa" w:w="3527"/>
          </w:tcPr>
          <w:p>
            <w:pPr>
              <w:spacing w:before="0" w:after="0"/>
            </w:pPr>
            <w:r>
              <w:rPr>
                <w:sz w:val="20"/>
              </w:rPr>
              <w:t>Scan line and Figure 9; the "In plain words" and "How to decide" boxes</w:t>
            </w:r>
          </w:p>
        </w:tc>
        <w:tc>
          <w:tcPr>
            <w:tcW w:type="dxa" w:w="1390"/>
          </w:tcPr>
          <w:p>
            <w:pPr>
              <w:spacing w:before="0" w:after="0"/>
            </w:pPr>
            <w:r>
              <w:rPr>
                <w:sz w:val="20"/>
              </w:rPr>
              <w:t>The whole card</w:t>
            </w:r>
          </w:p>
        </w:tc>
      </w:tr>
      <w:tr>
        <w:trPr>
          <w:cantSplit/>
        </w:trPr>
        <w:tc>
          <w:tcPr>
            <w:tcW w:type="dxa" w:w="4721"/>
          </w:tcPr>
          <w:p>
            <w:pPr>
              <w:spacing w:before="0" w:after="0"/>
            </w:pPr>
            <w:r>
              <w:rPr>
                <w:b/>
                <w:sz w:val="20"/>
              </w:rPr>
              <w:t>B3</w:t>
            </w:r>
            <w:r>
              <w:rPr>
                <w:sz w:val="20"/>
              </w:rPr>
              <w:t xml:space="preserve"> · User-centredness as the basis of accountable decisions: who owns the structure, and deciding with partial data (Core)</w:t>
            </w:r>
          </w:p>
        </w:tc>
        <w:tc>
          <w:tcPr>
            <w:tcW w:type="dxa" w:w="3527"/>
          </w:tcPr>
          <w:p>
            <w:pPr>
              <w:spacing w:before="0" w:after="0"/>
            </w:pPr>
            <w:r>
              <w:rPr>
                <w:sz w:val="20"/>
              </w:rPr>
              <w:t>Scan line and Figure 10; the "In plain words" and "How to decide" boxes</w:t>
            </w:r>
          </w:p>
        </w:tc>
        <w:tc>
          <w:tcPr>
            <w:tcW w:type="dxa" w:w="1390"/>
          </w:tcPr>
          <w:p>
            <w:pPr>
              <w:spacing w:before="0" w:after="0"/>
            </w:pPr>
            <w:r>
              <w:rPr>
                <w:sz w:val="20"/>
              </w:rPr>
              <w:t>The whole card</w:t>
            </w:r>
          </w:p>
        </w:tc>
      </w:tr>
    </w:tbl>
    <w:p>
      <w:pPr>
        <w:spacing w:before="0" w:after="80"/>
      </w:pP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ISO 9241-210:2019. Ergonomics of human-system interaction, Part 210: Human-centred design for interactive systems. (Defines user experience as a person's perceptions and responses that result from the use or anticipated use of a product, system or service.) Check the current edition before you teach from it.</w:t>
      </w:r>
    </w:p>
    <w:p>
      <w:pPr>
        <w:spacing w:before="0" w:after="80"/>
        <w:ind w:left="283" w:hanging="283"/>
      </w:pPr>
      <w:r>
        <w:rPr>
          <w:sz w:val="19"/>
        </w:rPr>
        <w:t>Gould, J. D., &amp; Lewis, C. (1985). Designing for usability: Key principles and what designers think. Communications of the ACM, 28(3), 300–311. (Early focus on users and their tasks, empirical measurement with real users, and iterative design: the core of user-centred design.)</w:t>
      </w:r>
    </w:p>
    <w:p>
      <w:pPr>
        <w:spacing w:before="0" w:after="80"/>
        <w:ind w:left="283" w:hanging="283"/>
      </w:pPr>
      <w:r>
        <w:rPr>
          <w:sz w:val="19"/>
        </w:rPr>
        <w:t>Norman, D., &amp; Nielsen, J. The Definition of User Experience (UX). Nielsen Norman Group. https://www.nngroup.com/articles/definition-user-experience/ (User experience covers every part of a person's interaction with a company, its services and its products; the interface is one part of it.)</w:t>
      </w:r>
    </w:p>
    <w:p>
      <w:pPr>
        <w:spacing w:before="0" w:after="80"/>
        <w:ind w:left="283" w:hanging="283"/>
      </w:pPr>
      <w:r>
        <w:rPr>
          <w:sz w:val="19"/>
        </w:rPr>
        <w:t>Rosenfeld, L., Morville, P., &amp; Arango, J. (2015). Information Architecture: For the Web and Beyond (4th ed.). O'Reilly. (Organising, labelling and navigation systems; labels should speak the users' language, not the organisation's.)</w:t>
      </w:r>
    </w:p>
    <w:p>
      <w:pPr>
        <w:spacing w:before="0" w:after="80"/>
        <w:ind w:left="283" w:hanging="283"/>
      </w:pPr>
      <w:r>
        <w:rPr>
          <w:sz w:val="19"/>
        </w:rPr>
        <w:t>Nielsen, J. (1997). How Users Read on the Web. Nielsen Norman Group. https://www.nngroup.com/articles/how-users-read-on-the-web/ (Most users scan a page rather than read it word by word, picking out words, headings and links.)</w:t>
      </w:r>
    </w:p>
    <w:p>
      <w:pPr>
        <w:spacing w:before="0" w:after="80"/>
        <w:ind w:left="283" w:hanging="283"/>
      </w:pPr>
      <w:r>
        <w:rPr>
          <w:sz w:val="19"/>
        </w:rPr>
        <w:t>Pernice, K. (2017). F-Shaped Pattern of Reading on the Web: Misunderstood, But Still Relevant (Even on Mobile). Nielsen Norman Group. https://www.nngroup.com/articles/f-shaped-pattern-reading-web-content/ (On text-heavy pages without structure, the eye often scans in an F-shape; headings, short paragraphs and clear structure change the pattern.)</w:t>
      </w:r>
    </w:p>
    <w:p>
      <w:pPr>
        <w:spacing w:before="0" w:after="80"/>
        <w:ind w:left="283" w:hanging="283"/>
      </w:pPr>
      <w:r>
        <w:rPr>
          <w:sz w:val="19"/>
        </w:rPr>
        <w:t>Krug, S. (2014). Don't Make Me Think, Revisited (3rd ed.). New Riders. (People scan rather than read, follow conventions they know, and should be able to tell at once where they are and what they can do.)</w:t>
      </w:r>
    </w:p>
    <w:p>
      <w:pPr>
        <w:spacing w:before="0" w:after="80"/>
        <w:ind w:left="283" w:hanging="283"/>
      </w:pPr>
      <w:r>
        <w:rPr>
          <w:sz w:val="19"/>
        </w:rPr>
        <w:t>Itti, L., &amp; Koch, C. (2001). Computational modelling of visual attention. Nature Reviews Neuroscience, 2(3), 194–203. (Attention is pulled by what differs from its surroundings in colour, contrast, orientation and movement: the bottom-up side of seeing.)</w:t>
      </w:r>
    </w:p>
    <w:p>
      <w:pPr>
        <w:spacing w:before="0" w:after="80"/>
        <w:ind w:left="283" w:hanging="283"/>
      </w:pPr>
      <w:r>
        <w:rPr>
          <w:sz w:val="19"/>
        </w:rPr>
        <w:t>Wagemans, J., Elder, J. H., Kubovy, M., Palmer, S. E., Peterson, M. A., Singh, M., &amp; von der Heydt, R. (2012). A century of Gestalt psychology in visual perception: I. Perceptual grouping and figure–ground organization. Psychological Bulletin, 138(6), 1172–1217. (Things that are close together or look alike are seen as one group.)</w:t>
      </w:r>
    </w:p>
    <w:p>
      <w:pPr>
        <w:spacing w:before="0" w:after="80"/>
        <w:ind w:left="283" w:hanging="283"/>
      </w:pPr>
      <w:r>
        <w:rPr>
          <w:sz w:val="19"/>
        </w:rPr>
        <w:t>Ware, C. (2012). Information Visualization: Perception for Design (3rd ed.). Morgan Kaufmann. (Contrast, colour and position decide what pops out; a visual order the eye can follow reduces the effort of search.)</w:t>
      </w:r>
    </w:p>
    <w:p>
      <w:pPr>
        <w:spacing w:before="0" w:after="80"/>
        <w:ind w:left="283" w:hanging="283"/>
      </w:pPr>
      <w:r>
        <w:rPr>
          <w:sz w:val="19"/>
        </w:rPr>
        <w:t>Elliot, A. J., &amp; Maier, M. A. (2014). Color psychology: Effects of perceiving color on psychological functioning in humans. Annual Review of Psychology, 65, 95–120. (Colour carries meaning learnt from context, such as red for danger or a stop; the effect depends on the context and the culture, so it is a hypothesis, not a law.)</w:t>
      </w:r>
    </w:p>
    <w:p>
      <w:pPr>
        <w:spacing w:before="0" w:after="80"/>
        <w:ind w:left="283" w:hanging="283"/>
      </w:pPr>
      <w:r>
        <w:rPr>
          <w:sz w:val="19"/>
        </w:rPr>
        <w:t>W3C (2023). Web Content Accessibility Guidelines (WCAG) 2.2. https://www.w3.org/TR/WCAG22/ (Success criterion 1.4.1 Use of Color: colour must not be the only way to convey information; 1.4.3 Contrast (Minimum) for text.)</w:t>
      </w:r>
    </w:p>
    <w:p>
      <w:pPr>
        <w:spacing w:before="0" w:after="80"/>
        <w:ind w:left="283" w:hanging="283"/>
      </w:pPr>
      <w:r>
        <w:rPr>
          <w:sz w:val="19"/>
        </w:rPr>
        <w:t>Nielsen, J. (1994, reviewed 2024). 10 Usability Heuristics for User Interface Design. Nielsen Norman Group. https://www.nngroup.com/articles/ten-usability-heuristics/ (Visibility of system status, consistency and standards, recognition rather than recall, aesthetic and minimalist design.)</w:t>
      </w:r>
    </w:p>
    <w:p>
      <w:pPr>
        <w:spacing w:before="0" w:after="80"/>
        <w:ind w:left="283" w:hanging="283"/>
      </w:pPr>
      <w:r>
        <w:rPr>
          <w:sz w:val="19"/>
        </w:rPr>
        <w:t>Sweller, J. (1988). Cognitive load during problem solving: Effects on learning. Cognitive Science, 12(2), 257–285. https://doi.org/10.1207/s15516709cog1202_4 (Working memory is limited; effort spent on working out a screen is missing for the task itself.)</w:t>
      </w:r>
    </w:p>
    <w:p>
      <w:pPr>
        <w:spacing w:before="0" w:after="80"/>
        <w:ind w:left="283" w:hanging="283"/>
      </w:pPr>
      <w:r>
        <w:rPr>
          <w:sz w:val="19"/>
        </w:rPr>
        <w:t>Kurosu, M., &amp; Kashimura, K. (1995). Apparent usability vs. inherent usability: Experimental analysis on the determinants of the apparent usability. CHI '95 Conference Companion, 292–293. (People judge an ordered, attractive interface as easier to use: the aesthetic-usability effect.)</w:t>
      </w:r>
    </w:p>
    <w:p>
      <w:pPr>
        <w:spacing w:before="0" w:after="80"/>
        <w:ind w:left="283" w:hanging="283"/>
      </w:pPr>
      <w:r>
        <w:rPr>
          <w:sz w:val="19"/>
        </w:rPr>
        <w:t>Moshagen, M., &amp; Thielsch, M. T. (2010). Facets of visual aesthetics. International Journal of Human-Computer Studies, 68(10), 689–709. (Simplicity, diversity, colour and craftsmanship shape how good a website seems; simplicity is the order and clarity of the layout.)</w:t>
      </w:r>
    </w:p>
    <w:p>
      <w:pPr>
        <w:spacing w:before="0" w:after="80"/>
        <w:ind w:left="283" w:hanging="283"/>
      </w:pPr>
      <w:r>
        <w:rPr>
          <w:sz w:val="19"/>
        </w:rPr>
        <w:t>Tractinsky, N., Katz, A. S., &amp; Ikar, D. (2000). What is beautiful is usable. Interacting with Computers, 13(2), 127–145. (People judge an attractive interface as easier to use before they have used it; looks shape the first judgement, they do not replace testing.)</w:t>
      </w:r>
    </w:p>
    <w:p>
      <w:pPr>
        <w:spacing w:before="0" w:after="80"/>
        <w:ind w:left="283" w:hanging="283"/>
      </w:pPr>
      <w:r>
        <w:rPr>
          <w:sz w:val="19"/>
        </w:rPr>
        <w:t>Gibbons, S. (2018). Using Prioritization Matrices to Inform UX Decisions. Nielsen Norman Group. https://www.nngroup.com/articles/prioritization-matrices/ (Rate each option on the same few criteria, such as value to the user against effort, and put the reason next to each rating.)</w:t>
      </w:r>
    </w:p>
    <w:p>
      <w:pPr>
        <w:spacing w:before="0" w:after="80"/>
        <w:ind w:left="283" w:hanging="283"/>
      </w:pPr>
      <w:r>
        <w:rPr>
          <w:sz w:val="19"/>
        </w:rPr>
        <w:t>Conway, M. E. (1968). How do committees invent? Datamation, 14(4), 28–31. (Organisations tend to produce designs that copy their own communication structure: the menu mirrors the departments.)</w:t>
      </w:r>
    </w:p>
    <w:p>
      <w:pPr>
        <w:spacing w:before="0" w:after="80"/>
        <w:ind w:left="283" w:hanging="283"/>
      </w:pPr>
      <w:r>
        <w:rPr>
          <w:sz w:val="19"/>
        </w:rPr>
        <w:t>Spencer, D. (2009). Card Sorting: Designing Usable Categories. Rosenfeld Media. (Card sorting shows how users group and name content, so the structure can follow their logic.)</w:t>
      </w:r>
    </w:p>
    <w:p>
      <w:pPr>
        <w:spacing w:before="0" w:after="80"/>
        <w:ind w:left="283" w:hanging="283"/>
      </w:pPr>
      <w:r>
        <w:rPr>
          <w:sz w:val="19"/>
        </w:rPr>
        <w:t>Nielsen, J. (2006). Progressive Disclosure. Nielsen Norman Group. https://www.nngroup.com/articles/progressive-disclosure/ (Show the few most important options first and the rest on request; it helps both new and experienced users.)</w:t>
      </w:r>
    </w:p>
    <w:p>
      <w:pPr>
        <w:spacing w:before="0" w:after="80"/>
        <w:ind w:left="283" w:hanging="283"/>
      </w:pPr>
      <w:r>
        <w:rPr>
          <w:sz w:val="19"/>
        </w:rPr>
        <w:t>Simon, H. A. (1956). Rational choice and the structure of the environment. Psychological Review, 63(2), 129–138. (With limited information and time, people choose an option that is good enough rather than the best one: a decision under uncertainty.)</w:t>
      </w:r>
    </w:p>
    <w:p>
      <w:pPr>
        <w:spacing w:before="0" w:after="80"/>
        <w:ind w:left="283" w:hanging="283"/>
      </w:pPr>
      <w:r>
        <w:rPr>
          <w:sz w:val="19"/>
        </w:rPr>
        <w:t>Klein, G. (2007). Performing a project premortem. Harvard Business Review, 85(9), 18–19. (Imagine the plan has failed and ask why; it brings risks and wrong assumptions to the surface before the work starts.)</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56"/>
        <w:gridCol w:w="4640"/>
        <w:gridCol w:w="1566"/>
        <w:gridCol w:w="876"/>
      </w:tblGrid>
      <w:tr>
        <w:trPr>
          <w:cantSplit/>
          <w:tblHeader/>
        </w:trPr>
        <w:tc>
          <w:tcPr>
            <w:tcW w:type="dxa" w:w="2556"/>
            <w:shd w:val="clear" w:color="auto" w:fill="E6ECF4"/>
          </w:tcPr>
          <w:p>
            <w:pPr>
              <w:spacing w:before="0" w:after="0"/>
            </w:pPr>
            <w:r>
              <w:rPr>
                <w:b/>
                <w:sz w:val="19"/>
              </w:rPr>
              <w:t>Term</w:t>
            </w:r>
          </w:p>
        </w:tc>
        <w:tc>
          <w:tcPr>
            <w:tcW w:type="dxa" w:w="4640"/>
            <w:shd w:val="clear" w:color="auto" w:fill="E6ECF4"/>
          </w:tcPr>
          <w:p>
            <w:pPr>
              <w:spacing w:before="0" w:after="0"/>
            </w:pPr>
            <w:r>
              <w:rPr>
                <w:b/>
                <w:sz w:val="19"/>
              </w:rPr>
              <w:t>In plain words</w:t>
            </w:r>
          </w:p>
        </w:tc>
        <w:tc>
          <w:tcPr>
            <w:tcW w:type="dxa" w:w="1566"/>
            <w:shd w:val="clear" w:color="auto" w:fill="E6ECF4"/>
          </w:tcPr>
          <w:p>
            <w:pPr>
              <w:spacing w:before="0" w:after="0"/>
            </w:pPr>
            <w:r>
              <w:rPr>
                <w:b/>
                <w:sz w:val="19"/>
              </w:rPr>
              <w:t>Example</w:t>
            </w:r>
          </w:p>
        </w:tc>
        <w:tc>
          <w:tcPr>
            <w:tcW w:type="dxa" w:w="876"/>
            <w:shd w:val="clear" w:color="auto" w:fill="E6ECF4"/>
          </w:tcPr>
          <w:p>
            <w:pPr>
              <w:spacing w:before="0" w:after="0"/>
            </w:pPr>
            <w:r>
              <w:rPr>
                <w:b/>
                <w:sz w:val="19"/>
              </w:rPr>
              <w:t>Comes from</w:t>
            </w:r>
          </w:p>
        </w:tc>
      </w:tr>
      <w:tr>
        <w:trPr>
          <w:cantSplit/>
        </w:trPr>
        <w:tc>
          <w:tcPr>
            <w:tcW w:type="dxa" w:w="2556"/>
          </w:tcPr>
          <w:p>
            <w:pPr>
              <w:spacing w:before="0" w:after="0"/>
            </w:pPr>
            <w:r>
              <w:rPr>
                <w:b/>
                <w:sz w:val="19"/>
              </w:rPr>
              <w:t>Aesthetic-usability effect</w:t>
            </w:r>
          </w:p>
        </w:tc>
        <w:tc>
          <w:tcPr>
            <w:tcW w:type="dxa" w:w="4640"/>
          </w:tcPr>
          <w:p>
            <w:pPr>
              <w:spacing w:before="0" w:after="0"/>
            </w:pPr>
            <w:r>
              <w:rPr>
                <w:sz w:val="19"/>
              </w:rPr>
              <w:t>People judge an ordered, attractive interface as easier to use, often before they have used it.</w:t>
            </w:r>
          </w:p>
        </w:tc>
        <w:tc>
          <w:tcPr>
            <w:tcW w:type="dxa" w:w="1566"/>
          </w:tcPr>
          <w:p>
            <w:pPr>
              <w:spacing w:before="0" w:after="0"/>
            </w:pPr>
            <w:r>
              <w:rPr>
                <w:sz w:val="19"/>
              </w:rPr>
              <w:t>—</w:t>
            </w:r>
          </w:p>
        </w:tc>
        <w:tc>
          <w:tcPr>
            <w:tcW w:type="dxa" w:w="876"/>
          </w:tcPr>
          <w:p>
            <w:pPr>
              <w:spacing w:before="0" w:after="0"/>
            </w:pPr>
            <w:r>
              <w:rPr>
                <w:sz w:val="19"/>
              </w:rPr>
              <w:t>Day 2</w:t>
            </w:r>
          </w:p>
        </w:tc>
      </w:tr>
      <w:tr>
        <w:trPr>
          <w:cantSplit/>
        </w:trPr>
        <w:tc>
          <w:tcPr>
            <w:tcW w:type="dxa" w:w="2556"/>
          </w:tcPr>
          <w:p>
            <w:pPr>
              <w:spacing w:before="0" w:after="0"/>
            </w:pPr>
            <w:r>
              <w:rPr>
                <w:b/>
                <w:sz w:val="19"/>
              </w:rPr>
              <w:t>Card sorting</w:t>
            </w:r>
          </w:p>
        </w:tc>
        <w:tc>
          <w:tcPr>
            <w:tcW w:type="dxa" w:w="4640"/>
          </w:tcPr>
          <w:p>
            <w:pPr>
              <w:spacing w:before="0" w:after="0"/>
            </w:pPr>
            <w:r>
              <w:rPr>
                <w:sz w:val="19"/>
              </w:rPr>
              <w:t>A simple method: users sort cards with the names of content into groups and name the groups, which shows how they think the content belongs together.</w:t>
            </w:r>
          </w:p>
        </w:tc>
        <w:tc>
          <w:tcPr>
            <w:tcW w:type="dxa" w:w="1566"/>
          </w:tcPr>
          <w:p>
            <w:pPr>
              <w:spacing w:before="0" w:after="0"/>
            </w:pPr>
            <w:r>
              <w:rPr>
                <w:sz w:val="19"/>
              </w:rPr>
              <w:t>—</w:t>
            </w:r>
          </w:p>
        </w:tc>
        <w:tc>
          <w:tcPr>
            <w:tcW w:type="dxa" w:w="876"/>
          </w:tcPr>
          <w:p>
            <w:pPr>
              <w:spacing w:before="0" w:after="0"/>
            </w:pPr>
            <w:r>
              <w:rPr>
                <w:sz w:val="19"/>
              </w:rPr>
              <w:t>Day 2</w:t>
            </w:r>
          </w:p>
        </w:tc>
      </w:tr>
      <w:tr>
        <w:trPr>
          <w:cantSplit/>
        </w:trPr>
        <w:tc>
          <w:tcPr>
            <w:tcW w:type="dxa" w:w="2556"/>
          </w:tcPr>
          <w:p>
            <w:pPr>
              <w:spacing w:before="0" w:after="0"/>
            </w:pPr>
            <w:r>
              <w:rPr>
                <w:b/>
                <w:sz w:val="19"/>
              </w:rPr>
              <w:t>Case assumption</w:t>
            </w:r>
          </w:p>
        </w:tc>
        <w:tc>
          <w:tcPr>
            <w:tcW w:type="dxa" w:w="4640"/>
          </w:tcPr>
          <w:p>
            <w:pPr>
              <w:spacing w:before="0" w:after="0"/>
            </w:pPr>
            <w:r>
              <w:rPr>
                <w:sz w:val="19"/>
              </w:rPr>
              <w:t>A fact made up for this exercise to fill a gap in the plan's case. It is marked so you know it is not part of the plan.</w:t>
            </w:r>
          </w:p>
        </w:tc>
        <w:tc>
          <w:tcPr>
            <w:tcW w:type="dxa" w:w="1566"/>
          </w:tcPr>
          <w:p>
            <w:pPr>
              <w:spacing w:before="0" w:after="0"/>
            </w:pPr>
            <w:r>
              <w:rPr>
                <w:sz w:val="19"/>
              </w:rPr>
              <w:t>—</w:t>
            </w:r>
          </w:p>
        </w:tc>
        <w:tc>
          <w:tcPr>
            <w:tcW w:type="dxa" w:w="876"/>
          </w:tcPr>
          <w:p>
            <w:pPr>
              <w:spacing w:before="0" w:after="0"/>
            </w:pPr>
            <w:r>
              <w:rPr>
                <w:sz w:val="19"/>
              </w:rPr>
              <w:t>Day 1</w:t>
            </w:r>
          </w:p>
        </w:tc>
      </w:tr>
      <w:tr>
        <w:trPr>
          <w:cantSplit/>
        </w:trPr>
        <w:tc>
          <w:tcPr>
            <w:tcW w:type="dxa" w:w="2556"/>
          </w:tcPr>
          <w:p>
            <w:pPr>
              <w:spacing w:before="0" w:after="0"/>
            </w:pPr>
            <w:r>
              <w:rPr>
                <w:b/>
                <w:sz w:val="19"/>
              </w:rPr>
              <w:t>Chief Experience Officer</w:t>
            </w:r>
          </w:p>
        </w:tc>
        <w:tc>
          <w:tcPr>
            <w:tcW w:type="dxa" w:w="4640"/>
          </w:tcPr>
          <w:p>
            <w:pPr>
              <w:spacing w:before="0" w:after="0"/>
            </w:pPr>
            <w:r>
              <w:rPr>
                <w:sz w:val="19"/>
              </w:rPr>
              <w:t>The manager who is responsible for the experience customers have across all channels, and who decides where the company invests in it.</w:t>
            </w:r>
          </w:p>
        </w:tc>
        <w:tc>
          <w:tcPr>
            <w:tcW w:type="dxa" w:w="1566"/>
          </w:tcPr>
          <w:p>
            <w:pPr>
              <w:spacing w:before="0" w:after="0"/>
            </w:pPr>
            <w:r>
              <w:rPr>
                <w:sz w:val="19"/>
              </w:rPr>
              <w:t>—</w:t>
            </w:r>
          </w:p>
        </w:tc>
        <w:tc>
          <w:tcPr>
            <w:tcW w:type="dxa" w:w="876"/>
          </w:tcPr>
          <w:p>
            <w:pPr>
              <w:spacing w:before="0" w:after="0"/>
            </w:pPr>
            <w:r>
              <w:rPr>
                <w:sz w:val="19"/>
              </w:rPr>
              <w:t>Day 1</w:t>
            </w:r>
          </w:p>
        </w:tc>
      </w:tr>
      <w:tr>
        <w:trPr>
          <w:cantSplit/>
        </w:trPr>
        <w:tc>
          <w:tcPr>
            <w:tcW w:type="dxa" w:w="2556"/>
          </w:tcPr>
          <w:p>
            <w:pPr>
              <w:spacing w:before="0" w:after="0"/>
            </w:pPr>
            <w:r>
              <w:rPr>
                <w:b/>
                <w:sz w:val="19"/>
              </w:rPr>
              <w:t>Cognitive load</w:t>
            </w:r>
          </w:p>
        </w:tc>
        <w:tc>
          <w:tcPr>
            <w:tcW w:type="dxa" w:w="4640"/>
          </w:tcPr>
          <w:p>
            <w:pPr>
              <w:spacing w:before="0" w:after="0"/>
            </w:pPr>
            <w:r>
              <w:rPr>
                <w:sz w:val="19"/>
              </w:rPr>
              <w:t>How much a person has to hold in mind and work out at the same time. Every extra signal or choice adds to it; when it is too high, people skip, freeze or leave.</w:t>
            </w:r>
          </w:p>
        </w:tc>
        <w:tc>
          <w:tcPr>
            <w:tcW w:type="dxa" w:w="1566"/>
          </w:tcPr>
          <w:p>
            <w:pPr>
              <w:spacing w:before="0" w:after="0"/>
            </w:pPr>
            <w:r>
              <w:rPr>
                <w:sz w:val="19"/>
              </w:rPr>
              <w:t>—</w:t>
            </w:r>
          </w:p>
        </w:tc>
        <w:tc>
          <w:tcPr>
            <w:tcW w:type="dxa" w:w="876"/>
          </w:tcPr>
          <w:p>
            <w:pPr>
              <w:spacing w:before="0" w:after="0"/>
            </w:pPr>
            <w:r>
              <w:rPr>
                <w:sz w:val="19"/>
              </w:rPr>
              <w:t>Day 1</w:t>
            </w:r>
          </w:p>
        </w:tc>
      </w:tr>
      <w:tr>
        <w:trPr>
          <w:cantSplit/>
        </w:trPr>
        <w:tc>
          <w:tcPr>
            <w:tcW w:type="dxa" w:w="2556"/>
          </w:tcPr>
          <w:p>
            <w:pPr>
              <w:spacing w:before="0" w:after="0"/>
            </w:pPr>
            <w:r>
              <w:rPr>
                <w:b/>
                <w:sz w:val="19"/>
              </w:rPr>
              <w:t>Consistency</w:t>
            </w:r>
          </w:p>
        </w:tc>
        <w:tc>
          <w:tcPr>
            <w:tcW w:type="dxa" w:w="4640"/>
          </w:tcPr>
          <w:p>
            <w:pPr>
              <w:spacing w:before="0" w:after="0"/>
            </w:pPr>
            <w:r>
              <w:rPr>
                <w:sz w:val="19"/>
              </w:rPr>
              <w:t>The same thing looks, is named and works the same way everywhere, so what people learn on one page holds on the next.</w:t>
            </w:r>
          </w:p>
        </w:tc>
        <w:tc>
          <w:tcPr>
            <w:tcW w:type="dxa" w:w="1566"/>
          </w:tcPr>
          <w:p>
            <w:pPr>
              <w:spacing w:before="0" w:after="0"/>
            </w:pPr>
            <w:r>
              <w:rPr>
                <w:sz w:val="19"/>
              </w:rPr>
              <w:t>—</w:t>
            </w:r>
          </w:p>
        </w:tc>
        <w:tc>
          <w:tcPr>
            <w:tcW w:type="dxa" w:w="876"/>
          </w:tcPr>
          <w:p>
            <w:pPr>
              <w:spacing w:before="0" w:after="0"/>
            </w:pPr>
            <w:r>
              <w:rPr>
                <w:sz w:val="19"/>
              </w:rPr>
              <w:t>Day 2</w:t>
            </w:r>
          </w:p>
        </w:tc>
      </w:tr>
      <w:tr>
        <w:trPr>
          <w:cantSplit/>
        </w:trPr>
        <w:tc>
          <w:tcPr>
            <w:tcW w:type="dxa" w:w="2556"/>
          </w:tcPr>
          <w:p>
            <w:pPr>
              <w:spacing w:before="0" w:after="0"/>
            </w:pPr>
            <w:r>
              <w:rPr>
                <w:b/>
                <w:sz w:val="19"/>
              </w:rPr>
              <w:t>Contrast</w:t>
            </w:r>
          </w:p>
        </w:tc>
        <w:tc>
          <w:tcPr>
            <w:tcW w:type="dxa" w:w="4640"/>
          </w:tcPr>
          <w:p>
            <w:pPr>
              <w:spacing w:before="0" w:after="0"/>
            </w:pPr>
            <w:r>
              <w:rPr>
                <w:sz w:val="19"/>
              </w:rPr>
              <w:t>How much something differs from its surroundings in brightness, colour or size. Strong contrast makes it stand out; too many strong contrasts make everything compete.</w:t>
            </w:r>
          </w:p>
        </w:tc>
        <w:tc>
          <w:tcPr>
            <w:tcW w:type="dxa" w:w="1566"/>
          </w:tcPr>
          <w:p>
            <w:pPr>
              <w:spacing w:before="0" w:after="0"/>
            </w:pPr>
            <w:r>
              <w:rPr>
                <w:sz w:val="19"/>
              </w:rPr>
              <w:t>—</w:t>
            </w:r>
          </w:p>
        </w:tc>
        <w:tc>
          <w:tcPr>
            <w:tcW w:type="dxa" w:w="876"/>
          </w:tcPr>
          <w:p>
            <w:pPr>
              <w:spacing w:before="0" w:after="0"/>
            </w:pPr>
            <w:r>
              <w:rPr>
                <w:sz w:val="19"/>
              </w:rPr>
              <w:t>Day 2</w:t>
            </w:r>
          </w:p>
        </w:tc>
      </w:tr>
      <w:tr>
        <w:trPr>
          <w:cantSplit/>
        </w:trPr>
        <w:tc>
          <w:tcPr>
            <w:tcW w:type="dxa" w:w="2556"/>
          </w:tcPr>
          <w:p>
            <w:pPr>
              <w:spacing w:before="0" w:after="0"/>
            </w:pPr>
            <w:r>
              <w:rPr>
                <w:b/>
                <w:sz w:val="19"/>
              </w:rPr>
              <w:t>F-pattern</w:t>
            </w:r>
          </w:p>
        </w:tc>
        <w:tc>
          <w:tcPr>
            <w:tcW w:type="dxa" w:w="4640"/>
          </w:tcPr>
          <w:p>
            <w:pPr>
              <w:spacing w:before="0" w:after="0"/>
            </w:pPr>
            <w:r>
              <w:rPr>
                <w:sz w:val="19"/>
              </w:rPr>
              <w:t>A common way the eye scans a text-heavy page without structure: across the top, across a little lower, then down the left edge. Headings and short blocks break it up.</w:t>
            </w:r>
          </w:p>
        </w:tc>
        <w:tc>
          <w:tcPr>
            <w:tcW w:type="dxa" w:w="1566"/>
          </w:tcPr>
          <w:p>
            <w:pPr>
              <w:spacing w:before="0" w:after="0"/>
            </w:pPr>
            <w:r>
              <w:rPr>
                <w:sz w:val="19"/>
              </w:rPr>
              <w:t>—</w:t>
            </w:r>
          </w:p>
        </w:tc>
        <w:tc>
          <w:tcPr>
            <w:tcW w:type="dxa" w:w="876"/>
          </w:tcPr>
          <w:p>
            <w:pPr>
              <w:spacing w:before="0" w:after="0"/>
            </w:pPr>
            <w:r>
              <w:rPr>
                <w:sz w:val="19"/>
              </w:rPr>
              <w:t>Day 2</w:t>
            </w:r>
          </w:p>
        </w:tc>
      </w:tr>
      <w:tr>
        <w:trPr>
          <w:cantSplit/>
        </w:trPr>
        <w:tc>
          <w:tcPr>
            <w:tcW w:type="dxa" w:w="2556"/>
          </w:tcPr>
          <w:p>
            <w:pPr>
              <w:spacing w:before="0" w:after="0"/>
            </w:pPr>
            <w:r>
              <w:rPr>
                <w:b/>
                <w:sz w:val="19"/>
              </w:rPr>
              <w:t>Findability</w:t>
            </w:r>
          </w:p>
        </w:tc>
        <w:tc>
          <w:tcPr>
            <w:tcW w:type="dxa" w:w="4640"/>
          </w:tcPr>
          <w:p>
            <w:pPr>
              <w:spacing w:before="0" w:after="0"/>
            </w:pPr>
            <w:r>
              <w:rPr>
                <w:sz w:val="19"/>
              </w:rPr>
              <w:t>How easily people can find what they are looking for, by browsing the menu or by searching.</w:t>
            </w:r>
          </w:p>
        </w:tc>
        <w:tc>
          <w:tcPr>
            <w:tcW w:type="dxa" w:w="1566"/>
          </w:tcPr>
          <w:p>
            <w:pPr>
              <w:spacing w:before="0" w:after="0"/>
            </w:pPr>
            <w:r>
              <w:rPr>
                <w:sz w:val="19"/>
              </w:rPr>
              <w:t>—</w:t>
            </w:r>
          </w:p>
        </w:tc>
        <w:tc>
          <w:tcPr>
            <w:tcW w:type="dxa" w:w="876"/>
          </w:tcPr>
          <w:p>
            <w:pPr>
              <w:spacing w:before="0" w:after="0"/>
            </w:pPr>
            <w:r>
              <w:rPr>
                <w:sz w:val="19"/>
              </w:rPr>
              <w:t>Day 2</w:t>
            </w:r>
          </w:p>
        </w:tc>
      </w:tr>
      <w:tr>
        <w:trPr>
          <w:cantSplit/>
        </w:trPr>
        <w:tc>
          <w:tcPr>
            <w:tcW w:type="dxa" w:w="2556"/>
          </w:tcPr>
          <w:p>
            <w:pPr>
              <w:spacing w:before="0" w:after="0"/>
            </w:pPr>
            <w:r>
              <w:rPr>
                <w:b/>
                <w:sz w:val="19"/>
              </w:rPr>
              <w:t>Gestalt principles</w:t>
            </w:r>
          </w:p>
        </w:tc>
        <w:tc>
          <w:tcPr>
            <w:tcW w:type="dxa" w:w="4640"/>
          </w:tcPr>
          <w:p>
            <w:pPr>
              <w:spacing w:before="0" w:after="0"/>
            </w:pPr>
            <w:r>
              <w:rPr>
                <w:sz w:val="19"/>
              </w:rPr>
              <w:t>Rules for how people see parts as a whole, such as proximity (close things belong together) and similarity (alike things belong together).</w:t>
            </w:r>
          </w:p>
        </w:tc>
        <w:tc>
          <w:tcPr>
            <w:tcW w:type="dxa" w:w="1566"/>
          </w:tcPr>
          <w:p>
            <w:pPr>
              <w:spacing w:before="0" w:after="0"/>
            </w:pPr>
            <w:r>
              <w:rPr>
                <w:sz w:val="19"/>
              </w:rPr>
              <w:t>—</w:t>
            </w:r>
          </w:p>
        </w:tc>
        <w:tc>
          <w:tcPr>
            <w:tcW w:type="dxa" w:w="876"/>
          </w:tcPr>
          <w:p>
            <w:pPr>
              <w:spacing w:before="0" w:after="0"/>
            </w:pPr>
            <w:r>
              <w:rPr>
                <w:sz w:val="19"/>
              </w:rPr>
              <w:t>Day 2</w:t>
            </w:r>
          </w:p>
        </w:tc>
      </w:tr>
      <w:tr>
        <w:trPr>
          <w:cantSplit/>
        </w:trPr>
        <w:tc>
          <w:tcPr>
            <w:tcW w:type="dxa" w:w="2556"/>
          </w:tcPr>
          <w:p>
            <w:pPr>
              <w:spacing w:before="0" w:after="0"/>
            </w:pPr>
            <w:r>
              <w:rPr>
                <w:b/>
                <w:sz w:val="19"/>
              </w:rPr>
              <w:t>Governance</w:t>
            </w:r>
          </w:p>
        </w:tc>
        <w:tc>
          <w:tcPr>
            <w:tcW w:type="dxa" w:w="4640"/>
          </w:tcPr>
          <w:p>
            <w:pPr>
              <w:spacing w:before="0" w:after="0"/>
            </w:pPr>
            <w:r>
              <w:rPr>
                <w:sz w:val="19"/>
              </w:rPr>
              <w:t>The rules about who may decide what, who is answerable for it and how disagreements are settled.</w:t>
            </w:r>
          </w:p>
        </w:tc>
        <w:tc>
          <w:tcPr>
            <w:tcW w:type="dxa" w:w="1566"/>
          </w:tcPr>
          <w:p>
            <w:pPr>
              <w:spacing w:before="0" w:after="0"/>
            </w:pPr>
            <w:r>
              <w:rPr>
                <w:sz w:val="19"/>
              </w:rPr>
              <w:t>—</w:t>
            </w:r>
          </w:p>
        </w:tc>
        <w:tc>
          <w:tcPr>
            <w:tcW w:type="dxa" w:w="876"/>
          </w:tcPr>
          <w:p>
            <w:pPr>
              <w:spacing w:before="0" w:after="0"/>
            </w:pPr>
            <w:r>
              <w:rPr>
                <w:sz w:val="19"/>
              </w:rPr>
              <w:t>Day 1</w:t>
            </w:r>
          </w:p>
        </w:tc>
      </w:tr>
      <w:tr>
        <w:trPr>
          <w:cantSplit/>
        </w:trPr>
        <w:tc>
          <w:tcPr>
            <w:tcW w:type="dxa" w:w="2556"/>
          </w:tcPr>
          <w:p>
            <w:pPr>
              <w:spacing w:before="0" w:after="0"/>
            </w:pPr>
            <w:r>
              <w:rPr>
                <w:b/>
                <w:sz w:val="19"/>
              </w:rPr>
              <w:t>Grouping</w:t>
            </w:r>
          </w:p>
        </w:tc>
        <w:tc>
          <w:tcPr>
            <w:tcW w:type="dxa" w:w="4640"/>
          </w:tcPr>
          <w:p>
            <w:pPr>
              <w:spacing w:before="0" w:after="0"/>
            </w:pPr>
            <w:r>
              <w:rPr>
                <w:sz w:val="19"/>
              </w:rPr>
              <w:t>Showing what belongs together, for example by putting it close together or making it look alike. The eye reads a group as one unit.</w:t>
            </w:r>
          </w:p>
        </w:tc>
        <w:tc>
          <w:tcPr>
            <w:tcW w:type="dxa" w:w="1566"/>
          </w:tcPr>
          <w:p>
            <w:pPr>
              <w:spacing w:before="0" w:after="0"/>
            </w:pPr>
            <w:r>
              <w:rPr>
                <w:sz w:val="19"/>
              </w:rPr>
              <w:t>—</w:t>
            </w:r>
          </w:p>
        </w:tc>
        <w:tc>
          <w:tcPr>
            <w:tcW w:type="dxa" w:w="876"/>
          </w:tcPr>
          <w:p>
            <w:pPr>
              <w:spacing w:before="0" w:after="0"/>
            </w:pPr>
            <w:r>
              <w:rPr>
                <w:sz w:val="19"/>
              </w:rPr>
              <w:t>Day 2</w:t>
            </w:r>
          </w:p>
        </w:tc>
      </w:tr>
      <w:tr>
        <w:trPr>
          <w:cantSplit/>
        </w:trPr>
        <w:tc>
          <w:tcPr>
            <w:tcW w:type="dxa" w:w="2556"/>
          </w:tcPr>
          <w:p>
            <w:pPr>
              <w:spacing w:before="0" w:after="0"/>
            </w:pPr>
            <w:r>
              <w:rPr>
                <w:b/>
                <w:sz w:val="19"/>
              </w:rPr>
              <w:t>Information architecture</w:t>
            </w:r>
          </w:p>
        </w:tc>
        <w:tc>
          <w:tcPr>
            <w:tcW w:type="dxa" w:w="4640"/>
          </w:tcPr>
          <w:p>
            <w:pPr>
              <w:spacing w:before="0" w:after="0"/>
            </w:pPr>
            <w:r>
              <w:rPr>
                <w:sz w:val="19"/>
              </w:rPr>
              <w:t>How the content of a website or app is organised, grouped and named, and how people move through it. It is the structure behind the screens.</w:t>
            </w:r>
          </w:p>
        </w:tc>
        <w:tc>
          <w:tcPr>
            <w:tcW w:type="dxa" w:w="1566"/>
          </w:tcPr>
          <w:p>
            <w:pPr>
              <w:spacing w:before="0" w:after="0"/>
            </w:pPr>
            <w:r>
              <w:rPr>
                <w:sz w:val="19"/>
              </w:rPr>
              <w:t>—</w:t>
            </w:r>
          </w:p>
        </w:tc>
        <w:tc>
          <w:tcPr>
            <w:tcW w:type="dxa" w:w="876"/>
          </w:tcPr>
          <w:p>
            <w:pPr>
              <w:spacing w:before="0" w:after="0"/>
            </w:pPr>
            <w:r>
              <w:rPr>
                <w:sz w:val="19"/>
              </w:rPr>
              <w:t>Day 2</w:t>
            </w:r>
          </w:p>
        </w:tc>
      </w:tr>
      <w:tr>
        <w:trPr>
          <w:cantSplit/>
        </w:trPr>
        <w:tc>
          <w:tcPr>
            <w:tcW w:type="dxa" w:w="2556"/>
          </w:tcPr>
          <w:p>
            <w:pPr>
              <w:spacing w:before="0" w:after="0"/>
            </w:pPr>
            <w:r>
              <w:rPr>
                <w:b/>
                <w:sz w:val="19"/>
              </w:rPr>
              <w:t>Information density</w:t>
            </w:r>
          </w:p>
        </w:tc>
        <w:tc>
          <w:tcPr>
            <w:tcW w:type="dxa" w:w="4640"/>
          </w:tcPr>
          <w:p>
            <w:pPr>
              <w:spacing w:before="0" w:after="0"/>
            </w:pPr>
            <w:r>
              <w:rPr>
                <w:sz w:val="19"/>
              </w:rPr>
              <w:t>How much a screen shows at once. Too much and everything competes; too little and people have to click a lot to reach anything.</w:t>
            </w:r>
          </w:p>
        </w:tc>
        <w:tc>
          <w:tcPr>
            <w:tcW w:type="dxa" w:w="1566"/>
          </w:tcPr>
          <w:p>
            <w:pPr>
              <w:spacing w:before="0" w:after="0"/>
            </w:pPr>
            <w:r>
              <w:rPr>
                <w:sz w:val="19"/>
              </w:rPr>
              <w:t>—</w:t>
            </w:r>
          </w:p>
        </w:tc>
        <w:tc>
          <w:tcPr>
            <w:tcW w:type="dxa" w:w="876"/>
          </w:tcPr>
          <w:p>
            <w:pPr>
              <w:spacing w:before="0" w:after="0"/>
            </w:pPr>
            <w:r>
              <w:rPr>
                <w:sz w:val="19"/>
              </w:rPr>
              <w:t>Day 2</w:t>
            </w:r>
          </w:p>
        </w:tc>
      </w:tr>
      <w:tr>
        <w:trPr>
          <w:cantSplit/>
        </w:trPr>
        <w:tc>
          <w:tcPr>
            <w:tcW w:type="dxa" w:w="2556"/>
          </w:tcPr>
          <w:p>
            <w:pPr>
              <w:spacing w:before="0" w:after="0"/>
            </w:pPr>
            <w:r>
              <w:rPr>
                <w:b/>
                <w:sz w:val="19"/>
              </w:rPr>
              <w:t>Neuro-UX</w:t>
            </w:r>
          </w:p>
        </w:tc>
        <w:tc>
          <w:tcPr>
            <w:tcW w:type="dxa" w:w="4640"/>
          </w:tcPr>
          <w:p>
            <w:pPr>
              <w:spacing w:before="0" w:after="0"/>
            </w:pPr>
            <w:r>
              <w:rPr>
                <w:sz w:val="19"/>
              </w:rPr>
              <w:t>Designing an interface with knowledge of how the brain sees, attends, feels and decides, so that the design steers these processes on purpose and responsibly.</w:t>
            </w:r>
          </w:p>
        </w:tc>
        <w:tc>
          <w:tcPr>
            <w:tcW w:type="dxa" w:w="1566"/>
          </w:tcPr>
          <w:p>
            <w:pPr>
              <w:spacing w:before="0" w:after="0"/>
            </w:pPr>
            <w:r>
              <w:rPr>
                <w:sz w:val="19"/>
              </w:rPr>
              <w:t>—</w:t>
            </w:r>
          </w:p>
        </w:tc>
        <w:tc>
          <w:tcPr>
            <w:tcW w:type="dxa" w:w="876"/>
          </w:tcPr>
          <w:p>
            <w:pPr>
              <w:spacing w:before="0" w:after="0"/>
            </w:pPr>
            <w:r>
              <w:rPr>
                <w:sz w:val="19"/>
              </w:rPr>
              <w:t>Day 1</w:t>
            </w:r>
          </w:p>
        </w:tc>
      </w:tr>
      <w:tr>
        <w:trPr>
          <w:cantSplit/>
        </w:trPr>
        <w:tc>
          <w:tcPr>
            <w:tcW w:type="dxa" w:w="2556"/>
          </w:tcPr>
          <w:p>
            <w:pPr>
              <w:spacing w:before="0" w:after="0"/>
            </w:pPr>
            <w:r>
              <w:rPr>
                <w:b/>
                <w:sz w:val="19"/>
              </w:rPr>
              <w:t>Orientation</w:t>
            </w:r>
          </w:p>
        </w:tc>
        <w:tc>
          <w:tcPr>
            <w:tcW w:type="dxa" w:w="4640"/>
          </w:tcPr>
          <w:p>
            <w:pPr>
              <w:spacing w:before="0" w:after="0"/>
            </w:pPr>
            <w:r>
              <w:rPr>
                <w:sz w:val="19"/>
              </w:rPr>
              <w:t>Knowing where you are, what you can do here and what happens next.</w:t>
            </w:r>
          </w:p>
        </w:tc>
        <w:tc>
          <w:tcPr>
            <w:tcW w:type="dxa" w:w="1566"/>
          </w:tcPr>
          <w:p>
            <w:pPr>
              <w:spacing w:before="0" w:after="0"/>
            </w:pPr>
            <w:r>
              <w:rPr>
                <w:sz w:val="19"/>
              </w:rPr>
              <w:t>—</w:t>
            </w:r>
          </w:p>
        </w:tc>
        <w:tc>
          <w:tcPr>
            <w:tcW w:type="dxa" w:w="876"/>
          </w:tcPr>
          <w:p>
            <w:pPr>
              <w:spacing w:before="0" w:after="0"/>
            </w:pPr>
            <w:r>
              <w:rPr>
                <w:sz w:val="19"/>
              </w:rPr>
              <w:t>Day 1</w:t>
            </w:r>
          </w:p>
        </w:tc>
      </w:tr>
      <w:tr>
        <w:trPr>
          <w:cantSplit/>
        </w:trPr>
        <w:tc>
          <w:tcPr>
            <w:tcW w:type="dxa" w:w="2556"/>
          </w:tcPr>
          <w:p>
            <w:pPr>
              <w:spacing w:before="0" w:after="0"/>
            </w:pPr>
            <w:r>
              <w:rPr>
                <w:b/>
                <w:sz w:val="19"/>
              </w:rPr>
              <w:t>Page type</w:t>
            </w:r>
          </w:p>
        </w:tc>
        <w:tc>
          <w:tcPr>
            <w:tcW w:type="dxa" w:w="4640"/>
          </w:tcPr>
          <w:p>
            <w:pPr>
              <w:spacing w:before="0" w:after="0"/>
            </w:pPr>
            <w:r>
              <w:rPr>
                <w:sz w:val="19"/>
              </w:rPr>
              <w:t>A kind of page that appears many times, such as a course page, a certificate page or a booking page. Each type should keep the same structure.</w:t>
            </w:r>
          </w:p>
        </w:tc>
        <w:tc>
          <w:tcPr>
            <w:tcW w:type="dxa" w:w="1566"/>
          </w:tcPr>
          <w:p>
            <w:pPr>
              <w:spacing w:before="0" w:after="0"/>
            </w:pPr>
            <w:r>
              <w:rPr>
                <w:sz w:val="19"/>
              </w:rPr>
              <w:t>—</w:t>
            </w:r>
          </w:p>
        </w:tc>
        <w:tc>
          <w:tcPr>
            <w:tcW w:type="dxa" w:w="876"/>
          </w:tcPr>
          <w:p>
            <w:pPr>
              <w:spacing w:before="0" w:after="0"/>
            </w:pPr>
            <w:r>
              <w:rPr>
                <w:sz w:val="19"/>
              </w:rPr>
              <w:t>Day 2</w:t>
            </w:r>
          </w:p>
        </w:tc>
      </w:tr>
      <w:tr>
        <w:trPr>
          <w:cantSplit/>
        </w:trPr>
        <w:tc>
          <w:tcPr>
            <w:tcW w:type="dxa" w:w="2556"/>
          </w:tcPr>
          <w:p>
            <w:pPr>
              <w:spacing w:before="0" w:after="0"/>
            </w:pPr>
            <w:r>
              <w:rPr>
                <w:b/>
                <w:sz w:val="19"/>
              </w:rPr>
              <w:t>Perception</w:t>
            </w:r>
          </w:p>
        </w:tc>
        <w:tc>
          <w:tcPr>
            <w:tcW w:type="dxa" w:w="4640"/>
          </w:tcPr>
          <w:p>
            <w:pPr>
              <w:spacing w:before="0" w:after="0"/>
            </w:pPr>
            <w:r>
              <w:rPr>
                <w:sz w:val="19"/>
              </w:rPr>
              <w:t>Taking in what the senses deliver, for example what the eyes see on a screen, before thinking about it.</w:t>
            </w:r>
          </w:p>
        </w:tc>
        <w:tc>
          <w:tcPr>
            <w:tcW w:type="dxa" w:w="1566"/>
          </w:tcPr>
          <w:p>
            <w:pPr>
              <w:spacing w:before="0" w:after="0"/>
            </w:pPr>
            <w:r>
              <w:rPr>
                <w:sz w:val="19"/>
              </w:rPr>
              <w:t>—</w:t>
            </w:r>
          </w:p>
        </w:tc>
        <w:tc>
          <w:tcPr>
            <w:tcW w:type="dxa" w:w="876"/>
          </w:tcPr>
          <w:p>
            <w:pPr>
              <w:spacing w:before="0" w:after="0"/>
            </w:pPr>
            <w:r>
              <w:rPr>
                <w:sz w:val="19"/>
              </w:rPr>
              <w:t>Day 1</w:t>
            </w:r>
          </w:p>
        </w:tc>
      </w:tr>
      <w:tr>
        <w:trPr>
          <w:cantSplit/>
        </w:trPr>
        <w:tc>
          <w:tcPr>
            <w:tcW w:type="dxa" w:w="2556"/>
          </w:tcPr>
          <w:p>
            <w:pPr>
              <w:spacing w:before="0" w:after="0"/>
            </w:pPr>
            <w:r>
              <w:rPr>
                <w:b/>
                <w:sz w:val="19"/>
              </w:rPr>
              <w:t>Primary action</w:t>
            </w:r>
          </w:p>
        </w:tc>
        <w:tc>
          <w:tcPr>
            <w:tcW w:type="dxa" w:w="4640"/>
          </w:tcPr>
          <w:p>
            <w:pPr>
              <w:spacing w:before="0" w:after="0"/>
            </w:pPr>
            <w:r>
              <w:rPr>
                <w:sz w:val="19"/>
              </w:rPr>
              <w:t>The one thing most people on a screen came to do, such as “Report damage”. It should be the easiest thing to see and press.</w:t>
            </w:r>
          </w:p>
        </w:tc>
        <w:tc>
          <w:tcPr>
            <w:tcW w:type="dxa" w:w="1566"/>
          </w:tcPr>
          <w:p>
            <w:pPr>
              <w:spacing w:before="0" w:after="0"/>
            </w:pPr>
            <w:r>
              <w:rPr>
                <w:sz w:val="19"/>
              </w:rPr>
              <w:t>—</w:t>
            </w:r>
          </w:p>
        </w:tc>
        <w:tc>
          <w:tcPr>
            <w:tcW w:type="dxa" w:w="876"/>
          </w:tcPr>
          <w:p>
            <w:pPr>
              <w:spacing w:before="0" w:after="0"/>
            </w:pPr>
            <w:r>
              <w:rPr>
                <w:sz w:val="19"/>
              </w:rPr>
              <w:t>Day 1</w:t>
            </w:r>
          </w:p>
        </w:tc>
      </w:tr>
      <w:tr>
        <w:trPr>
          <w:cantSplit/>
        </w:trPr>
        <w:tc>
          <w:tcPr>
            <w:tcW w:type="dxa" w:w="2556"/>
          </w:tcPr>
          <w:p>
            <w:pPr>
              <w:spacing w:before="0" w:after="0"/>
            </w:pPr>
            <w:r>
              <w:rPr>
                <w:b/>
                <w:sz w:val="19"/>
              </w:rPr>
              <w:t>Progressive disclosure</w:t>
            </w:r>
          </w:p>
        </w:tc>
        <w:tc>
          <w:tcPr>
            <w:tcW w:type="dxa" w:w="4640"/>
          </w:tcPr>
          <w:p>
            <w:pPr>
              <w:spacing w:before="0" w:after="0"/>
            </w:pPr>
            <w:r>
              <w:rPr>
                <w:sz w:val="19"/>
              </w:rPr>
              <w:t>Showing the few most important things first and the rest one step deeper, on request, so the first screen stays clear.</w:t>
            </w:r>
          </w:p>
        </w:tc>
        <w:tc>
          <w:tcPr>
            <w:tcW w:type="dxa" w:w="1566"/>
          </w:tcPr>
          <w:p>
            <w:pPr>
              <w:spacing w:before="0" w:after="0"/>
            </w:pPr>
            <w:r>
              <w:rPr>
                <w:sz w:val="19"/>
              </w:rPr>
              <w:t>—</w:t>
            </w:r>
          </w:p>
        </w:tc>
        <w:tc>
          <w:tcPr>
            <w:tcW w:type="dxa" w:w="876"/>
          </w:tcPr>
          <w:p>
            <w:pPr>
              <w:spacing w:before="0" w:after="0"/>
            </w:pPr>
            <w:r>
              <w:rPr>
                <w:sz w:val="19"/>
              </w:rPr>
              <w:t>Day 2</w:t>
            </w:r>
          </w:p>
        </w:tc>
      </w:tr>
      <w:tr>
        <w:trPr>
          <w:cantSplit/>
        </w:trPr>
        <w:tc>
          <w:tcPr>
            <w:tcW w:type="dxa" w:w="2556"/>
          </w:tcPr>
          <w:p>
            <w:pPr>
              <w:spacing w:before="0" w:after="0"/>
            </w:pPr>
            <w:r>
              <w:rPr>
                <w:b/>
                <w:sz w:val="19"/>
              </w:rPr>
              <w:t>Provider-centred design</w:t>
            </w:r>
          </w:p>
        </w:tc>
        <w:tc>
          <w:tcPr>
            <w:tcW w:type="dxa" w:w="4640"/>
          </w:tcPr>
          <w:p>
            <w:pPr>
              <w:spacing w:before="0" w:after="0"/>
            </w:pPr>
            <w:r>
              <w:rPr>
                <w:sz w:val="19"/>
              </w:rPr>
              <w:t>Designing from the organisation's own point of view: its departments, its terms and what it wants to say. The result is often complete but hard to use.</w:t>
            </w:r>
          </w:p>
        </w:tc>
        <w:tc>
          <w:tcPr>
            <w:tcW w:type="dxa" w:w="1566"/>
          </w:tcPr>
          <w:p>
            <w:pPr>
              <w:spacing w:before="0" w:after="0"/>
            </w:pPr>
            <w:r>
              <w:rPr>
                <w:sz w:val="19"/>
              </w:rPr>
              <w:t>A menu with one item per department, named as the departments call themselves.</w:t>
            </w:r>
          </w:p>
        </w:tc>
        <w:tc>
          <w:tcPr>
            <w:tcW w:type="dxa" w:w="876"/>
          </w:tcPr>
          <w:p>
            <w:pPr>
              <w:spacing w:before="0" w:after="0"/>
            </w:pPr>
            <w:r>
              <w:rPr>
                <w:sz w:val="19"/>
              </w:rPr>
              <w:t>Day 2</w:t>
            </w:r>
          </w:p>
        </w:tc>
      </w:tr>
      <w:tr>
        <w:trPr>
          <w:cantSplit/>
        </w:trPr>
        <w:tc>
          <w:tcPr>
            <w:tcW w:type="dxa" w:w="2556"/>
          </w:tcPr>
          <w:p>
            <w:pPr>
              <w:spacing w:before="0" w:after="0"/>
            </w:pPr>
            <w:r>
              <w:rPr>
                <w:b/>
                <w:sz w:val="19"/>
              </w:rPr>
              <w:t>Recognition instead of recall</w:t>
            </w:r>
          </w:p>
        </w:tc>
        <w:tc>
          <w:tcPr>
            <w:tcW w:type="dxa" w:w="4640"/>
          </w:tcPr>
          <w:p>
            <w:pPr>
              <w:spacing w:before="0" w:after="0"/>
            </w:pPr>
            <w:r>
              <w:rPr>
                <w:sz w:val="19"/>
              </w:rPr>
              <w:t>Showing people the options and the next step so they can recognise them, instead of making them remember or hunt for them.</w:t>
            </w:r>
          </w:p>
        </w:tc>
        <w:tc>
          <w:tcPr>
            <w:tcW w:type="dxa" w:w="1566"/>
          </w:tcPr>
          <w:p>
            <w:pPr>
              <w:spacing w:before="0" w:after="0"/>
            </w:pPr>
            <w:r>
              <w:rPr>
                <w:sz w:val="19"/>
              </w:rPr>
              <w:t>—</w:t>
            </w:r>
          </w:p>
        </w:tc>
        <w:tc>
          <w:tcPr>
            <w:tcW w:type="dxa" w:w="876"/>
          </w:tcPr>
          <w:p>
            <w:pPr>
              <w:spacing w:before="0" w:after="0"/>
            </w:pPr>
            <w:r>
              <w:rPr>
                <w:sz w:val="19"/>
              </w:rPr>
              <w:t>Day 2</w:t>
            </w:r>
          </w:p>
        </w:tc>
      </w:tr>
      <w:tr>
        <w:trPr>
          <w:cantSplit/>
        </w:trPr>
        <w:tc>
          <w:tcPr>
            <w:tcW w:type="dxa" w:w="2556"/>
          </w:tcPr>
          <w:p>
            <w:pPr>
              <w:spacing w:before="0" w:after="0"/>
            </w:pPr>
            <w:r>
              <w:rPr>
                <w:b/>
                <w:sz w:val="19"/>
              </w:rPr>
              <w:t>Scanning</w:t>
            </w:r>
          </w:p>
        </w:tc>
        <w:tc>
          <w:tcPr>
            <w:tcW w:type="dxa" w:w="4640"/>
          </w:tcPr>
          <w:p>
            <w:pPr>
              <w:spacing w:before="0" w:after="0"/>
            </w:pPr>
            <w:r>
              <w:rPr>
                <w:sz w:val="19"/>
              </w:rPr>
              <w:t>Looking over a screen quickly and picking out what seems relevant, instead of reading it word by word. Most people scan first.</w:t>
            </w:r>
          </w:p>
        </w:tc>
        <w:tc>
          <w:tcPr>
            <w:tcW w:type="dxa" w:w="1566"/>
          </w:tcPr>
          <w:p>
            <w:pPr>
              <w:spacing w:before="0" w:after="0"/>
            </w:pPr>
            <w:r>
              <w:rPr>
                <w:sz w:val="19"/>
              </w:rPr>
              <w:t>—</w:t>
            </w:r>
          </w:p>
        </w:tc>
        <w:tc>
          <w:tcPr>
            <w:tcW w:type="dxa" w:w="876"/>
          </w:tcPr>
          <w:p>
            <w:pPr>
              <w:spacing w:before="0" w:after="0"/>
            </w:pPr>
            <w:r>
              <w:rPr>
                <w:sz w:val="19"/>
              </w:rPr>
              <w:t>Day 2</w:t>
            </w:r>
          </w:p>
        </w:tc>
      </w:tr>
      <w:tr>
        <w:trPr>
          <w:cantSplit/>
        </w:trPr>
        <w:tc>
          <w:tcPr>
            <w:tcW w:type="dxa" w:w="2556"/>
          </w:tcPr>
          <w:p>
            <w:pPr>
              <w:spacing w:before="0" w:after="0"/>
            </w:pPr>
            <w:r>
              <w:rPr>
                <w:b/>
                <w:sz w:val="19"/>
              </w:rPr>
              <w:t>Stakeholder</w:t>
            </w:r>
          </w:p>
        </w:tc>
        <w:tc>
          <w:tcPr>
            <w:tcW w:type="dxa" w:w="4640"/>
          </w:tcPr>
          <w:p>
            <w:pPr>
              <w:spacing w:before="0" w:after="0"/>
            </w:pPr>
            <w:r>
              <w:rPr>
                <w:sz w:val="19"/>
              </w:rPr>
              <w:t>A person or department with an interest in a decision, such as marketing, compliance, IT or sales.</w:t>
            </w:r>
          </w:p>
        </w:tc>
        <w:tc>
          <w:tcPr>
            <w:tcW w:type="dxa" w:w="1566"/>
          </w:tcPr>
          <w:p>
            <w:pPr>
              <w:spacing w:before="0" w:after="0"/>
            </w:pPr>
            <w:r>
              <w:rPr>
                <w:sz w:val="19"/>
              </w:rPr>
              <w:t>—</w:t>
            </w:r>
          </w:p>
        </w:tc>
        <w:tc>
          <w:tcPr>
            <w:tcW w:type="dxa" w:w="876"/>
          </w:tcPr>
          <w:p>
            <w:pPr>
              <w:spacing w:before="0" w:after="0"/>
            </w:pPr>
            <w:r>
              <w:rPr>
                <w:sz w:val="19"/>
              </w:rPr>
              <w:t>Day 1</w:t>
            </w:r>
          </w:p>
        </w:tc>
      </w:tr>
      <w:tr>
        <w:trPr>
          <w:cantSplit/>
        </w:trPr>
        <w:tc>
          <w:tcPr>
            <w:tcW w:type="dxa" w:w="2556"/>
          </w:tcPr>
          <w:p>
            <w:pPr>
              <w:spacing w:before="0" w:after="0"/>
            </w:pPr>
            <w:r>
              <w:rPr>
                <w:b/>
                <w:sz w:val="19"/>
              </w:rPr>
              <w:t>Timeliness</w:t>
            </w:r>
          </w:p>
        </w:tc>
        <w:tc>
          <w:tcPr>
            <w:tcW w:type="dxa" w:w="4640"/>
          </w:tcPr>
          <w:p>
            <w:pPr>
              <w:spacing w:before="0" w:after="0"/>
            </w:pPr>
            <w:r>
              <w:rPr>
                <w:sz w:val="19"/>
              </w:rPr>
              <w:t>How soon a measure shows its effect for the users. A measure with high timeliness is noticed in days or weeks, not next year.</w:t>
            </w:r>
          </w:p>
        </w:tc>
        <w:tc>
          <w:tcPr>
            <w:tcW w:type="dxa" w:w="1566"/>
          </w:tcPr>
          <w:p>
            <w:pPr>
              <w:spacing w:before="0" w:after="0"/>
            </w:pPr>
            <w:r>
              <w:rPr>
                <w:sz w:val="19"/>
              </w:rPr>
              <w:t>—</w:t>
            </w:r>
          </w:p>
        </w:tc>
        <w:tc>
          <w:tcPr>
            <w:tcW w:type="dxa" w:w="876"/>
          </w:tcPr>
          <w:p>
            <w:pPr>
              <w:spacing w:before="0" w:after="0"/>
            </w:pPr>
            <w:r>
              <w:rPr>
                <w:sz w:val="19"/>
              </w:rPr>
              <w:t>Day 2</w:t>
            </w:r>
          </w:p>
        </w:tc>
      </w:tr>
      <w:tr>
        <w:trPr>
          <w:cantSplit/>
        </w:trPr>
        <w:tc>
          <w:tcPr>
            <w:tcW w:type="dxa" w:w="2556"/>
          </w:tcPr>
          <w:p>
            <w:pPr>
              <w:spacing w:before="0" w:after="0"/>
            </w:pPr>
            <w:r>
              <w:rPr>
                <w:b/>
                <w:sz w:val="19"/>
              </w:rPr>
              <w:t>Touchpoint</w:t>
            </w:r>
          </w:p>
        </w:tc>
        <w:tc>
          <w:tcPr>
            <w:tcW w:type="dxa" w:w="4640"/>
          </w:tcPr>
          <w:p>
            <w:pPr>
              <w:spacing w:before="0" w:after="0"/>
            </w:pPr>
            <w:r>
              <w:rPr>
                <w:sz w:val="19"/>
              </w:rPr>
              <w:t>Any place where a person meets the company: the website, the customer portal, the app, a chatbot or a phone call.</w:t>
            </w:r>
          </w:p>
        </w:tc>
        <w:tc>
          <w:tcPr>
            <w:tcW w:type="dxa" w:w="1566"/>
          </w:tcPr>
          <w:p>
            <w:pPr>
              <w:spacing w:before="0" w:after="0"/>
            </w:pPr>
            <w:r>
              <w:rPr>
                <w:sz w:val="19"/>
              </w:rPr>
              <w:t>—</w:t>
            </w:r>
          </w:p>
        </w:tc>
        <w:tc>
          <w:tcPr>
            <w:tcW w:type="dxa" w:w="876"/>
          </w:tcPr>
          <w:p>
            <w:pPr>
              <w:spacing w:before="0" w:after="0"/>
            </w:pPr>
            <w:r>
              <w:rPr>
                <w:sz w:val="19"/>
              </w:rPr>
              <w:t>Day 1</w:t>
            </w:r>
          </w:p>
        </w:tc>
      </w:tr>
      <w:tr>
        <w:trPr>
          <w:cantSplit/>
        </w:trPr>
        <w:tc>
          <w:tcPr>
            <w:tcW w:type="dxa" w:w="2556"/>
          </w:tcPr>
          <w:p>
            <w:pPr>
              <w:spacing w:before="0" w:after="0"/>
            </w:pPr>
            <w:r>
              <w:rPr>
                <w:b/>
                <w:sz w:val="19"/>
              </w:rPr>
              <w:t>UI (user interface)</w:t>
            </w:r>
          </w:p>
        </w:tc>
        <w:tc>
          <w:tcPr>
            <w:tcW w:type="dxa" w:w="4640"/>
          </w:tcPr>
          <w:p>
            <w:pPr>
              <w:spacing w:before="0" w:after="0"/>
            </w:pPr>
            <w:r>
              <w:rPr>
                <w:sz w:val="19"/>
              </w:rPr>
              <w:t>What a person sees and touches on a screen: buttons, colours, text, icons and their layout. It is the surface of the experience.</w:t>
            </w:r>
          </w:p>
        </w:tc>
        <w:tc>
          <w:tcPr>
            <w:tcW w:type="dxa" w:w="1566"/>
          </w:tcPr>
          <w:p>
            <w:pPr>
              <w:spacing w:before="0" w:after="0"/>
            </w:pPr>
            <w:r>
              <w:rPr>
                <w:sz w:val="19"/>
              </w:rPr>
              <w:t>Changing a button from grey to blue is a UI change.</w:t>
            </w:r>
          </w:p>
        </w:tc>
        <w:tc>
          <w:tcPr>
            <w:tcW w:type="dxa" w:w="876"/>
          </w:tcPr>
          <w:p>
            <w:pPr>
              <w:spacing w:before="0" w:after="0"/>
            </w:pPr>
            <w:r>
              <w:rPr>
                <w:sz w:val="19"/>
              </w:rPr>
              <w:t>Day 1</w:t>
            </w:r>
          </w:p>
        </w:tc>
      </w:tr>
      <w:tr>
        <w:trPr>
          <w:cantSplit/>
        </w:trPr>
        <w:tc>
          <w:tcPr>
            <w:tcW w:type="dxa" w:w="2556"/>
          </w:tcPr>
          <w:p>
            <w:pPr>
              <w:spacing w:before="0" w:after="0"/>
            </w:pPr>
            <w:r>
              <w:rPr>
                <w:b/>
                <w:sz w:val="19"/>
              </w:rPr>
              <w:t>User-centred design</w:t>
            </w:r>
          </w:p>
        </w:tc>
        <w:tc>
          <w:tcPr>
            <w:tcW w:type="dxa" w:w="4640"/>
          </w:tcPr>
          <w:p>
            <w:pPr>
              <w:spacing w:before="0" w:after="0"/>
            </w:pPr>
            <w:r>
              <w:rPr>
                <w:sz w:val="19"/>
              </w:rPr>
              <w:t>Designing from what the users come to do, how they see and what words they use, and checking the design with them, instead of starting from how the organisation is built.</w:t>
            </w:r>
          </w:p>
        </w:tc>
        <w:tc>
          <w:tcPr>
            <w:tcW w:type="dxa" w:w="1566"/>
          </w:tcPr>
          <w:p>
            <w:pPr>
              <w:spacing w:before="0" w:after="0"/>
            </w:pPr>
            <w:r>
              <w:rPr>
                <w:sz w:val="19"/>
              </w:rPr>
              <w:t>—</w:t>
            </w:r>
          </w:p>
        </w:tc>
        <w:tc>
          <w:tcPr>
            <w:tcW w:type="dxa" w:w="876"/>
          </w:tcPr>
          <w:p>
            <w:pPr>
              <w:spacing w:before="0" w:after="0"/>
            </w:pPr>
            <w:r>
              <w:rPr>
                <w:sz w:val="19"/>
              </w:rPr>
              <w:t>Day 2</w:t>
            </w:r>
          </w:p>
        </w:tc>
      </w:tr>
      <w:tr>
        <w:trPr>
          <w:cantSplit/>
        </w:trPr>
        <w:tc>
          <w:tcPr>
            <w:tcW w:type="dxa" w:w="2556"/>
          </w:tcPr>
          <w:p>
            <w:pPr>
              <w:spacing w:before="0" w:after="0"/>
            </w:pPr>
            <w:r>
              <w:rPr>
                <w:b/>
                <w:sz w:val="19"/>
              </w:rPr>
              <w:t>UX (user experience)</w:t>
            </w:r>
          </w:p>
        </w:tc>
        <w:tc>
          <w:tcPr>
            <w:tcW w:type="dxa" w:w="4640"/>
          </w:tcPr>
          <w:p>
            <w:pPr>
              <w:spacing w:before="0" w:after="0"/>
            </w:pPr>
            <w:r>
              <w:rPr>
                <w:sz w:val="19"/>
              </w:rPr>
              <w:t>Everything a person goes through when using a product: what they notice, understand, feel and do, from the first look to the last step. The screens are only one part of it.</w:t>
            </w:r>
          </w:p>
        </w:tc>
        <w:tc>
          <w:tcPr>
            <w:tcW w:type="dxa" w:w="1566"/>
          </w:tcPr>
          <w:p>
            <w:pPr>
              <w:spacing w:before="0" w:after="0"/>
            </w:pPr>
            <w:r>
              <w:rPr>
                <w:sz w:val="19"/>
              </w:rPr>
              <w:t>Finding the booking you want at once and feeling sure it went through is a good UX.</w:t>
            </w:r>
          </w:p>
        </w:tc>
        <w:tc>
          <w:tcPr>
            <w:tcW w:type="dxa" w:w="876"/>
          </w:tcPr>
          <w:p>
            <w:pPr>
              <w:spacing w:before="0" w:after="0"/>
            </w:pPr>
            <w:r>
              <w:rPr>
                <w:sz w:val="19"/>
              </w:rPr>
              <w:t>Day 1</w:t>
            </w:r>
          </w:p>
        </w:tc>
      </w:tr>
      <w:tr>
        <w:trPr>
          <w:cantSplit/>
        </w:trPr>
        <w:tc>
          <w:tcPr>
            <w:tcW w:type="dxa" w:w="2556"/>
          </w:tcPr>
          <w:p>
            <w:pPr>
              <w:spacing w:before="0" w:after="0"/>
            </w:pPr>
            <w:r>
              <w:rPr>
                <w:b/>
                <w:sz w:val="19"/>
              </w:rPr>
              <w:t>Visual guidance</w:t>
            </w:r>
          </w:p>
        </w:tc>
        <w:tc>
          <w:tcPr>
            <w:tcW w:type="dxa" w:w="4640"/>
          </w:tcPr>
          <w:p>
            <w:pPr>
              <w:spacing w:before="0" w:after="0"/>
            </w:pPr>
            <w:r>
              <w:rPr>
                <w:sz w:val="19"/>
              </w:rPr>
              <w:t>Using contrast, grouping and structure on purpose so the eye goes first to what matters and then along a clear path.</w:t>
            </w:r>
          </w:p>
        </w:tc>
        <w:tc>
          <w:tcPr>
            <w:tcW w:type="dxa" w:w="1566"/>
          </w:tcPr>
          <w:p>
            <w:pPr>
              <w:spacing w:before="0" w:after="0"/>
            </w:pPr>
            <w:r>
              <w:rPr>
                <w:sz w:val="19"/>
              </w:rPr>
              <w:t>—</w:t>
            </w:r>
          </w:p>
        </w:tc>
        <w:tc>
          <w:tcPr>
            <w:tcW w:type="dxa" w:w="876"/>
          </w:tcPr>
          <w:p>
            <w:pPr>
              <w:spacing w:before="0" w:after="0"/>
            </w:pPr>
            <w:r>
              <w:rPr>
                <w:sz w:val="19"/>
              </w:rPr>
              <w:t>Day 2</w:t>
            </w:r>
          </w:p>
        </w:tc>
      </w:tr>
    </w:tbl>
    <w:p>
      <w:pPr>
        <w:spacing w:before="0" w:after="80"/>
      </w:pPr>
    </w:p>
    <w:p>
      <w:r>
        <w:br w:type="page"/>
      </w:r>
    </w:p>
    <w:p>
      <w:pPr>
        <w:pStyle w:val="Heading1"/>
        <w:pBdr>
          <w:bottom w:val="single" w:sz="8" w:space="2" w:color="17212E"/>
        </w:pBdr>
      </w:pPr>
      <w:r>
        <w:rPr/>
        <w:t>The Neuro-UX Lab: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36"/>
        <w:gridCol w:w="7102"/>
      </w:tblGrid>
      <w:tr>
        <w:trPr>
          <w:cantSplit/>
          <w:tblHeader/>
        </w:trPr>
        <w:tc>
          <w:tcPr>
            <w:tcW w:type="dxa" w:w="2536"/>
            <w:shd w:val="clear" w:color="auto" w:fill="E6ECF4"/>
          </w:tcPr>
          <w:p>
            <w:pPr>
              <w:spacing w:before="0" w:after="0"/>
            </w:pPr>
            <w:r>
              <w:rPr>
                <w:b/>
                <w:sz w:val="20"/>
              </w:rPr>
              <w:t>What</w:t>
            </w:r>
          </w:p>
        </w:tc>
        <w:tc>
          <w:tcPr>
            <w:tcW w:type="dxa" w:w="7102"/>
            <w:shd w:val="clear" w:color="auto" w:fill="E6ECF4"/>
          </w:tcPr>
          <w:p>
            <w:pPr>
              <w:spacing w:before="0" w:after="0"/>
            </w:pPr>
            <w:r>
              <w:rPr>
                <w:b/>
                <w:sz w:val="20"/>
              </w:rPr>
              <w:t>Address</w:t>
            </w:r>
          </w:p>
        </w:tc>
      </w:tr>
      <w:tr>
        <w:trPr>
          <w:cantSplit/>
        </w:trPr>
        <w:tc>
          <w:tcPr>
            <w:tcW w:type="dxa" w:w="2536"/>
          </w:tcPr>
          <w:p>
            <w:pPr>
              <w:spacing w:before="0" w:after="0"/>
            </w:pPr>
            <w:r>
              <w:rPr>
                <w:sz w:val="20"/>
              </w:rPr>
              <w:t>Neuro-UX Lab (course website)</w:t>
            </w:r>
          </w:p>
        </w:tc>
        <w:tc>
          <w:tcPr>
            <w:tcW w:type="dxa" w:w="7102"/>
          </w:tcPr>
          <w:p>
            <w:pPr>
              <w:spacing w:before="0" w:after="0"/>
            </w:pPr>
            <w:r>
              <w:rPr>
                <w:sz w:val="20"/>
              </w:rPr>
              <w:t>https://aion-ux-lab.vercel.app/</w:t>
            </w:r>
          </w:p>
        </w:tc>
      </w:tr>
      <w:tr>
        <w:trPr>
          <w:cantSplit/>
        </w:trPr>
        <w:tc>
          <w:tcPr>
            <w:tcW w:type="dxa" w:w="2536"/>
          </w:tcPr>
          <w:p>
            <w:pPr>
              <w:spacing w:before="0" w:after="0"/>
            </w:pPr>
            <w:r>
              <w:rPr>
                <w:sz w:val="20"/>
              </w:rPr>
              <w:t>Day 2</w:t>
            </w:r>
          </w:p>
        </w:tc>
        <w:tc>
          <w:tcPr>
            <w:tcW w:type="dxa" w:w="7102"/>
          </w:tcPr>
          <w:p>
            <w:pPr>
              <w:spacing w:before="0" w:after="0"/>
            </w:pPr>
            <w:r>
              <w:rPr>
                <w:sz w:val="20"/>
              </w:rPr>
              <w:t>https://aion-ux-lab.vercel.app/day/2/</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https://aion-ux-lab.vercel.app/day/6/.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AION UX Developer · Day 2 · Materi · v1.0 · 29.10.2026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 perception and user-centred design</dc:title>
  <dc:subject>DAY 2 · MATERI A AND MATERI B · ROUTES 1 AND 2 · LEVELS 1 TO 3</dc:subject>
  <dc:creator>AION UX Developer</dc:creator>
  <cp:keywords/>
  <dc:description>generated by python-docx</dc:description>
  <cp:lastModifiedBy/>
  <cp:revision>1</cp:revision>
  <dcterms:created xsi:type="dcterms:W3CDTF">2013-12-23T23:15:00Z</dcterms:created>
  <dcterms:modified xsi:type="dcterms:W3CDTF">2013-12-23T23:15:00Z</dcterms:modified>
  <cp:category/>
</cp:coreProperties>
</file>