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13 · MATERI A AND MATERI B · ROUTES 1 AND 2 · LEVELS 1 TO 3</w:t>
      </w:r>
    </w:p>
    <w:p>
      <w:pPr>
        <w:spacing w:before="0" w:after="80" w:line="240" w:lineRule="auto"/>
      </w:pPr>
      <w:r>
        <w:rPr>
          <w:b/>
          <w:sz w:val="52"/>
        </w:rPr>
        <w:t>Neurodiversity, inclusive patterns and assistive technologies</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13 · Module 6 (day 2 of 2): Neurodiversity, inclusive patterns and assistive technologies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LifeGuide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minds that work differently. You learn what loads people with ADHD, autistic people and people with dyslexia most, how stimuli, predictability and readability decide whether a page can be used, which inclusive design patterns help many groups at once, how assistive technologies fit in, and how to prototype and test so real hurdles show up instead of assumptions. This is the start of the practice project: you sketch an inclusive prototype and a test plan. This document holds everything you need to study Day 13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Neurodiversity: different minds, different loads · 12 min · Core</w:t>
            </w:r>
          </w:p>
          <w:p>
            <w:pPr>
              <w:spacing w:before="0" w:after="20"/>
              <w:ind w:left="170"/>
            </w:pPr>
            <w:r>
              <w:rPr>
                <w:sz w:val="20"/>
              </w:rPr>
              <w:t>A2 · Stimuli and focus: when a page is too much (ADHD, sensory sensitivity) · 12 min · Core</w:t>
            </w:r>
          </w:p>
          <w:p>
            <w:pPr>
              <w:spacing w:before="0" w:after="20"/>
              <w:ind w:left="170"/>
            </w:pPr>
            <w:r>
              <w:rPr>
                <w:sz w:val="20"/>
              </w:rPr>
              <w:t>A3 · Predictability: consistent patterns and literal words (autism) · 12 min · Core</w:t>
            </w:r>
          </w:p>
          <w:p>
            <w:pPr>
              <w:spacing w:before="0" w:after="20"/>
              <w:ind w:left="170"/>
            </w:pPr>
            <w:r>
              <w:rPr>
                <w:sz w:val="20"/>
              </w:rPr>
              <w:t>A4 · Readability: text structure, typography and language (dyslexia) · 12 min · Core</w:t>
            </w:r>
          </w:p>
          <w:p>
            <w:pPr>
              <w:spacing w:before="0" w:after="20"/>
              <w:ind w:left="170"/>
            </w:pPr>
            <w:r>
              <w:rPr>
                <w:sz w:val="20"/>
              </w:rPr>
              <w:t>A5 · Inclusive patterns, assistive technologies, and testing a prototype · 12 min · Core</w:t>
            </w:r>
          </w:p>
          <w:p>
            <w:pPr>
              <w:spacing w:before="0" w:after="20"/>
              <w:ind w:left="170"/>
            </w:pPr>
            <w:r>
              <w:rPr>
                <w:sz w:val="20"/>
              </w:rPr>
              <w:t>B1 · Neurodiverse UX as better base architecture, not a special case · 20 min · Core</w:t>
            </w:r>
          </w:p>
          <w:p>
            <w:pPr>
              <w:spacing w:before="0" w:after="20"/>
              <w:ind w:left="170"/>
            </w:pPr>
            <w:r>
              <w:rPr>
                <w:sz w:val="20"/>
              </w:rPr>
              <w:t>B2 · One standard or many modes: the conflicts of neurodiverse UX · 20 min · Core</w:t>
            </w:r>
          </w:p>
          <w:p>
            <w:pPr>
              <w:spacing w:before="0" w:after="20"/>
              <w:ind w:left="170"/>
            </w:pPr>
            <w:r>
              <w:rPr>
                <w:sz w:val="20"/>
              </w:rPr>
              <w:t>B3 · Who owns it, how it is tested, and deciding with patchy data · 20 min · Core</w:t>
            </w:r>
          </w:p>
        </w:tc>
      </w:tr>
    </w:tbl>
    <w:p>
      <w:pPr>
        <w:pStyle w:val="Heading1"/>
        <w:pBdr>
          <w:bottom w:val="single" w:sz="8" w:space="2" w:color="17212E"/>
        </w:pBdr>
      </w:pPr>
      <w:r>
        <w:rPr/>
        <w:t>Day at a glance</w:t>
      </w:r>
    </w:p>
    <w:p>
      <w:pPr>
        <w:spacing w:before="0" w:after="100"/>
      </w:pPr>
      <w:r>
        <w:rPr/>
        <w:t xml:space="preserve">Day 13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0"/>
        <w:gridCol w:w="3271"/>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0"/>
            <w:shd w:val="clear" w:color="auto" w:fill="E6ECF4"/>
          </w:tcPr>
          <w:p>
            <w:pPr>
              <w:spacing w:before="0" w:after="0"/>
            </w:pPr>
            <w:r>
              <w:rPr>
                <w:b/>
                <w:sz w:val="19"/>
              </w:rPr>
              <w:t>Plan item</w:t>
            </w:r>
          </w:p>
        </w:tc>
        <w:tc>
          <w:tcPr>
            <w:tcW w:type="dxa" w:w="3271"/>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0"/>
          </w:tcPr>
          <w:p>
            <w:pPr>
              <w:spacing w:before="0" w:after="0"/>
            </w:pPr>
            <w:r>
              <w:rPr>
                <w:sz w:val="19"/>
              </w:rPr>
              <w:t>Knowledge transfer · Level 1</w:t>
            </w:r>
          </w:p>
        </w:tc>
        <w:tc>
          <w:tcPr>
            <w:tcW w:type="dxa" w:w="3271"/>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0"/>
          </w:tcPr>
          <w:p>
            <w:pPr>
              <w:spacing w:before="0" w:after="0"/>
            </w:pPr>
            <w:r>
              <w:rPr>
                <w:sz w:val="19"/>
              </w:rPr>
              <w:t>Level 1 · Task 1</w:t>
            </w:r>
          </w:p>
        </w:tc>
        <w:tc>
          <w:tcPr>
            <w:tcW w:type="dxa" w:w="3271"/>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0"/>
          </w:tcPr>
          <w:p>
            <w:pPr>
              <w:spacing w:before="0" w:after="0"/>
            </w:pPr>
            <w:r>
              <w:rPr>
                <w:sz w:val="19"/>
              </w:rPr>
              <w:t>Level 1 · Task 2</w:t>
            </w:r>
          </w:p>
        </w:tc>
        <w:tc>
          <w:tcPr>
            <w:tcW w:type="dxa" w:w="3271"/>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0"/>
          </w:tcPr>
          <w:p>
            <w:pPr>
              <w:spacing w:before="0" w:after="0"/>
            </w:pPr>
            <w:r>
              <w:rPr>
                <w:sz w:val="19"/>
              </w:rPr>
              <w:t>Coaching · transition from Level 1 to Level 2</w:t>
            </w:r>
          </w:p>
        </w:tc>
        <w:tc>
          <w:tcPr>
            <w:tcW w:type="dxa" w:w="3271"/>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0"/>
          </w:tcPr>
          <w:p>
            <w:pPr>
              <w:spacing w:before="0" w:after="0"/>
            </w:pPr>
            <w:r>
              <w:rPr>
                <w:sz w:val="19"/>
              </w:rPr>
              <w:t>Level 2 · Case study LifeGuide (</w:t>
            </w:r>
            <w:r>
              <w:rPr>
                <w:b/>
                <w:sz w:val="19"/>
              </w:rPr>
              <w:t>2 UE</w:t>
            </w:r>
            <w:r>
              <w:rPr>
                <w:sz w:val="19"/>
              </w:rPr>
              <w:t>) incl. model solution</w:t>
            </w:r>
          </w:p>
        </w:tc>
        <w:tc>
          <w:tcPr>
            <w:tcW w:type="dxa" w:w="3271"/>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0"/>
          </w:tcPr>
          <w:p>
            <w:pPr>
              <w:spacing w:before="0" w:after="0"/>
            </w:pPr>
            <w:r>
              <w:rPr>
                <w:sz w:val="19"/>
              </w:rPr>
              <w:t>Level 2 + 3 · Feedback round with a management perspective</w:t>
            </w:r>
          </w:p>
        </w:tc>
        <w:tc>
          <w:tcPr>
            <w:tcW w:type="dxa" w:w="3271"/>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0"/>
          </w:tcPr>
          <w:p>
            <w:pPr>
              <w:spacing w:before="0" w:after="0"/>
            </w:pPr>
            <w:r>
              <w:rPr>
                <w:sz w:val="19"/>
              </w:rPr>
              <w:t>Level 3 · Transfer project, Chief Experience Officer (</w:t>
            </w:r>
            <w:r>
              <w:rPr>
                <w:b/>
                <w:sz w:val="19"/>
              </w:rPr>
              <w:t>3 UE</w:t>
            </w:r>
            <w:r>
              <w:rPr>
                <w:sz w:val="19"/>
              </w:rPr>
              <w:t>: UE8–10)</w:t>
            </w:r>
          </w:p>
        </w:tc>
        <w:tc>
          <w:tcPr>
            <w:tcW w:type="dxa" w:w="3271"/>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0"/>
          </w:tcPr>
          <w:p>
            <w:pPr>
              <w:spacing w:before="0" w:after="0"/>
            </w:pPr>
            <w:r>
              <w:rPr>
                <w:sz w:val="19"/>
              </w:rPr>
              <w:t>Level 3 · Transfer project</w:t>
            </w:r>
          </w:p>
        </w:tc>
        <w:tc>
          <w:tcPr>
            <w:tcW w:type="dxa" w:w="3271"/>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4"/>
        <w:gridCol w:w="1021"/>
        <w:gridCol w:w="1458"/>
        <w:gridCol w:w="2319"/>
        <w:gridCol w:w="2296"/>
      </w:tblGrid>
      <w:tr>
        <w:trPr>
          <w:cantSplit/>
          <w:tblHeader/>
        </w:trPr>
        <w:tc>
          <w:tcPr>
            <w:tcW w:type="dxa" w:w="2544"/>
            <w:shd w:val="clear" w:color="auto" w:fill="E6ECF4"/>
          </w:tcPr>
          <w:p>
            <w:pPr>
              <w:spacing w:before="0" w:after="0"/>
            </w:pPr>
            <w:r>
              <w:rPr>
                <w:b/>
                <w:sz w:val="19"/>
              </w:rPr>
              <w:t>Component</w:t>
            </w:r>
          </w:p>
        </w:tc>
        <w:tc>
          <w:tcPr>
            <w:tcW w:type="dxa" w:w="1021"/>
            <w:shd w:val="clear" w:color="auto" w:fill="E6ECF4"/>
          </w:tcPr>
          <w:p>
            <w:pPr>
              <w:spacing w:before="0" w:after="0"/>
            </w:pPr>
            <w:r>
              <w:rPr>
                <w:b/>
                <w:sz w:val="19"/>
              </w:rPr>
              <w:t>UE</w:t>
            </w:r>
          </w:p>
        </w:tc>
        <w:tc>
          <w:tcPr>
            <w:tcW w:type="dxa" w:w="1458"/>
            <w:shd w:val="clear" w:color="auto" w:fill="E6ECF4"/>
          </w:tcPr>
          <w:p>
            <w:pPr>
              <w:spacing w:before="0" w:after="0"/>
            </w:pPr>
            <w:r>
              <w:rPr>
                <w:b/>
                <w:sz w:val="19"/>
              </w:rPr>
              <w:t>Duration</w:t>
            </w:r>
          </w:p>
        </w:tc>
        <w:tc>
          <w:tcPr>
            <w:tcW w:type="dxa" w:w="2319"/>
            <w:shd w:val="clear" w:color="auto" w:fill="E6ECF4"/>
          </w:tcPr>
          <w:p>
            <w:pPr>
              <w:spacing w:before="0" w:after="0"/>
            </w:pPr>
            <w:r>
              <w:rPr>
                <w:b/>
                <w:sz w:val="19"/>
              </w:rPr>
              <w:t>Participants work in</w:t>
            </w:r>
          </w:p>
        </w:tc>
        <w:tc>
          <w:tcPr>
            <w:tcW w:type="dxa" w:w="2296"/>
            <w:shd w:val="clear" w:color="auto" w:fill="E6ECF4"/>
          </w:tcPr>
          <w:p>
            <w:pPr>
              <w:spacing w:before="0" w:after="0"/>
            </w:pPr>
            <w:r>
              <w:rPr>
                <w:b/>
                <w:sz w:val="19"/>
              </w:rPr>
              <w:t>Model solution in</w:t>
            </w:r>
          </w:p>
        </w:tc>
      </w:tr>
      <w:tr>
        <w:trPr>
          <w:cantSplit/>
        </w:trPr>
        <w:tc>
          <w:tcPr>
            <w:tcW w:type="dxa" w:w="2544"/>
          </w:tcPr>
          <w:p>
            <w:pPr>
              <w:spacing w:before="0" w:after="0"/>
            </w:pPr>
            <w:r>
              <w:rPr>
                <w:b/>
                <w:sz w:val="19"/>
              </w:rPr>
              <w:t>Level 2 case study</w:t>
            </w:r>
            <w:r>
              <w:rPr>
                <w:sz w:val="19"/>
              </w:rPr>
              <w:t xml:space="preserve"> (LifeGuide)</w:t>
            </w:r>
          </w:p>
        </w:tc>
        <w:tc>
          <w:tcPr>
            <w:tcW w:type="dxa" w:w="1021"/>
          </w:tcPr>
          <w:p>
            <w:pPr>
              <w:spacing w:before="0" w:after="0"/>
            </w:pPr>
            <w:r>
              <w:rPr>
                <w:sz w:val="19"/>
              </w:rPr>
              <w:t>UE5–6</w:t>
            </w:r>
          </w:p>
        </w:tc>
        <w:tc>
          <w:tcPr>
            <w:tcW w:type="dxa" w:w="1458"/>
          </w:tcPr>
          <w:p>
            <w:pPr>
              <w:spacing w:before="0" w:after="0"/>
            </w:pPr>
            <w:r>
              <w:rPr>
                <w:b/>
                <w:sz w:val="19"/>
              </w:rPr>
              <w:t>2 UE</w:t>
            </w:r>
            <w:r>
              <w:rPr>
                <w:sz w:val="19"/>
              </w:rPr>
              <w:t xml:space="preserve"> · 90 min</w:t>
            </w:r>
          </w:p>
        </w:tc>
        <w:tc>
          <w:tcPr>
            <w:tcW w:type="dxa" w:w="2319"/>
          </w:tcPr>
          <w:p>
            <w:pPr>
              <w:spacing w:before="0" w:after="0"/>
            </w:pPr>
            <w:r>
              <w:rPr>
                <w:sz w:val="19"/>
              </w:rPr>
              <w:t>Task 1 · Part 2 (Block 2.1)</w:t>
            </w:r>
          </w:p>
        </w:tc>
        <w:tc>
          <w:tcPr>
            <w:tcW w:type="dxa" w:w="2296"/>
          </w:tcPr>
          <w:p>
            <w:pPr>
              <w:spacing w:before="0" w:after="0"/>
            </w:pPr>
            <w:r>
              <w:rPr>
                <w:sz w:val="19"/>
              </w:rPr>
              <w:t>Trainer document, section Case study</w:t>
            </w:r>
          </w:p>
        </w:tc>
      </w:tr>
      <w:tr>
        <w:trPr>
          <w:cantSplit/>
        </w:trPr>
        <w:tc>
          <w:tcPr>
            <w:tcW w:type="dxa" w:w="2544"/>
          </w:tcPr>
          <w:p>
            <w:pPr>
              <w:spacing w:before="0" w:after="0"/>
            </w:pPr>
            <w:r>
              <w:rPr>
                <w:b/>
                <w:sz w:val="19"/>
              </w:rPr>
              <w:t>Level 3 transfer project</w:t>
            </w:r>
            <w:r>
              <w:rPr>
                <w:sz w:val="19"/>
              </w:rPr>
              <w:t xml:space="preserve"> (Chief Experience Officer)</w:t>
            </w:r>
          </w:p>
        </w:tc>
        <w:tc>
          <w:tcPr>
            <w:tcW w:type="dxa" w:w="1021"/>
          </w:tcPr>
          <w:p>
            <w:pPr>
              <w:spacing w:before="0" w:after="0"/>
            </w:pPr>
            <w:r>
              <w:rPr>
                <w:sz w:val="19"/>
              </w:rPr>
              <w:t>UE8–10</w:t>
            </w:r>
          </w:p>
        </w:tc>
        <w:tc>
          <w:tcPr>
            <w:tcW w:type="dxa" w:w="1458"/>
          </w:tcPr>
          <w:p>
            <w:pPr>
              <w:spacing w:before="0" w:after="0"/>
            </w:pPr>
            <w:r>
              <w:rPr>
                <w:b/>
                <w:sz w:val="19"/>
              </w:rPr>
              <w:t>3 UE</w:t>
            </w:r>
            <w:r>
              <w:rPr>
                <w:sz w:val="19"/>
              </w:rPr>
              <w:t xml:space="preserve"> · 135 min</w:t>
            </w:r>
          </w:p>
        </w:tc>
        <w:tc>
          <w:tcPr>
            <w:tcW w:type="dxa" w:w="2319"/>
          </w:tcPr>
          <w:p>
            <w:pPr>
              <w:spacing w:before="0" w:after="0"/>
            </w:pPr>
            <w:r>
              <w:rPr>
                <w:sz w:val="19"/>
              </w:rPr>
              <w:t>Materi B and Task 2 (Block 3.1)</w:t>
            </w:r>
          </w:p>
        </w:tc>
        <w:tc>
          <w:tcPr>
            <w:tcW w:type="dxa" w:w="229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the hurdles of a learning platform for people with ADHD, autism or dyslexia, rate three designs of a career platform under conflicting goals, then analyse a support portal, develop four measures, justify them and sketch a prototype and what to test first. The cards give you the ideas and the rules you use in Task 1.</w:t>
            </w:r>
          </w:p>
        </w:tc>
      </w:tr>
    </w:tbl>
    <w:p>
      <w:pPr>
        <w:spacing w:before="0" w:after="80"/>
      </w:pPr>
    </w:p>
    <w:p>
      <w:pPr>
        <w:pStyle w:val="Heading2"/>
      </w:pPr>
      <w:r>
        <w:rPr/>
        <w:t>A1 · Neurodiversity: different minds, different loads · 12 min · Core</w:t>
      </w:r>
    </w:p>
    <w:p>
      <w:pPr>
        <w:pBdr>
          <w:left w:val="single" w:sz="18" w:space="6" w:color="1750A8"/>
        </w:pBdr>
        <w:spacing w:before="40" w:after="120"/>
        <w:ind w:left="170"/>
      </w:pPr>
      <w:r>
        <w:rPr>
          <w:i/>
          <w:color w:val="556274"/>
          <w:sz w:val="22"/>
        </w:rPr>
        <w:t>Minds differ in how they take in, process and remember information. ADHD: overstimulation, distraction, complex task structures, lack of focus. Autism: sensory overload, unclear navigation logic, inconsistent patterns, ambiguous communication. Dyslexia: difficult reading structures, unsuitable typography, unclear text structure, complex language.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Neurodiversity means that human minds differ in how they take in, process and remember information. People with ADHD are loaded most by overstimulation, distraction, complex task structures and a lack of focus. Autistic people are loaded most by sensory overload, unclear navigation logic, inconsistent patterns and ambiguous communication. People with dyslexia are loaded most by difficult reading structures, unsuitable typography, unclear text structure and complex language. These are design factors, not exceptions: many people without a diagnosis feel the same loads when they are tired, stressed or distracted.</w:t>
            </w:r>
          </w:p>
          <w:p>
            <w:pPr>
              <w:spacing w:before="0" w:after="100"/>
            </w:pPr>
            <w:r>
              <w:rPr>
                <w:b/>
              </w:rPr>
              <w:t>Why it matters.</w:t>
            </w:r>
            <w:r>
              <w:rPr/>
              <w:t xml:space="preserve"> Block 1.1 asks which hurdles StudyPath puts in front of people with different ways of perceiving and processing, and Block 2.1 asks for LifeGuide's deficits for neurodiverse use. This card gives you the load factors of ADHD, autism and dyslexia by name.</w:t>
            </w:r>
          </w:p>
          <w:p>
            <w:pPr>
              <w:spacing w:before="0" w:after="100"/>
            </w:pPr>
            <w:r>
              <w:rPr>
                <w:b/>
              </w:rPr>
              <w:t>How to read the picture.</w:t>
            </w:r>
            <w:r>
              <w:rPr/>
              <w:t xml:space="preserve"> The same Hearth Energy start page seen through three lenses: what loads Ayo (ADHD), Mirko (autism) and Tilda (dyslexia).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671377"/>
            <wp:docPr id="1" name="Picture 1"/>
            <wp:cNvGraphicFramePr>
              <a:graphicFrameLocks noChangeAspect="1"/>
            </wp:cNvGraphicFramePr>
            <a:graphic>
              <a:graphicData uri="http://schemas.openxmlformats.org/drawingml/2006/picture">
                <pic:pic>
                  <pic:nvPicPr>
                    <pic:cNvPr id="0" name="d13_A1_0-c40c92525db1.png"/>
                    <pic:cNvPicPr/>
                  </pic:nvPicPr>
                  <pic:blipFill>
                    <a:blip r:embed="rId10"/>
                    <a:stretch>
                      <a:fillRect/>
                    </a:stretch>
                  </pic:blipFill>
                  <pic:spPr>
                    <a:xfrm>
                      <a:off x="0" y="0"/>
                      <a:ext cx="5940000" cy="4671377"/>
                    </a:xfrm>
                    <a:prstGeom prst="rect"/>
                  </pic:spPr>
                </pic:pic>
              </a:graphicData>
            </a:graphic>
          </wp:inline>
        </w:drawing>
      </w:r>
    </w:p>
    <w:p>
      <w:pPr>
        <w:spacing w:before="0" w:after="160"/>
        <w:jc w:val="center"/>
      </w:pPr>
      <w:r>
        <w:rPr>
          <w:i/>
          <w:color w:val="556274"/>
          <w:sz w:val="18"/>
        </w:rPr>
        <w:t>Figure 1 · Hearth Energy's start page seen through three lenses, and designed for all three · demonstration. Shown here in its starting state; in the Neuro-UX Lab every version and every stress test can be used.</w:t>
      </w:r>
    </w:p>
    <w:p>
      <w:pPr>
        <w:spacing w:before="0" w:after="100"/>
      </w:pPr>
      <w:r>
        <w:rPr>
          <w:b/>
        </w:rPr>
        <w:t>Load factors by mind, and what usually helps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92"/>
        <w:gridCol w:w="4491"/>
        <w:gridCol w:w="3855"/>
      </w:tblGrid>
      <w:tr>
        <w:trPr>
          <w:cantSplit/>
          <w:tblHeader/>
        </w:trPr>
        <w:tc>
          <w:tcPr>
            <w:tcW w:type="dxa" w:w="1292"/>
            <w:shd w:val="clear" w:color="auto" w:fill="E6ECF4"/>
          </w:tcPr>
          <w:p>
            <w:pPr>
              <w:spacing w:before="0" w:after="0"/>
            </w:pPr>
            <w:r>
              <w:rPr>
                <w:b/>
                <w:sz w:val="20"/>
              </w:rPr>
              <w:t>Mind</w:t>
            </w:r>
          </w:p>
        </w:tc>
        <w:tc>
          <w:tcPr>
            <w:tcW w:type="dxa" w:w="4491"/>
            <w:shd w:val="clear" w:color="auto" w:fill="E6ECF4"/>
          </w:tcPr>
          <w:p>
            <w:pPr>
              <w:spacing w:before="0" w:after="0"/>
            </w:pPr>
            <w:r>
              <w:rPr>
                <w:b/>
                <w:sz w:val="20"/>
              </w:rPr>
              <w:t>What loads most</w:t>
            </w:r>
          </w:p>
        </w:tc>
        <w:tc>
          <w:tcPr>
            <w:tcW w:type="dxa" w:w="3855"/>
            <w:shd w:val="clear" w:color="auto" w:fill="E6ECF4"/>
          </w:tcPr>
          <w:p>
            <w:pPr>
              <w:spacing w:before="0" w:after="0"/>
            </w:pPr>
            <w:r>
              <w:rPr>
                <w:b/>
                <w:sz w:val="20"/>
              </w:rPr>
              <w:t>What usually helps</w:t>
            </w:r>
          </w:p>
        </w:tc>
      </w:tr>
      <w:tr>
        <w:trPr>
          <w:cantSplit/>
        </w:trPr>
        <w:tc>
          <w:tcPr>
            <w:tcW w:type="dxa" w:w="1292"/>
          </w:tcPr>
          <w:p>
            <w:pPr>
              <w:spacing w:before="0" w:after="0"/>
            </w:pPr>
            <w:r>
              <w:rPr>
                <w:sz w:val="20"/>
              </w:rPr>
              <w:t>ADHD</w:t>
            </w:r>
          </w:p>
        </w:tc>
        <w:tc>
          <w:tcPr>
            <w:tcW w:type="dxa" w:w="4491"/>
          </w:tcPr>
          <w:p>
            <w:pPr>
              <w:spacing w:before="0" w:after="0"/>
            </w:pPr>
            <w:r>
              <w:rPr>
                <w:sz w:val="20"/>
              </w:rPr>
              <w:t>Overstimulation, distraction, complex task structures, lack of focus.</w:t>
            </w:r>
          </w:p>
        </w:tc>
        <w:tc>
          <w:tcPr>
            <w:tcW w:type="dxa" w:w="3855"/>
          </w:tcPr>
          <w:p>
            <w:pPr>
              <w:spacing w:before="0" w:after="0"/>
            </w:pPr>
            <w:r>
              <w:rPr>
                <w:sz w:val="20"/>
              </w:rPr>
              <w:t>One main task, quiet extras, short steps, a visible next step.</w:t>
            </w:r>
          </w:p>
        </w:tc>
      </w:tr>
      <w:tr>
        <w:trPr>
          <w:cantSplit/>
        </w:trPr>
        <w:tc>
          <w:tcPr>
            <w:tcW w:type="dxa" w:w="1292"/>
          </w:tcPr>
          <w:p>
            <w:pPr>
              <w:spacing w:before="0" w:after="0"/>
            </w:pPr>
            <w:r>
              <w:rPr>
                <w:sz w:val="20"/>
              </w:rPr>
              <w:t>Autism</w:t>
            </w:r>
          </w:p>
        </w:tc>
        <w:tc>
          <w:tcPr>
            <w:tcW w:type="dxa" w:w="4491"/>
          </w:tcPr>
          <w:p>
            <w:pPr>
              <w:spacing w:before="0" w:after="0"/>
            </w:pPr>
            <w:r>
              <w:rPr>
                <w:sz w:val="20"/>
              </w:rPr>
              <w:t>Sensory overload, unclear navigation logic, inconsistent patterns, ambiguous words.</w:t>
            </w:r>
          </w:p>
        </w:tc>
        <w:tc>
          <w:tcPr>
            <w:tcW w:type="dxa" w:w="3855"/>
          </w:tcPr>
          <w:p>
            <w:pPr>
              <w:spacing w:before="0" w:after="0"/>
            </w:pPr>
            <w:r>
              <w:rPr>
                <w:sz w:val="20"/>
              </w:rPr>
              <w:t>Calm colours, the same patterns everywhere, literal and descriptive words.</w:t>
            </w:r>
          </w:p>
        </w:tc>
      </w:tr>
      <w:tr>
        <w:trPr>
          <w:cantSplit/>
        </w:trPr>
        <w:tc>
          <w:tcPr>
            <w:tcW w:type="dxa" w:w="1292"/>
          </w:tcPr>
          <w:p>
            <w:pPr>
              <w:spacing w:before="0" w:after="0"/>
            </w:pPr>
            <w:r>
              <w:rPr>
                <w:sz w:val="20"/>
              </w:rPr>
              <w:t>Dyslexia</w:t>
            </w:r>
          </w:p>
        </w:tc>
        <w:tc>
          <w:tcPr>
            <w:tcW w:type="dxa" w:w="4491"/>
          </w:tcPr>
          <w:p>
            <w:pPr>
              <w:spacing w:before="0" w:after="0"/>
            </w:pPr>
            <w:r>
              <w:rPr>
                <w:sz w:val="20"/>
              </w:rPr>
              <w:t>Difficult reading structures, unsuitable typography, unclear structure, complex language.</w:t>
            </w:r>
          </w:p>
        </w:tc>
        <w:tc>
          <w:tcPr>
            <w:tcW w:type="dxa" w:w="3855"/>
          </w:tcPr>
          <w:p>
            <w:pPr>
              <w:spacing w:before="0" w:after="0"/>
            </w:pPr>
            <w:r>
              <w:rPr>
                <w:sz w:val="20"/>
              </w:rPr>
              <w:t>Left-aligned, readable type, spacing, headings, plain language, read-aloud.</w:t>
            </w:r>
          </w:p>
        </w:tc>
      </w:tr>
    </w:tbl>
    <w:p>
      <w:pPr>
        <w:spacing w:before="0" w:after="80"/>
      </w:pPr>
    </w:p>
    <w:p>
      <w:pPr>
        <w:spacing w:before="0" w:after="100"/>
      </w:pPr>
      <w:r>
        <w:rPr>
          <w:b/>
        </w:rPr>
        <w:t>Different minds, different loads: how many people, and what the guidance says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42"/>
        <w:gridCol w:w="4746"/>
        <w:gridCol w:w="3550"/>
      </w:tblGrid>
      <w:tr>
        <w:trPr>
          <w:cantSplit/>
          <w:tblHeader/>
        </w:trPr>
        <w:tc>
          <w:tcPr>
            <w:tcW w:type="dxa" w:w="1342"/>
            <w:shd w:val="clear" w:color="auto" w:fill="E6ECF4"/>
          </w:tcPr>
          <w:p>
            <w:pPr>
              <w:spacing w:before="0" w:after="0"/>
            </w:pPr>
            <w:r>
              <w:rPr>
                <w:b/>
                <w:sz w:val="20"/>
              </w:rPr>
              <w:t>Topic</w:t>
            </w:r>
          </w:p>
        </w:tc>
        <w:tc>
          <w:tcPr>
            <w:tcW w:type="dxa" w:w="4746"/>
            <w:shd w:val="clear" w:color="auto" w:fill="E6ECF4"/>
          </w:tcPr>
          <w:p>
            <w:pPr>
              <w:spacing w:before="0" w:after="0"/>
            </w:pPr>
            <w:r>
              <w:rPr>
                <w:b/>
                <w:sz w:val="20"/>
              </w:rPr>
              <w:t>Real finding</w:t>
            </w:r>
          </w:p>
        </w:tc>
        <w:tc>
          <w:tcPr>
            <w:tcW w:type="dxa" w:w="3550"/>
            <w:shd w:val="clear" w:color="auto" w:fill="E6ECF4"/>
          </w:tcPr>
          <w:p>
            <w:pPr>
              <w:spacing w:before="0" w:after="0"/>
            </w:pPr>
            <w:r>
              <w:rPr>
                <w:b/>
                <w:sz w:val="20"/>
              </w:rPr>
              <w:t>What it means for a screen</w:t>
            </w:r>
          </w:p>
        </w:tc>
      </w:tr>
      <w:tr>
        <w:trPr>
          <w:cantSplit/>
        </w:trPr>
        <w:tc>
          <w:tcPr>
            <w:tcW w:type="dxa" w:w="1342"/>
          </w:tcPr>
          <w:p>
            <w:pPr>
              <w:spacing w:before="0" w:after="0"/>
            </w:pPr>
            <w:r>
              <w:rPr>
                <w:sz w:val="20"/>
              </w:rPr>
              <w:t>ADHD</w:t>
            </w:r>
          </w:p>
        </w:tc>
        <w:tc>
          <w:tcPr>
            <w:tcW w:type="dxa" w:w="4746"/>
          </w:tcPr>
          <w:p>
            <w:pPr>
              <w:spacing w:before="0" w:after="0"/>
            </w:pPr>
            <w:r>
              <w:rPr>
                <w:sz w:val="20"/>
              </w:rPr>
              <w:t>A review of 102 studies with 171,756 children and adolescents found a pooled worldwide prevalence of ADHD of 5.29% (Polanczyk et al. 2007).</w:t>
            </w:r>
          </w:p>
        </w:tc>
        <w:tc>
          <w:tcPr>
            <w:tcW w:type="dxa" w:w="3550"/>
          </w:tcPr>
          <w:p>
            <w:pPr>
              <w:spacing w:before="0" w:after="0"/>
            </w:pPr>
            <w:r>
              <w:rPr>
                <w:sz w:val="20"/>
              </w:rPr>
              <w:t>Distraction-prone users are in every audience: a quiet default serves them and everyone else.</w:t>
            </w:r>
          </w:p>
        </w:tc>
      </w:tr>
      <w:tr>
        <w:trPr>
          <w:cantSplit/>
        </w:trPr>
        <w:tc>
          <w:tcPr>
            <w:tcW w:type="dxa" w:w="1342"/>
          </w:tcPr>
          <w:p>
            <w:pPr>
              <w:spacing w:before="0" w:after="0"/>
            </w:pPr>
            <w:r>
              <w:rPr>
                <w:sz w:val="20"/>
              </w:rPr>
              <w:t>Autism</w:t>
            </w:r>
          </w:p>
        </w:tc>
        <w:tc>
          <w:tcPr>
            <w:tcW w:type="dxa" w:w="4746"/>
          </w:tcPr>
          <w:p>
            <w:pPr>
              <w:spacing w:before="0" w:after="0"/>
            </w:pPr>
            <w:r>
              <w:rPr>
                <w:sz w:val="20"/>
              </w:rPr>
              <w:t>About one in 100 children has autism, as an average estimate with large differences between studies (World Health Organization 2022).</w:t>
            </w:r>
          </w:p>
        </w:tc>
        <w:tc>
          <w:tcPr>
            <w:tcW w:type="dxa" w:w="3550"/>
          </w:tcPr>
          <w:p>
            <w:pPr>
              <w:spacing w:before="0" w:after="0"/>
            </w:pPr>
            <w:r>
              <w:rPr>
                <w:sz w:val="20"/>
              </w:rPr>
              <w:t>A predictable, literal interface is not a special case.</w:t>
            </w:r>
          </w:p>
        </w:tc>
      </w:tr>
      <w:tr>
        <w:trPr>
          <w:cantSplit/>
        </w:trPr>
        <w:tc>
          <w:tcPr>
            <w:tcW w:type="dxa" w:w="1342"/>
          </w:tcPr>
          <w:p>
            <w:pPr>
              <w:spacing w:before="0" w:after="0"/>
            </w:pPr>
            <w:r>
              <w:rPr>
                <w:sz w:val="20"/>
              </w:rPr>
              <w:t>Dyslexia</w:t>
            </w:r>
          </w:p>
        </w:tc>
        <w:tc>
          <w:tcPr>
            <w:tcW w:type="dxa" w:w="4746"/>
          </w:tcPr>
          <w:p>
            <w:pPr>
              <w:spacing w:before="0" w:after="0"/>
            </w:pPr>
            <w:r>
              <w:rPr>
                <w:sz w:val="20"/>
              </w:rPr>
              <w:t>How many people have dyslexia depends on the definition and is best seen as a continuum; the often-quoted 10% has no traceable source (Dyslexia Action).</w:t>
            </w:r>
          </w:p>
        </w:tc>
        <w:tc>
          <w:tcPr>
            <w:tcW w:type="dxa" w:w="3550"/>
          </w:tcPr>
          <w:p>
            <w:pPr>
              <w:spacing w:before="0" w:after="0"/>
            </w:pPr>
            <w:r>
              <w:rPr>
                <w:sz w:val="20"/>
              </w:rPr>
              <w:t>Design for a range of reading ability, not for a label.</w:t>
            </w:r>
          </w:p>
        </w:tc>
      </w:tr>
      <w:tr>
        <w:trPr>
          <w:cantSplit/>
        </w:trPr>
        <w:tc>
          <w:tcPr>
            <w:tcW w:type="dxa" w:w="1342"/>
          </w:tcPr>
          <w:p>
            <w:pPr>
              <w:spacing w:before="0" w:after="0"/>
            </w:pPr>
            <w:r>
              <w:rPr>
                <w:sz w:val="20"/>
              </w:rPr>
              <w:t>Where the guidance comes from</w:t>
            </w:r>
          </w:p>
        </w:tc>
        <w:tc>
          <w:tcPr>
            <w:tcW w:type="dxa" w:w="4746"/>
          </w:tcPr>
          <w:p>
            <w:pPr>
              <w:spacing w:before="0" w:after="0"/>
            </w:pPr>
            <w:r>
              <w:rPr>
                <w:sz w:val="20"/>
              </w:rPr>
              <w:t>The W3C working group on cognitive accessibility publishes objectives and patterns as supplemental guidance beyond WCAG; following it is not required for WCAG conformance (W3C COGA 2021).</w:t>
            </w:r>
          </w:p>
        </w:tc>
        <w:tc>
          <w:tcPr>
            <w:tcW w:type="dxa" w:w="3550"/>
          </w:tcPr>
          <w:p>
            <w:pPr>
              <w:spacing w:before="0" w:after="0"/>
            </w:pPr>
            <w:r>
              <w:rPr>
                <w:sz w:val="20"/>
              </w:rPr>
              <w:t>Use the patterns as a design toolkit and test them; do not claim conformance from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The load factors are the ones the plan names; ADHD as a difference in attention and executive function follows Barkley (2015); the dos and don'ts follow the Home Office posters (Pun 2016) and the British Dyslexia Association (2023).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Look at a screen through three lenses: ADHD, autism, dyslexia.</w:t>
            </w:r>
          </w:p>
          <w:p>
            <w:pPr>
              <w:pStyle w:val="ListBullet"/>
              <w:spacing w:before="0" w:after="40"/>
            </w:pPr>
            <w:r>
              <w:rPr/>
              <w:t>Ask what overloads, what confuses, and what tires.</w:t>
            </w:r>
          </w:p>
          <w:p>
            <w:pPr>
              <w:pStyle w:val="ListBullet"/>
              <w:spacing w:before="0" w:after="40"/>
            </w:pPr>
            <w:r>
              <w:rPr/>
              <w:t>Remember that many people without a diagnosis feel the same in stress.</w:t>
            </w:r>
          </w:p>
          <w:p>
            <w:pPr>
              <w:pStyle w:val="ListBullet"/>
              <w:spacing w:before="0" w:after="40"/>
            </w:pPr>
            <w:r>
              <w:rPr/>
              <w:t>Tell neurodiverse needs apart from general usability: the same screen can be usable and still overload.</w:t>
            </w:r>
          </w:p>
          <w:p>
            <w:pPr>
              <w:pStyle w:val="ListBullet"/>
              <w:spacing w:before="0" w:after="100"/>
            </w:pPr>
            <w:r>
              <w:rPr/>
              <w:t>Expect some needs to pull in different directions, and test to find the balance.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Many hurdles come less from technology than from the mental model of the people who design: a team that reads fast, ignores banners easily and likes variety builds a product for people like itself. Neurodiversity asks the team to design for minds that work differently from their own, and to test with them, because intuition is exactly what fails here.</w:t>
            </w:r>
          </w:p>
        </w:tc>
      </w:tr>
    </w:tbl>
    <w:p>
      <w:pPr>
        <w:spacing w:before="0" w:after="80"/>
      </w:pPr>
    </w:p>
    <w:p>
      <w:pPr>
        <w:spacing w:before="80" w:after="160"/>
      </w:pPr>
      <w:r>
        <w:rPr>
          <w:b/>
          <w:color w:val="556274"/>
          <w:sz w:val="18"/>
        </w:rPr>
        <w:t xml:space="preserve">Sources · </w:t>
      </w:r>
      <w:r>
        <w:rPr>
          <w:color w:val="556274"/>
          <w:sz w:val="18"/>
        </w:rPr>
        <w:t>Barkley 2015 · Pun 2016 · British Dyslexia Association 2023 · Polanczyk et al. 2007 · WHO autism fact sheet · Dyslexia Action · W3C COGA 2021</w:t>
      </w:r>
    </w:p>
    <w:p>
      <w:pPr>
        <w:pStyle w:val="Heading2"/>
      </w:pPr>
      <w:r>
        <w:rPr/>
        <w:t>A2 · Stimuli and focus: when a page is too much (ADHD, sensory sensitivity) · 12 min · Core</w:t>
      </w:r>
    </w:p>
    <w:p>
      <w:pPr>
        <w:pBdr>
          <w:left w:val="single" w:sz="18" w:space="6" w:color="1750A8"/>
        </w:pBdr>
        <w:spacing w:before="40" w:after="120"/>
        <w:ind w:left="170"/>
      </w:pPr>
      <w:r>
        <w:rPr>
          <w:i/>
          <w:color w:val="556274"/>
          <w:sz w:val="22"/>
        </w:rPr>
        <w:t>Every element competes for attention. A busy page is hard to start, easy to drift from and tiring to finish, for people with ADHD or sensory sensitivity most of all. Show one main task first, keep extras quiet, avoid movement and interruptions, and break long tasks into short steps.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Every banner, badge, colour, notification and moving element competes for attention. For people with ADHD or sensory sensitivity, a busy page is not just untidy: it is hard to start, easy to drift from and tiring to finish. Calm pages show one main task first, keep secondary things quiet, avoid movement and interruptions, and break long tasks into steps with a visible next step. Fewer stimuli help almost everyone find what matters.</w:t>
            </w:r>
          </w:p>
          <w:p>
            <w:pPr>
              <w:spacing w:before="0" w:after="100"/>
            </w:pPr>
            <w:r>
              <w:rPr>
                <w:b/>
              </w:rPr>
              <w:t>Why it matters.</w:t>
            </w:r>
            <w:r>
              <w:rPr/>
              <w:t xml:space="preserve"> Block 1.1 asks about StudyPath's start page full of hints, colours and notifications and its unprioritised tasks, Block 1.2 rates JobAccess's dense Variant A, and Block 2.1 asks about LifeGuide's competing stimuli and long forms. This card lets you turn the stimuli up and down.</w:t>
            </w:r>
          </w:p>
          <w:p>
            <w:pPr>
              <w:spacing w:before="0" w:after="100"/>
            </w:pPr>
            <w:r>
              <w:rPr>
                <w:b/>
              </w:rPr>
              <w:t>How to read the picture.</w:t>
            </w:r>
            <w:r>
              <w:rPr/>
              <w:t xml:space="preserve"> A dial turns the Hearth Energy start page from calm to overloaded: banners, badges, a moving ticker, a chat bubble, notifications. Then the same long form in one piece and in steps.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2" name="Picture 2"/>
            <wp:cNvGraphicFramePr>
              <a:graphicFrameLocks noChangeAspect="1"/>
            </wp:cNvGraphicFramePr>
            <a:graphic>
              <a:graphicData uri="http://schemas.openxmlformats.org/drawingml/2006/picture">
                <pic:pic>
                  <pic:nvPicPr>
                    <pic:cNvPr id="0" name="d13_A2_0-86649d55995d.png"/>
                    <pic:cNvPicPr/>
                  </pic:nvPicPr>
                  <pic:blipFill>
                    <a:blip r:embed="rId11"/>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2 · The Hearth Energy start page from calm to overloaded · demonstration.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4857125"/>
            <wp:docPr id="3" name="Picture 3"/>
            <wp:cNvGraphicFramePr>
              <a:graphicFrameLocks noChangeAspect="1"/>
            </wp:cNvGraphicFramePr>
            <a:graphic>
              <a:graphicData uri="http://schemas.openxmlformats.org/drawingml/2006/picture">
                <pic:pic>
                  <pic:nvPicPr>
                    <pic:cNvPr id="0" name="d13_A2_1-5849407417cb.png"/>
                    <pic:cNvPicPr/>
                  </pic:nvPicPr>
                  <pic:blipFill>
                    <a:blip r:embed="rId12"/>
                    <a:stretch>
                      <a:fillRect/>
                    </a:stretch>
                  </pic:blipFill>
                  <pic:spPr>
                    <a:xfrm>
                      <a:off x="0" y="0"/>
                      <a:ext cx="5940000" cy="4857125"/>
                    </a:xfrm>
                    <a:prstGeom prst="rect"/>
                  </pic:spPr>
                </pic:pic>
              </a:graphicData>
            </a:graphic>
          </wp:inline>
        </w:drawing>
      </w:r>
    </w:p>
    <w:p>
      <w:pPr>
        <w:spacing w:before="0" w:after="160"/>
        <w:jc w:val="center"/>
      </w:pPr>
      <w:r>
        <w:rPr>
          <w:i/>
          <w:color w:val="556274"/>
          <w:sz w:val="18"/>
        </w:rPr>
        <w:t>Figure 3 · Moving house at Hearth Energy as one long form or as three steps. Shown here in its starting state; in the Neuro-UX Lab every version and every stress test can be used.</w:t>
      </w:r>
    </w:p>
    <w:p>
      <w:pPr>
        <w:spacing w:before="0" w:after="100"/>
      </w:pPr>
      <w:r>
        <w:rPr>
          <w:b/>
        </w:rPr>
        <w:t>Stimuli and focus: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83"/>
        <w:gridCol w:w="5423"/>
        <w:gridCol w:w="2732"/>
      </w:tblGrid>
      <w:tr>
        <w:trPr>
          <w:cantSplit/>
          <w:tblHeader/>
        </w:trPr>
        <w:tc>
          <w:tcPr>
            <w:tcW w:type="dxa" w:w="1483"/>
            <w:shd w:val="clear" w:color="auto" w:fill="E6ECF4"/>
          </w:tcPr>
          <w:p>
            <w:pPr>
              <w:spacing w:before="0" w:after="0"/>
            </w:pPr>
            <w:r>
              <w:rPr>
                <w:b/>
                <w:sz w:val="20"/>
              </w:rPr>
              <w:t>Topic</w:t>
            </w:r>
          </w:p>
        </w:tc>
        <w:tc>
          <w:tcPr>
            <w:tcW w:type="dxa" w:w="5423"/>
            <w:shd w:val="clear" w:color="auto" w:fill="E6ECF4"/>
          </w:tcPr>
          <w:p>
            <w:pPr>
              <w:spacing w:before="0" w:after="0"/>
            </w:pPr>
            <w:r>
              <w:rPr>
                <w:b/>
                <w:sz w:val="20"/>
              </w:rPr>
              <w:t>Real rule</w:t>
            </w:r>
          </w:p>
        </w:tc>
        <w:tc>
          <w:tcPr>
            <w:tcW w:type="dxa" w:w="2732"/>
            <w:shd w:val="clear" w:color="auto" w:fill="E6ECF4"/>
          </w:tcPr>
          <w:p>
            <w:pPr>
              <w:spacing w:before="0" w:after="0"/>
            </w:pPr>
            <w:r>
              <w:rPr>
                <w:b/>
                <w:sz w:val="20"/>
              </w:rPr>
              <w:t>What it means for a screen</w:t>
            </w:r>
          </w:p>
        </w:tc>
      </w:tr>
      <w:tr>
        <w:trPr>
          <w:cantSplit/>
        </w:trPr>
        <w:tc>
          <w:tcPr>
            <w:tcW w:type="dxa" w:w="1483"/>
          </w:tcPr>
          <w:p>
            <w:pPr>
              <w:spacing w:before="0" w:after="0"/>
            </w:pPr>
            <w:r>
              <w:rPr>
                <w:sz w:val="20"/>
              </w:rPr>
              <w:t>Moving content</w:t>
            </w:r>
          </w:p>
        </w:tc>
        <w:tc>
          <w:tcPr>
            <w:tcW w:type="dxa" w:w="5423"/>
          </w:tcPr>
          <w:p>
            <w:pPr>
              <w:spacing w:before="0" w:after="0"/>
            </w:pPr>
            <w:r>
              <w:rPr>
                <w:sz w:val="20"/>
              </w:rPr>
              <w:t>Content that moves, blinks or scrolls, starts automatically and lasts more than five seconds must have a mechanism to pause, stop or hide it (WCAG 2.2.2).</w:t>
            </w:r>
          </w:p>
        </w:tc>
        <w:tc>
          <w:tcPr>
            <w:tcW w:type="dxa" w:w="2732"/>
          </w:tcPr>
          <w:p>
            <w:pPr>
              <w:spacing w:before="0" w:after="0"/>
            </w:pPr>
            <w:r>
              <w:rPr>
                <w:sz w:val="20"/>
              </w:rPr>
              <w:t>No auto-playing carousels, tickers or animated backgrounds without a stop.</w:t>
            </w:r>
          </w:p>
        </w:tc>
      </w:tr>
      <w:tr>
        <w:trPr>
          <w:cantSplit/>
        </w:trPr>
        <w:tc>
          <w:tcPr>
            <w:tcW w:type="dxa" w:w="1483"/>
          </w:tcPr>
          <w:p>
            <w:pPr>
              <w:spacing w:before="0" w:after="0"/>
            </w:pPr>
            <w:r>
              <w:rPr>
                <w:sz w:val="20"/>
              </w:rPr>
              <w:t>Timing</w:t>
            </w:r>
          </w:p>
        </w:tc>
        <w:tc>
          <w:tcPr>
            <w:tcW w:type="dxa" w:w="5423"/>
          </w:tcPr>
          <w:p>
            <w:pPr>
              <w:spacing w:before="0" w:after="0"/>
            </w:pPr>
            <w:r>
              <w:rPr>
                <w:sz w:val="20"/>
              </w:rPr>
              <w:t>Where a time limit is set, users must be able to turn it off, adjust it or extend it (WCAG 2.2.1).</w:t>
            </w:r>
          </w:p>
        </w:tc>
        <w:tc>
          <w:tcPr>
            <w:tcW w:type="dxa" w:w="2732"/>
          </w:tcPr>
          <w:p>
            <w:pPr>
              <w:spacing w:before="0" w:after="0"/>
            </w:pPr>
            <w:r>
              <w:rPr>
                <w:sz w:val="20"/>
              </w:rPr>
              <w:t>Do not rush a task that needs thought.</w:t>
            </w:r>
          </w:p>
        </w:tc>
      </w:tr>
      <w:tr>
        <w:trPr>
          <w:cantSplit/>
        </w:trPr>
        <w:tc>
          <w:tcPr>
            <w:tcW w:type="dxa" w:w="1483"/>
          </w:tcPr>
          <w:p>
            <w:pPr>
              <w:spacing w:before="0" w:after="0"/>
            </w:pPr>
            <w:r>
              <w:rPr>
                <w:sz w:val="20"/>
              </w:rPr>
              <w:t>Motion on request</w:t>
            </w:r>
          </w:p>
        </w:tc>
        <w:tc>
          <w:tcPr>
            <w:tcW w:type="dxa" w:w="5423"/>
          </w:tcPr>
          <w:p>
            <w:pPr>
              <w:spacing w:before="0" w:after="0"/>
            </w:pPr>
            <w:r>
              <w:rPr>
                <w:sz w:val="20"/>
              </w:rPr>
              <w:t>Browsers pass on the user's setting for reduced motion (the prefers-reduced-motion media feature), and WCAG 2.3.3 asks that motion triggered by interaction can be disabled (level AAA).</w:t>
            </w:r>
          </w:p>
        </w:tc>
        <w:tc>
          <w:tcPr>
            <w:tcW w:type="dxa" w:w="2732"/>
          </w:tcPr>
          <w:p>
            <w:pPr>
              <w:spacing w:before="0" w:after="0"/>
            </w:pPr>
            <w:r>
              <w:rPr>
                <w:sz w:val="20"/>
              </w:rPr>
              <w:t>Respect the setting: calm by choice, lively by choice.</w:t>
            </w:r>
          </w:p>
        </w:tc>
      </w:tr>
      <w:tr>
        <w:trPr>
          <w:cantSplit/>
        </w:trPr>
        <w:tc>
          <w:tcPr>
            <w:tcW w:type="dxa" w:w="1483"/>
          </w:tcPr>
          <w:p>
            <w:pPr>
              <w:spacing w:before="0" w:after="0"/>
            </w:pPr>
            <w:r>
              <w:rPr>
                <w:sz w:val="20"/>
              </w:rPr>
              <w:t>Redundant entry</w:t>
            </w:r>
          </w:p>
        </w:tc>
        <w:tc>
          <w:tcPr>
            <w:tcW w:type="dxa" w:w="5423"/>
          </w:tcPr>
          <w:p>
            <w:pPr>
              <w:spacing w:before="0" w:after="0"/>
            </w:pPr>
            <w:r>
              <w:rPr>
                <w:sz w:val="20"/>
              </w:rPr>
              <w:t>WCAG 2.2 asks that information a user already gave in the same process is not asked for again (3.3.7).</w:t>
            </w:r>
          </w:p>
        </w:tc>
        <w:tc>
          <w:tcPr>
            <w:tcW w:type="dxa" w:w="2732"/>
          </w:tcPr>
          <w:p>
            <w:pPr>
              <w:spacing w:before="0" w:after="0"/>
            </w:pPr>
            <w:r>
              <w:rPr>
                <w:sz w:val="20"/>
              </w:rPr>
              <w:t>Carry data across steps: it spares the memory and the patience.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Limiting interruptions, avoiding too much content and five or fewer main choices per screen follow the W3C's “Making Content Usable” (2021).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Count what competes for attention on the first screen.</w:t>
            </w:r>
          </w:p>
          <w:p>
            <w:pPr>
              <w:pStyle w:val="ListBullet"/>
              <w:spacing w:before="0" w:after="40"/>
            </w:pPr>
            <w:r>
              <w:rPr/>
              <w:t>Is the most important task the most visible thing?</w:t>
            </w:r>
          </w:p>
          <w:p>
            <w:pPr>
              <w:pStyle w:val="ListBullet"/>
              <w:spacing w:before="0" w:after="40"/>
            </w:pPr>
            <w:r>
              <w:rPr/>
              <w:t>Does anything move, blink or pop up without being asked?</w:t>
            </w:r>
          </w:p>
          <w:p>
            <w:pPr>
              <w:pStyle w:val="ListBullet"/>
              <w:spacing w:before="0" w:after="40"/>
            </w:pPr>
            <w:r>
              <w:rPr/>
              <w:t>Are long tasks broken into steps with a visible position and a named next step?</w:t>
            </w:r>
          </w:p>
          <w:p>
            <w:pPr>
              <w:pStyle w:val="ListBullet"/>
              <w:spacing w:before="0" w:after="100"/>
            </w:pPr>
            <w:r>
              <w:rPr/>
              <w:t>Can people stop and come back without losing their place?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Stimulus reduction is often resisted because each element has an owner who wants it seen. The page fills up one reasonable request at a time. A rule such as “one main task per screen, everything else quiet” protects the page from its own stakeholders, and it helps the customers who never asked for the extras.</w:t>
            </w:r>
          </w:p>
        </w:tc>
      </w:tr>
    </w:tbl>
    <w:p>
      <w:pPr>
        <w:spacing w:before="0" w:after="80"/>
      </w:pPr>
    </w:p>
    <w:p>
      <w:pPr>
        <w:spacing w:before="80" w:after="160"/>
      </w:pPr>
      <w:r>
        <w:rPr>
          <w:b/>
          <w:color w:val="556274"/>
          <w:sz w:val="18"/>
        </w:rPr>
        <w:t xml:space="preserve">Sources · </w:t>
      </w:r>
      <w:r>
        <w:rPr>
          <w:color w:val="556274"/>
          <w:sz w:val="18"/>
        </w:rPr>
        <w:t>W3C COGA 2021 · Barkley 2015 · WCAG 2.2</w:t>
      </w:r>
    </w:p>
    <w:p>
      <w:pPr>
        <w:pStyle w:val="Heading2"/>
      </w:pPr>
      <w:r>
        <w:rPr/>
        <w:t>A3 · Predictability: consistent patterns and literal words (autism) · 12 min · Core</w:t>
      </w:r>
    </w:p>
    <w:p>
      <w:pPr>
        <w:pBdr>
          <w:left w:val="single" w:sz="18" w:space="6" w:color="1750A8"/>
        </w:pBdr>
        <w:spacing w:before="40" w:after="120"/>
        <w:ind w:left="170"/>
      </w:pPr>
      <w:r>
        <w:rPr>
          <w:i/>
          <w:color w:val="556274"/>
          <w:sz w:val="22"/>
        </w:rPr>
        <w:t>Predictability means people can tell what will happen: the menu stays in one place, the same action has the same name, buttons say what they do, words mean what they say. Inconsistent patterns and ambiguous words are a real barrier for many autistic people and raise anxiety for many others.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Predictability means people can tell what will happen: the navigation is in the same place on every page, the same action has the same name, and words mean what they say. For many autistic people inconsistent patterns and ambiguous words are not a small annoyance but a real barrier, and they raise anxiety. Consistent layouts, descriptive buttons (“Send meter reading”, not “Go”) and literal language (no idioms, no vague hints) make an interface safe to use.</w:t>
            </w:r>
          </w:p>
          <w:p>
            <w:pPr>
              <w:spacing w:before="0" w:after="100"/>
            </w:pPr>
            <w:r>
              <w:rPr>
                <w:b/>
              </w:rPr>
              <w:t>Why it matters.</w:t>
            </w:r>
            <w:r>
              <w:rPr/>
              <w:t xml:space="preserve"> Block 1.1 asks about StudyPath's navigation that varies between course areas, Block 1.2 about JobAccess A's changing navigation, and Block 2.1 about LifeGuide's inconsistent patterns and low predictability. This card shows the same three pages built consistently and inconsistently.</w:t>
            </w:r>
          </w:p>
          <w:p>
            <w:pPr>
              <w:spacing w:before="0" w:after="100"/>
            </w:pPr>
            <w:r>
              <w:rPr>
                <w:b/>
              </w:rPr>
              <w:t>How to read the picture.</w:t>
            </w:r>
            <w:r>
              <w:rPr/>
              <w:t xml:space="preserve"> Three Hearth Energy pages, first built inconsistently (the menu moves, the main button changes name and place), then consistently.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4" name="Picture 4"/>
            <wp:cNvGraphicFramePr>
              <a:graphicFrameLocks noChangeAspect="1"/>
            </wp:cNvGraphicFramePr>
            <a:graphic>
              <a:graphicData uri="http://schemas.openxmlformats.org/drawingml/2006/picture">
                <pic:pic>
                  <pic:nvPicPr>
                    <pic:cNvPr id="0" name="d13_A3_0-135e537b963f.png"/>
                    <pic:cNvPicPr/>
                  </pic:nvPicPr>
                  <pic:blipFill>
                    <a:blip r:embed="rId13"/>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4 · Three Hearth Energy pages built inconsistently and consistently. Shown here in its starting state; in the Neuro-UX Lab every version and every stress test can be used.</w:t>
      </w:r>
    </w:p>
    <w:p>
      <w:pPr>
        <w:spacing w:before="0" w:after="100"/>
      </w:pPr>
      <w:r>
        <w:rPr>
          <w:b/>
        </w:rPr>
        <w:t>Ambiguous or literal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17"/>
        <w:gridCol w:w="4133"/>
        <w:gridCol w:w="3088"/>
      </w:tblGrid>
      <w:tr>
        <w:trPr>
          <w:cantSplit/>
          <w:tblHeader/>
        </w:trPr>
        <w:tc>
          <w:tcPr>
            <w:tcW w:type="dxa" w:w="2417"/>
            <w:shd w:val="clear" w:color="auto" w:fill="E6ECF4"/>
          </w:tcPr>
          <w:p>
            <w:pPr>
              <w:spacing w:before="0" w:after="0"/>
            </w:pPr>
            <w:r>
              <w:rPr>
                <w:b/>
                <w:sz w:val="20"/>
              </w:rPr>
              <w:t>Ambiguous</w:t>
            </w:r>
          </w:p>
        </w:tc>
        <w:tc>
          <w:tcPr>
            <w:tcW w:type="dxa" w:w="4133"/>
            <w:shd w:val="clear" w:color="auto" w:fill="E6ECF4"/>
          </w:tcPr>
          <w:p>
            <w:pPr>
              <w:spacing w:before="0" w:after="0"/>
            </w:pPr>
            <w:r>
              <w:rPr>
                <w:b/>
                <w:sz w:val="20"/>
              </w:rPr>
              <w:t>Literal</w:t>
            </w:r>
          </w:p>
        </w:tc>
        <w:tc>
          <w:tcPr>
            <w:tcW w:type="dxa" w:w="3088"/>
            <w:shd w:val="clear" w:color="auto" w:fill="E6ECF4"/>
          </w:tcPr>
          <w:p>
            <w:pPr>
              <w:spacing w:before="0" w:after="0"/>
            </w:pPr>
            <w:r>
              <w:rPr>
                <w:b/>
                <w:sz w:val="20"/>
              </w:rPr>
              <w:t>Why it matters</w:t>
            </w:r>
          </w:p>
        </w:tc>
      </w:tr>
      <w:tr>
        <w:trPr>
          <w:cantSplit/>
        </w:trPr>
        <w:tc>
          <w:tcPr>
            <w:tcW w:type="dxa" w:w="2417"/>
          </w:tcPr>
          <w:p>
            <w:pPr>
              <w:spacing w:before="0" w:after="0"/>
            </w:pPr>
            <w:r>
              <w:rPr>
                <w:sz w:val="20"/>
              </w:rPr>
              <w:t>“Let's go!”</w:t>
            </w:r>
          </w:p>
        </w:tc>
        <w:tc>
          <w:tcPr>
            <w:tcW w:type="dxa" w:w="4133"/>
          </w:tcPr>
          <w:p>
            <w:pPr>
              <w:spacing w:before="0" w:after="0"/>
            </w:pPr>
            <w:r>
              <w:rPr>
                <w:sz w:val="20"/>
              </w:rPr>
              <w:t>“Report your move”</w:t>
            </w:r>
          </w:p>
        </w:tc>
        <w:tc>
          <w:tcPr>
            <w:tcW w:type="dxa" w:w="3088"/>
          </w:tcPr>
          <w:p>
            <w:pPr>
              <w:spacing w:before="0" w:after="0"/>
            </w:pPr>
            <w:r>
              <w:rPr>
                <w:sz w:val="20"/>
              </w:rPr>
              <w:t>People know what will happen.</w:t>
            </w:r>
          </w:p>
        </w:tc>
      </w:tr>
      <w:tr>
        <w:trPr>
          <w:cantSplit/>
        </w:trPr>
        <w:tc>
          <w:tcPr>
            <w:tcW w:type="dxa" w:w="2417"/>
          </w:tcPr>
          <w:p>
            <w:pPr>
              <w:spacing w:before="0" w:after="0"/>
            </w:pPr>
            <w:r>
              <w:rPr>
                <w:sz w:val="20"/>
              </w:rPr>
              <w:t>“You're all set!”</w:t>
            </w:r>
          </w:p>
        </w:tc>
        <w:tc>
          <w:tcPr>
            <w:tcW w:type="dxa" w:w="4133"/>
          </w:tcPr>
          <w:p>
            <w:pPr>
              <w:spacing w:before="0" w:after="0"/>
            </w:pPr>
            <w:r>
              <w:rPr>
                <w:sz w:val="20"/>
              </w:rPr>
              <w:t>“Your meter reading for 31 October was received.”</w:t>
            </w:r>
          </w:p>
        </w:tc>
        <w:tc>
          <w:tcPr>
            <w:tcW w:type="dxa" w:w="3088"/>
          </w:tcPr>
          <w:p>
            <w:pPr>
              <w:spacing w:before="0" w:after="0"/>
            </w:pPr>
            <w:r>
              <w:rPr>
                <w:sz w:val="20"/>
              </w:rPr>
              <w:t>People know what was done.</w:t>
            </w:r>
          </w:p>
        </w:tc>
      </w:tr>
      <w:tr>
        <w:trPr>
          <w:cantSplit/>
        </w:trPr>
        <w:tc>
          <w:tcPr>
            <w:tcW w:type="dxa" w:w="2417"/>
          </w:tcPr>
          <w:p>
            <w:pPr>
              <w:spacing w:before="0" w:after="0"/>
            </w:pPr>
            <w:r>
              <w:rPr>
                <w:sz w:val="20"/>
              </w:rPr>
              <w:t>“Hang tight…”</w:t>
            </w:r>
          </w:p>
        </w:tc>
        <w:tc>
          <w:tcPr>
            <w:tcW w:type="dxa" w:w="4133"/>
          </w:tcPr>
          <w:p>
            <w:pPr>
              <w:spacing w:before="0" w:after="0"/>
            </w:pPr>
            <w:r>
              <w:rPr>
                <w:sz w:val="20"/>
              </w:rPr>
              <w:t>“Loading your bills. This takes about 10 seconds.”</w:t>
            </w:r>
          </w:p>
        </w:tc>
        <w:tc>
          <w:tcPr>
            <w:tcW w:type="dxa" w:w="3088"/>
          </w:tcPr>
          <w:p>
            <w:pPr>
              <w:spacing w:before="0" w:after="0"/>
            </w:pPr>
            <w:r>
              <w:rPr>
                <w:sz w:val="20"/>
              </w:rPr>
              <w:t>No idiom; a time to expect.</w:t>
            </w:r>
          </w:p>
        </w:tc>
      </w:tr>
      <w:tr>
        <w:trPr>
          <w:cantSplit/>
        </w:trPr>
        <w:tc>
          <w:tcPr>
            <w:tcW w:type="dxa" w:w="2417"/>
          </w:tcPr>
          <w:p>
            <w:pPr>
              <w:spacing w:before="0" w:after="0"/>
            </w:pPr>
            <w:r>
              <w:rPr>
                <w:sz w:val="20"/>
              </w:rPr>
              <w:t>“Oops, something went sideways”</w:t>
            </w:r>
          </w:p>
        </w:tc>
        <w:tc>
          <w:tcPr>
            <w:tcW w:type="dxa" w:w="4133"/>
          </w:tcPr>
          <w:p>
            <w:pPr>
              <w:spacing w:before="0" w:after="0"/>
            </w:pPr>
            <w:r>
              <w:rPr>
                <w:sz w:val="20"/>
              </w:rPr>
              <w:t>“We could not save your reading. Please try again.”</w:t>
            </w:r>
          </w:p>
        </w:tc>
        <w:tc>
          <w:tcPr>
            <w:tcW w:type="dxa" w:w="3088"/>
          </w:tcPr>
          <w:p>
            <w:pPr>
              <w:spacing w:before="0" w:after="0"/>
            </w:pPr>
            <w:r>
              <w:rPr>
                <w:sz w:val="20"/>
              </w:rPr>
              <w:t>What happened, and what to do.</w:t>
            </w:r>
          </w:p>
        </w:tc>
      </w:tr>
    </w:tbl>
    <w:p>
      <w:pPr>
        <w:spacing w:before="0" w:after="80"/>
      </w:pPr>
    </w:p>
    <w:p>
      <w:pPr>
        <w:spacing w:before="0" w:after="100"/>
      </w:pPr>
      <w:r>
        <w:rPr>
          <w:b/>
        </w:rPr>
        <w:t>Predictability and literal words: rules and guidance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52"/>
        <w:gridCol w:w="4732"/>
        <w:gridCol w:w="2954"/>
      </w:tblGrid>
      <w:tr>
        <w:trPr>
          <w:cantSplit/>
          <w:tblHeader/>
        </w:trPr>
        <w:tc>
          <w:tcPr>
            <w:tcW w:type="dxa" w:w="1952"/>
            <w:shd w:val="clear" w:color="auto" w:fill="E6ECF4"/>
          </w:tcPr>
          <w:p>
            <w:pPr>
              <w:spacing w:before="0" w:after="0"/>
            </w:pPr>
            <w:r>
              <w:rPr>
                <w:b/>
                <w:sz w:val="20"/>
              </w:rPr>
              <w:t>Topic</w:t>
            </w:r>
          </w:p>
        </w:tc>
        <w:tc>
          <w:tcPr>
            <w:tcW w:type="dxa" w:w="4732"/>
            <w:shd w:val="clear" w:color="auto" w:fill="E6ECF4"/>
          </w:tcPr>
          <w:p>
            <w:pPr>
              <w:spacing w:before="0" w:after="0"/>
            </w:pPr>
            <w:r>
              <w:rPr>
                <w:b/>
                <w:sz w:val="20"/>
              </w:rPr>
              <w:t>Real rule or guidance</w:t>
            </w:r>
          </w:p>
        </w:tc>
        <w:tc>
          <w:tcPr>
            <w:tcW w:type="dxa" w:w="2954"/>
            <w:shd w:val="clear" w:color="auto" w:fill="E6ECF4"/>
          </w:tcPr>
          <w:p>
            <w:pPr>
              <w:spacing w:before="0" w:after="0"/>
            </w:pPr>
            <w:r>
              <w:rPr>
                <w:b/>
                <w:sz w:val="20"/>
              </w:rPr>
              <w:t>What it means for a screen</w:t>
            </w:r>
          </w:p>
        </w:tc>
      </w:tr>
      <w:tr>
        <w:trPr>
          <w:cantSplit/>
        </w:trPr>
        <w:tc>
          <w:tcPr>
            <w:tcW w:type="dxa" w:w="1952"/>
          </w:tcPr>
          <w:p>
            <w:pPr>
              <w:spacing w:before="0" w:after="0"/>
            </w:pPr>
            <w:r>
              <w:rPr>
                <w:sz w:val="20"/>
              </w:rPr>
              <w:t>Consistent navigation</w:t>
            </w:r>
          </w:p>
        </w:tc>
        <w:tc>
          <w:tcPr>
            <w:tcW w:type="dxa" w:w="4732"/>
          </w:tcPr>
          <w:p>
            <w:pPr>
              <w:spacing w:before="0" w:after="0"/>
            </w:pPr>
            <w:r>
              <w:rPr>
                <w:sz w:val="20"/>
              </w:rPr>
              <w:t>Navigation that repeats on several pages must keep the same relative order (WCAG 3.2.3), and components with the same function must be identified consistently (3.2.4).</w:t>
            </w:r>
          </w:p>
        </w:tc>
        <w:tc>
          <w:tcPr>
            <w:tcW w:type="dxa" w:w="2954"/>
          </w:tcPr>
          <w:p>
            <w:pPr>
              <w:spacing w:before="0" w:after="0"/>
            </w:pPr>
            <w:r>
              <w:rPr>
                <w:sz w:val="20"/>
              </w:rPr>
              <w:t>Keep the same pattern in the same place on every page.</w:t>
            </w:r>
          </w:p>
        </w:tc>
      </w:tr>
      <w:tr>
        <w:trPr>
          <w:cantSplit/>
        </w:trPr>
        <w:tc>
          <w:tcPr>
            <w:tcW w:type="dxa" w:w="1952"/>
          </w:tcPr>
          <w:p>
            <w:pPr>
              <w:spacing w:before="0" w:after="0"/>
            </w:pPr>
            <w:r>
              <w:rPr>
                <w:sz w:val="20"/>
              </w:rPr>
              <w:t>Labels and instructions</w:t>
            </w:r>
          </w:p>
        </w:tc>
        <w:tc>
          <w:tcPr>
            <w:tcW w:type="dxa" w:w="4732"/>
          </w:tcPr>
          <w:p>
            <w:pPr>
              <w:spacing w:before="0" w:after="0"/>
            </w:pPr>
            <w:r>
              <w:rPr>
                <w:sz w:val="20"/>
              </w:rPr>
              <w:t>Labels or instructions must be provided where content asks for user input (WCAG 3.3.2).</w:t>
            </w:r>
          </w:p>
        </w:tc>
        <w:tc>
          <w:tcPr>
            <w:tcW w:type="dxa" w:w="2954"/>
          </w:tcPr>
          <w:p>
            <w:pPr>
              <w:spacing w:before="0" w:after="0"/>
            </w:pPr>
            <w:r>
              <w:rPr>
                <w:sz w:val="20"/>
              </w:rPr>
              <w:t>Say what is asked and in what format, before the person types.</w:t>
            </w:r>
          </w:p>
        </w:tc>
      </w:tr>
      <w:tr>
        <w:trPr>
          <w:cantSplit/>
        </w:trPr>
        <w:tc>
          <w:tcPr>
            <w:tcW w:type="dxa" w:w="1952"/>
          </w:tcPr>
          <w:p>
            <w:pPr>
              <w:spacing w:before="0" w:after="0"/>
            </w:pPr>
            <w:r>
              <w:rPr>
                <w:sz w:val="20"/>
              </w:rPr>
              <w:t>Understand and find</w:t>
            </w:r>
          </w:p>
        </w:tc>
        <w:tc>
          <w:tcPr>
            <w:tcW w:type="dxa" w:w="4732"/>
          </w:tcPr>
          <w:p>
            <w:pPr>
              <w:spacing w:before="0" w:after="0"/>
            </w:pPr>
            <w:r>
              <w:rPr>
                <w:sz w:val="20"/>
              </w:rPr>
              <w:t>Among the objectives of the cognitive accessibility guidance are helping users understand what things are and how to use them, and helping users find what they need (W3C COGA 2021).</w:t>
            </w:r>
          </w:p>
        </w:tc>
        <w:tc>
          <w:tcPr>
            <w:tcW w:type="dxa" w:w="2954"/>
          </w:tcPr>
          <w:p>
            <w:pPr>
              <w:spacing w:before="0" w:after="0"/>
            </w:pPr>
            <w:r>
              <w:rPr>
                <w:sz w:val="20"/>
              </w:rPr>
              <w:t>Use literal, descriptive words; avoid idioms and jokes in instructions.</w:t>
            </w:r>
          </w:p>
        </w:tc>
      </w:tr>
      <w:tr>
        <w:trPr>
          <w:cantSplit/>
        </w:trPr>
        <w:tc>
          <w:tcPr>
            <w:tcW w:type="dxa" w:w="1952"/>
          </w:tcPr>
          <w:p>
            <w:pPr>
              <w:spacing w:before="0" w:after="0"/>
            </w:pPr>
            <w:r>
              <w:rPr>
                <w:sz w:val="20"/>
              </w:rPr>
              <w:t>Unusual words</w:t>
            </w:r>
          </w:p>
        </w:tc>
        <w:tc>
          <w:tcPr>
            <w:tcW w:type="dxa" w:w="4732"/>
          </w:tcPr>
          <w:p>
            <w:pPr>
              <w:spacing w:before="0" w:after="0"/>
            </w:pPr>
            <w:r>
              <w:rPr>
                <w:sz w:val="20"/>
              </w:rPr>
              <w:t>WCAG asks at its highest level that a mechanism is available for finding the meaning of unusual words, idioms and jargon (3.1.3).</w:t>
            </w:r>
          </w:p>
        </w:tc>
        <w:tc>
          <w:tcPr>
            <w:tcW w:type="dxa" w:w="2954"/>
          </w:tcPr>
          <w:p>
            <w:pPr>
              <w:spacing w:before="0" w:after="0"/>
            </w:pPr>
            <w:r>
              <w:rPr>
                <w:sz w:val="20"/>
              </w:rPr>
              <w:t>If you must use a term, explain it where it appears.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Descriptive buttons, simple consistent layouts and no figures of speech follow the Home Office poster for users on the autistic spectrum (Pun 2016).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Is the navigation in the same place on every page?</w:t>
            </w:r>
          </w:p>
          <w:p>
            <w:pPr>
              <w:pStyle w:val="ListBullet"/>
              <w:spacing w:before="0" w:after="40"/>
            </w:pPr>
            <w:r>
              <w:rPr/>
              <w:t>Does the same action always have the same name and place?</w:t>
            </w:r>
          </w:p>
          <w:p>
            <w:pPr>
              <w:pStyle w:val="ListBullet"/>
              <w:spacing w:before="0" w:after="40"/>
            </w:pPr>
            <w:r>
              <w:rPr/>
              <w:t>Do buttons say what they do (“Send meter reading”), not “Go” or “Click here”?</w:t>
            </w:r>
          </w:p>
          <w:p>
            <w:pPr>
              <w:pStyle w:val="ListBullet"/>
              <w:spacing w:before="0" w:after="40"/>
            </w:pPr>
            <w:r>
              <w:rPr/>
              <w:t>Is the language literal, without idioms or vague hints?</w:t>
            </w:r>
          </w:p>
          <w:p>
            <w:pPr>
              <w:pStyle w:val="ListBullet"/>
              <w:spacing w:before="0" w:after="100"/>
            </w:pPr>
            <w:r>
              <w:rPr/>
              <w:t>Does the product say what will happen before it happens?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Playful copy (“Oops!”, “Let's go!”) is often added to make a product feel friendly. For many autistic people, and for anyone using a translation tool or reading in a second language, it does the opposite: it hides what happened. Friendliness can be in the tone of a literal sentence; it does not need idioms.</w:t>
            </w:r>
          </w:p>
        </w:tc>
      </w:tr>
    </w:tbl>
    <w:p>
      <w:pPr>
        <w:spacing w:before="0" w:after="80"/>
      </w:pPr>
    </w:p>
    <w:p>
      <w:pPr>
        <w:spacing w:before="80" w:after="160"/>
      </w:pPr>
      <w:r>
        <w:rPr>
          <w:b/>
          <w:color w:val="556274"/>
          <w:sz w:val="18"/>
        </w:rPr>
        <w:t xml:space="preserve">Sources · </w:t>
      </w:r>
      <w:r>
        <w:rPr>
          <w:color w:val="556274"/>
          <w:sz w:val="18"/>
        </w:rPr>
        <w:t>Pun 2016 · W3C COGA 2021 · WCAG 2.2</w:t>
      </w:r>
    </w:p>
    <w:p>
      <w:pPr>
        <w:pStyle w:val="Heading2"/>
      </w:pPr>
      <w:r>
        <w:rPr/>
        <w:t>A4 · Readability: text structure, typography and language (dyslexia) · 12 min · Core</w:t>
      </w:r>
    </w:p>
    <w:p>
      <w:pPr>
        <w:pBdr>
          <w:left w:val="single" w:sz="18" w:space="6" w:color="1750A8"/>
        </w:pBdr>
        <w:spacing w:before="40" w:after="120"/>
        <w:ind w:left="170"/>
      </w:pPr>
      <w:r>
        <w:rPr>
          <w:i/>
          <w:color w:val="556274"/>
          <w:sz w:val="22"/>
        </w:rPr>
        <w:t>Reading is work for people with dyslexia and for many others. Left-aligned text, a plain sans-serif font at a good size, enough line height and spacing, short lines and paragraphs, no blocks of capitals, italics or underlining, clear headings and plain language decide whether people read to the end.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For people with dyslexia, and for many others, reading is work. Text is easier to read when it is left-aligned, in a plain sans-serif font at a good size, with enough line height and spacing, in short lines and short paragraphs, without blocks of capitals, italics or underlining, and in plain language with clear headings. Small typographic choices decide whether someone reads to the end.</w:t>
            </w:r>
          </w:p>
          <w:p>
            <w:pPr>
              <w:spacing w:before="0" w:after="100"/>
            </w:pPr>
            <w:r>
              <w:rPr>
                <w:b/>
              </w:rPr>
              <w:t>Why it matters.</w:t>
            </w:r>
            <w:r>
              <w:rPr/>
              <w:t xml:space="preserve"> Block 1.1 asks about StudyPath's long, dense, complex texts, Block 1.2 rates JobAccess's readability, and Block 2.1 about LifeGuide's texts that are correct but hard to read. This card lets you change the typography of a real paragraph yourself.</w:t>
            </w:r>
          </w:p>
          <w:p>
            <w:pPr>
              <w:spacing w:before="0" w:after="100"/>
            </w:pPr>
            <w:r>
              <w:rPr>
                <w:b/>
              </w:rPr>
              <w:t>How to read the picture.</w:t>
            </w:r>
            <w:r>
              <w:rPr/>
              <w:t xml:space="preserve"> A Hearth Energy notice you can change: size, line height, line length, alignment, spacing, and an official or plain version.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60958"/>
            <wp:docPr id="5" name="Picture 5"/>
            <wp:cNvGraphicFramePr>
              <a:graphicFrameLocks noChangeAspect="1"/>
            </wp:cNvGraphicFramePr>
            <a:graphic>
              <a:graphicData uri="http://schemas.openxmlformats.org/drawingml/2006/picture">
                <pic:pic>
                  <pic:nvPicPr>
                    <pic:cNvPr id="0" name="d13_A4_0-eefcb2d5434f.png"/>
                    <pic:cNvPicPr/>
                  </pic:nvPicPr>
                  <pic:blipFill>
                    <a:blip r:embed="rId14"/>
                    <a:stretch>
                      <a:fillRect/>
                    </a:stretch>
                  </pic:blipFill>
                  <pic:spPr>
                    <a:xfrm>
                      <a:off x="0" y="0"/>
                      <a:ext cx="5940000" cy="2560958"/>
                    </a:xfrm>
                    <a:prstGeom prst="rect"/>
                  </pic:spPr>
                </pic:pic>
              </a:graphicData>
            </a:graphic>
          </wp:inline>
        </w:drawing>
      </w:r>
    </w:p>
    <w:p>
      <w:pPr>
        <w:spacing w:before="0" w:after="160"/>
        <w:jc w:val="center"/>
      </w:pPr>
      <w:r>
        <w:rPr>
          <w:i/>
          <w:color w:val="556274"/>
          <w:sz w:val="18"/>
        </w:rPr>
        <w:t>Figure 5 · A Hearth Energy notice whose typography and language you can change · Exploratory.</w:t>
      </w:r>
    </w:p>
    <w:p>
      <w:pPr>
        <w:spacing w:before="0" w:after="100"/>
      </w:pPr>
      <w:r>
        <w:rPr>
          <w:b/>
        </w:rPr>
        <w:t>Readability: what was tested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220"/>
        <w:gridCol w:w="5622"/>
        <w:gridCol w:w="2796"/>
      </w:tblGrid>
      <w:tr>
        <w:trPr>
          <w:cantSplit/>
          <w:tblHeader/>
        </w:trPr>
        <w:tc>
          <w:tcPr>
            <w:tcW w:type="dxa" w:w="1220"/>
            <w:shd w:val="clear" w:color="auto" w:fill="E6ECF4"/>
          </w:tcPr>
          <w:p>
            <w:pPr>
              <w:spacing w:before="0" w:after="0"/>
            </w:pPr>
            <w:r>
              <w:rPr>
                <w:b/>
                <w:sz w:val="20"/>
              </w:rPr>
              <w:t>Finding</w:t>
            </w:r>
          </w:p>
        </w:tc>
        <w:tc>
          <w:tcPr>
            <w:tcW w:type="dxa" w:w="5622"/>
            <w:shd w:val="clear" w:color="auto" w:fill="E6ECF4"/>
          </w:tcPr>
          <w:p>
            <w:pPr>
              <w:spacing w:before="0" w:after="0"/>
            </w:pPr>
            <w:r>
              <w:rPr>
                <w:b/>
                <w:sz w:val="20"/>
              </w:rPr>
              <w:t>What was measured</w:t>
            </w:r>
          </w:p>
        </w:tc>
        <w:tc>
          <w:tcPr>
            <w:tcW w:type="dxa" w:w="2796"/>
            <w:shd w:val="clear" w:color="auto" w:fill="E6ECF4"/>
          </w:tcPr>
          <w:p>
            <w:pPr>
              <w:spacing w:before="0" w:after="0"/>
            </w:pPr>
            <w:r>
              <w:rPr>
                <w:b/>
                <w:sz w:val="20"/>
              </w:rPr>
              <w:t>What it means for a screen</w:t>
            </w:r>
          </w:p>
        </w:tc>
      </w:tr>
      <w:tr>
        <w:trPr>
          <w:cantSplit/>
        </w:trPr>
        <w:tc>
          <w:tcPr>
            <w:tcW w:type="dxa" w:w="1220"/>
          </w:tcPr>
          <w:p>
            <w:pPr>
              <w:spacing w:before="0" w:after="0"/>
            </w:pPr>
            <w:r>
              <w:rPr>
                <w:sz w:val="20"/>
              </w:rPr>
              <w:t>Fonts</w:t>
            </w:r>
          </w:p>
        </w:tc>
        <w:tc>
          <w:tcPr>
            <w:tcW w:type="dxa" w:w="5622"/>
          </w:tcPr>
          <w:p>
            <w:pPr>
              <w:spacing w:before="0" w:after="0"/>
            </w:pPr>
            <w:r>
              <w:rPr>
                <w:sz w:val="20"/>
              </w:rPr>
              <w:t>Forty-eight readers with dyslexia read twelve texts in twelve fonts; Helvetica, Courier, Arial, Verdana and Computer Modern Unicode came out as good fonts, and italic fonts consistently reduced readability (Rello and Baeza-Yates 2013).</w:t>
            </w:r>
          </w:p>
        </w:tc>
        <w:tc>
          <w:tcPr>
            <w:tcW w:type="dxa" w:w="2796"/>
          </w:tcPr>
          <w:p>
            <w:pPr>
              <w:spacing w:before="0" w:after="0"/>
            </w:pPr>
            <w:r>
              <w:rPr>
                <w:sz w:val="20"/>
              </w:rPr>
              <w:t>Use a plain sans-serif for body text and avoid italics for blocks of text.</w:t>
            </w:r>
          </w:p>
        </w:tc>
      </w:tr>
      <w:tr>
        <w:trPr>
          <w:cantSplit/>
        </w:trPr>
        <w:tc>
          <w:tcPr>
            <w:tcW w:type="dxa" w:w="1220"/>
          </w:tcPr>
          <w:p>
            <w:pPr>
              <w:spacing w:before="0" w:after="0"/>
            </w:pPr>
            <w:r>
              <w:rPr>
                <w:sz w:val="20"/>
              </w:rPr>
              <w:t>A special font</w:t>
            </w:r>
          </w:p>
        </w:tc>
        <w:tc>
          <w:tcPr>
            <w:tcW w:type="dxa" w:w="5622"/>
          </w:tcPr>
          <w:p>
            <w:pPr>
              <w:spacing w:before="0" w:after="0"/>
            </w:pPr>
            <w:r>
              <w:rPr>
                <w:sz w:val="20"/>
              </w:rPr>
              <w:t>In the same study a font made for dyslexia did not lead to better or worse readability than the standard fonts, and the participants preferred Verdana and Helvetica (Rello and Baeza-Yates 2013).</w:t>
            </w:r>
          </w:p>
        </w:tc>
        <w:tc>
          <w:tcPr>
            <w:tcW w:type="dxa" w:w="2796"/>
          </w:tcPr>
          <w:p>
            <w:pPr>
              <w:spacing w:before="0" w:after="0"/>
            </w:pPr>
            <w:r>
              <w:rPr>
                <w:sz w:val="20"/>
              </w:rPr>
              <w:t>A special font is not a shortcut: structure, size and spacing matter more.</w:t>
            </w:r>
          </w:p>
        </w:tc>
      </w:tr>
      <w:tr>
        <w:trPr>
          <w:cantSplit/>
        </w:trPr>
        <w:tc>
          <w:tcPr>
            <w:tcW w:type="dxa" w:w="1220"/>
          </w:tcPr>
          <w:p>
            <w:pPr>
              <w:spacing w:before="0" w:after="0"/>
            </w:pPr>
            <w:r>
              <w:rPr>
                <w:sz w:val="20"/>
              </w:rPr>
              <w:t>A style guide</w:t>
            </w:r>
          </w:p>
        </w:tc>
        <w:tc>
          <w:tcPr>
            <w:tcW w:type="dxa" w:w="5622"/>
          </w:tcPr>
          <w:p>
            <w:pPr>
              <w:spacing w:before="0" w:after="0"/>
            </w:pPr>
            <w:r>
              <w:rPr>
                <w:sz w:val="20"/>
              </w:rPr>
              <w:t>The dyslexia style guide of the British Dyslexia Association recommends plain, left-aligned text with good spacing; summaries of it name sans-serif type of at least 12 points and a line spacing of about 1.5 (British Dyslexia Association 2023, as reported).</w:t>
            </w:r>
          </w:p>
        </w:tc>
        <w:tc>
          <w:tcPr>
            <w:tcW w:type="dxa" w:w="2796"/>
          </w:tcPr>
          <w:p>
            <w:pPr>
              <w:spacing w:before="0" w:after="0"/>
            </w:pPr>
            <w:r>
              <w:rPr>
                <w:sz w:val="20"/>
              </w:rPr>
              <w:t>Set type size and line spacing as rules in your components.</w:t>
            </w:r>
          </w:p>
        </w:tc>
      </w:tr>
      <w:tr>
        <w:trPr>
          <w:cantSplit/>
        </w:trPr>
        <w:tc>
          <w:tcPr>
            <w:tcW w:type="dxa" w:w="1220"/>
          </w:tcPr>
          <w:p>
            <w:pPr>
              <w:spacing w:before="0" w:after="0"/>
            </w:pPr>
            <w:r>
              <w:rPr>
                <w:sz w:val="20"/>
              </w:rPr>
              <w:t>Reading level</w:t>
            </w:r>
          </w:p>
        </w:tc>
        <w:tc>
          <w:tcPr>
            <w:tcW w:type="dxa" w:w="5622"/>
          </w:tcPr>
          <w:p>
            <w:pPr>
              <w:spacing w:before="0" w:after="0"/>
            </w:pPr>
            <w:r>
              <w:rPr>
                <w:sz w:val="20"/>
              </w:rPr>
              <w:t>WCAG asks at its highest level for supplemental content when text requires a reading ability beyond the lower secondary level (3.1.5).</w:t>
            </w:r>
          </w:p>
        </w:tc>
        <w:tc>
          <w:tcPr>
            <w:tcW w:type="dxa" w:w="2796"/>
          </w:tcPr>
          <w:p>
            <w:pPr>
              <w:spacing w:before="0" w:after="0"/>
            </w:pPr>
            <w:r>
              <w:rPr>
                <w:sz w:val="20"/>
              </w:rPr>
              <w:t>Write at the level of the audience and give a summary where needed.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The typography advice follows the British Dyslexia Association's style guide (2023) and the Home Office poster for users with dyslexia (Pun 2016).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Left-aligned, never justified.</w:t>
            </w:r>
          </w:p>
          <w:p>
            <w:pPr>
              <w:pStyle w:val="ListBullet"/>
              <w:spacing w:before="0" w:after="40"/>
            </w:pPr>
            <w:r>
              <w:rPr/>
              <w:t>At least 15 to 16 pixels, line height around 1.5, lines of 60 to 75 characters.</w:t>
            </w:r>
          </w:p>
          <w:p>
            <w:pPr>
              <w:pStyle w:val="ListBullet"/>
              <w:spacing w:before="0" w:after="40"/>
            </w:pPr>
            <w:r>
              <w:rPr/>
              <w:t>No blocks of capitals, italics or underlining.</w:t>
            </w:r>
          </w:p>
          <w:p>
            <w:pPr>
              <w:pStyle w:val="ListBullet"/>
              <w:spacing w:before="0" w:after="40"/>
            </w:pPr>
            <w:r>
              <w:rPr/>
              <w:t>Short paragraphs under clear headings; one idea per sentence.</w:t>
            </w:r>
          </w:p>
          <w:p>
            <w:pPr>
              <w:pStyle w:val="ListBullet"/>
              <w:spacing w:before="0" w:after="100"/>
            </w:pPr>
            <w:r>
              <w:rPr/>
              <w:t>Let people change contrast and size; offer read-aloud where reading is long.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Justified text is a print habit. On paper, with careful hyphenation, it looks tidy; on a screen it opens uneven gaps between words that form “rivers” down the text, and readers with dyslexia lose their place in them. Left alignment costs nothing and removes the problem.</w:t>
            </w:r>
          </w:p>
        </w:tc>
      </w:tr>
    </w:tbl>
    <w:p>
      <w:pPr>
        <w:spacing w:before="0" w:after="80"/>
      </w:pPr>
    </w:p>
    <w:p>
      <w:pPr>
        <w:spacing w:before="80" w:after="160"/>
      </w:pPr>
      <w:r>
        <w:rPr>
          <w:b/>
          <w:color w:val="556274"/>
          <w:sz w:val="18"/>
        </w:rPr>
        <w:t xml:space="preserve">Sources · </w:t>
      </w:r>
      <w:r>
        <w:rPr>
          <w:color w:val="556274"/>
          <w:sz w:val="18"/>
        </w:rPr>
        <w:t>British Dyslexia Association 2023 · Pun 2016 · Rello &amp; Baeza-Yates 2013 · WCAG 2.2</w:t>
      </w:r>
    </w:p>
    <w:p>
      <w:pPr>
        <w:pStyle w:val="Heading2"/>
      </w:pPr>
      <w:r>
        <w:rPr/>
        <w:t>A5 · Inclusive patterns, assistive technologies, and testing a prototype · 12 min · Core</w:t>
      </w:r>
    </w:p>
    <w:p>
      <w:pPr>
        <w:pBdr>
          <w:left w:val="single" w:sz="18" w:space="6" w:color="1750A8"/>
        </w:pBdr>
        <w:spacing w:before="40" w:after="120"/>
        <w:ind w:left="170"/>
      </w:pPr>
      <w:r>
        <w:rPr>
          <w:i/>
          <w:color w:val="556274"/>
          <w:sz w:val="22"/>
        </w:rPr>
        <w:t>Inclusive design patterns help several groups at once; assistive technologies let people use content their own way, but only on a good base; and only prototypes tested with real people show the real hurdles. Test orientation, stimulus load, task completion, readability and the feeling of control. Weigh measures on effect, gain for inclusion, feasibility, risk and time pressure.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Inclusive design patterns are reusable solutions that help several groups at once: one task per screen, a step indicator, descriptive buttons, a summary before sending, a calm mode, a reading mode. Assistive technologies (screen readers, text-to-speech, reader modes, text scaling, focus and stimulus filters) let people use content their own way, but only if the base structure is good. And only prototypes tested with real people show the real hurdles instead of assumptions: test orientation, stimulus load, task completion, readability and the feeling of control, in calm and in stressful situations. To put measures in order, weigh each on effect on users, gain for inclusion, feasibility, risk and time pressure.</w:t>
            </w:r>
          </w:p>
          <w:p>
            <w:pPr>
              <w:spacing w:before="0" w:after="100"/>
            </w:pPr>
            <w:r>
              <w:rPr>
                <w:b/>
              </w:rPr>
              <w:t>Why it matters.</w:t>
            </w:r>
            <w:r>
              <w:rPr/>
              <w:t xml:space="preserve"> Block 2.1 asks for four measures for LifeGuide, justified on effect on users, gain for inclusion, feasibility, risk and time pressure, and for an inclusive prototype approach with what to test first; Block 1.2 rates JobAccess C's adaptation modes. The example uses Hearth Energy and its own measures, so the answer for the task cases is not given.</w:t>
            </w:r>
          </w:p>
          <w:p>
            <w:pPr>
              <w:spacing w:before="0" w:after="100"/>
            </w:pPr>
            <w:r>
              <w:rPr>
                <w:b/>
              </w:rPr>
              <w:t>How to read the picture.</w:t>
            </w:r>
            <w:r>
              <w:rPr/>
              <w:t xml:space="preserve"> The same Hearth Energy content through five assistive technologies, with a real text-to-speech button. Then a test plan for a prototype, and three measures rated on five criteria.</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837365"/>
            <wp:docPr id="6" name="Picture 6"/>
            <wp:cNvGraphicFramePr>
              <a:graphicFrameLocks noChangeAspect="1"/>
            </wp:cNvGraphicFramePr>
            <a:graphic>
              <a:graphicData uri="http://schemas.openxmlformats.org/drawingml/2006/picture">
                <pic:pic>
                  <pic:nvPicPr>
                    <pic:cNvPr id="0" name="d13_A5_0-9ae2bcf66af7.png"/>
                    <pic:cNvPicPr/>
                  </pic:nvPicPr>
                  <pic:blipFill>
                    <a:blip r:embed="rId15"/>
                    <a:stretch>
                      <a:fillRect/>
                    </a:stretch>
                  </pic:blipFill>
                  <pic:spPr>
                    <a:xfrm>
                      <a:off x="0" y="0"/>
                      <a:ext cx="5940000" cy="4837365"/>
                    </a:xfrm>
                    <a:prstGeom prst="rect"/>
                  </pic:spPr>
                </pic:pic>
              </a:graphicData>
            </a:graphic>
          </wp:inline>
        </w:drawing>
      </w:r>
    </w:p>
    <w:p>
      <w:pPr>
        <w:spacing w:before="0" w:after="160"/>
        <w:jc w:val="center"/>
      </w:pPr>
      <w:r>
        <w:rPr>
          <w:i/>
          <w:color w:val="556274"/>
          <w:sz w:val="18"/>
        </w:rPr>
        <w:t>Figure 6 · The same Hearth Energy notice through five assistive technologies.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3513413"/>
            <wp:docPr id="7" name="Picture 7"/>
            <wp:cNvGraphicFramePr>
              <a:graphicFrameLocks noChangeAspect="1"/>
            </wp:cNvGraphicFramePr>
            <a:graphic>
              <a:graphicData uri="http://schemas.openxmlformats.org/drawingml/2006/picture">
                <pic:pic>
                  <pic:nvPicPr>
                    <pic:cNvPr id="0" name="d13_A5_1-82a129e0a789.png"/>
                    <pic:cNvPicPr/>
                  </pic:nvPicPr>
                  <pic:blipFill>
                    <a:blip r:embed="rId16"/>
                    <a:stretch>
                      <a:fillRect/>
                    </a:stretch>
                  </pic:blipFill>
                  <pic:spPr>
                    <a:xfrm>
                      <a:off x="0" y="0"/>
                      <a:ext cx="5940000" cy="3513413"/>
                    </a:xfrm>
                    <a:prstGeom prst="rect"/>
                  </pic:spPr>
                </pic:pic>
              </a:graphicData>
            </a:graphic>
          </wp:inline>
        </w:drawing>
      </w:r>
    </w:p>
    <w:p>
      <w:pPr>
        <w:spacing w:before="0" w:after="160"/>
        <w:jc w:val="center"/>
      </w:pPr>
      <w:r>
        <w:rPr>
          <w:i/>
          <w:color w:val="556274"/>
          <w:sz w:val="18"/>
        </w:rPr>
        <w:t>Figure 7 · Hearth Energy weighs three measures on effect on users, gain for inclusion, feasibility, risk and time pressure.</w:t>
      </w:r>
    </w:p>
    <w:p>
      <w:pPr>
        <w:spacing w:before="0" w:after="100"/>
      </w:pPr>
      <w:r>
        <w:rPr>
          <w:b/>
        </w:rPr>
        <w:t>A first test plan for a Hearth Energy prototype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10"/>
        <w:gridCol w:w="7328"/>
      </w:tblGrid>
      <w:tr>
        <w:trPr>
          <w:cantSplit/>
          <w:tblHeader/>
        </w:trPr>
        <w:tc>
          <w:tcPr>
            <w:tcW w:type="dxa" w:w="2310"/>
            <w:shd w:val="clear" w:color="auto" w:fill="E6ECF4"/>
          </w:tcPr>
          <w:p>
            <w:pPr>
              <w:spacing w:before="0" w:after="0"/>
            </w:pPr>
            <w:r>
              <w:rPr>
                <w:b/>
                <w:sz w:val="20"/>
              </w:rPr>
              <w:t>Part</w:t>
            </w:r>
          </w:p>
        </w:tc>
        <w:tc>
          <w:tcPr>
            <w:tcW w:type="dxa" w:w="7328"/>
            <w:shd w:val="clear" w:color="auto" w:fill="E6ECF4"/>
          </w:tcPr>
          <w:p>
            <w:pPr>
              <w:spacing w:before="0" w:after="0"/>
            </w:pPr>
            <w:r>
              <w:rPr>
                <w:b/>
                <w:sz w:val="20"/>
              </w:rPr>
              <w:t>What we do</w:t>
            </w:r>
          </w:p>
        </w:tc>
      </w:tr>
      <w:tr>
        <w:trPr>
          <w:cantSplit/>
        </w:trPr>
        <w:tc>
          <w:tcPr>
            <w:tcW w:type="dxa" w:w="2310"/>
          </w:tcPr>
          <w:p>
            <w:pPr>
              <w:spacing w:before="0" w:after="0"/>
            </w:pPr>
            <w:r>
              <w:rPr>
                <w:sz w:val="20"/>
              </w:rPr>
              <w:t>What the prototype contains</w:t>
            </w:r>
          </w:p>
        </w:tc>
        <w:tc>
          <w:tcPr>
            <w:tcW w:type="dxa" w:w="7328"/>
          </w:tcPr>
          <w:p>
            <w:pPr>
              <w:spacing w:before="0" w:after="0"/>
            </w:pPr>
            <w:r>
              <w:rPr>
                <w:sz w:val="20"/>
              </w:rPr>
              <w:t>The start page, the menu, and the moving-house form in steps; a quiet mode.</w:t>
            </w:r>
          </w:p>
        </w:tc>
      </w:tr>
      <w:tr>
        <w:trPr>
          <w:cantSplit/>
        </w:trPr>
        <w:tc>
          <w:tcPr>
            <w:tcW w:type="dxa" w:w="2310"/>
          </w:tcPr>
          <w:p>
            <w:pPr>
              <w:spacing w:before="0" w:after="0"/>
            </w:pPr>
            <w:r>
              <w:rPr>
                <w:sz w:val="20"/>
              </w:rPr>
              <w:t>Who takes part</w:t>
            </w:r>
          </w:p>
        </w:tc>
        <w:tc>
          <w:tcPr>
            <w:tcW w:type="dxa" w:w="7328"/>
          </w:tcPr>
          <w:p>
            <w:pPr>
              <w:spacing w:before="0" w:after="0"/>
            </w:pPr>
            <w:r>
              <w:rPr>
                <w:sz w:val="20"/>
              </w:rPr>
              <w:t>Six customers, among them people with ADHD, autistic people and people with dyslexia; asked ahead what support they need.</w:t>
            </w:r>
          </w:p>
        </w:tc>
      </w:tr>
      <w:tr>
        <w:trPr>
          <w:cantSplit/>
        </w:trPr>
        <w:tc>
          <w:tcPr>
            <w:tcW w:type="dxa" w:w="2310"/>
          </w:tcPr>
          <w:p>
            <w:pPr>
              <w:spacing w:before="0" w:after="0"/>
            </w:pPr>
            <w:r>
              <w:rPr>
                <w:sz w:val="20"/>
              </w:rPr>
              <w:t>Tasks</w:t>
            </w:r>
          </w:p>
        </w:tc>
        <w:tc>
          <w:tcPr>
            <w:tcW w:type="dxa" w:w="7328"/>
          </w:tcPr>
          <w:p>
            <w:pPr>
              <w:spacing w:before="0" w:after="0"/>
            </w:pPr>
            <w:r>
              <w:rPr>
                <w:sz w:val="20"/>
              </w:rPr>
              <w:t>Send a meter reading; report a move; find your last bill.</w:t>
            </w:r>
          </w:p>
        </w:tc>
      </w:tr>
      <w:tr>
        <w:trPr>
          <w:cantSplit/>
        </w:trPr>
        <w:tc>
          <w:tcPr>
            <w:tcW w:type="dxa" w:w="2310"/>
          </w:tcPr>
          <w:p>
            <w:pPr>
              <w:spacing w:before="0" w:after="0"/>
            </w:pPr>
            <w:r>
              <w:rPr>
                <w:sz w:val="20"/>
              </w:rPr>
              <w:t>A stressful moment</w:t>
            </w:r>
          </w:p>
        </w:tc>
        <w:tc>
          <w:tcPr>
            <w:tcW w:type="dxa" w:w="7328"/>
          </w:tcPr>
          <w:p>
            <w:pPr>
              <w:spacing w:before="0" w:after="0"/>
            </w:pPr>
            <w:r>
              <w:rPr>
                <w:sz w:val="20"/>
              </w:rPr>
              <w:t>A phone call in the middle of the form; a time limit on one task.</w:t>
            </w:r>
          </w:p>
        </w:tc>
      </w:tr>
      <w:tr>
        <w:trPr>
          <w:cantSplit/>
        </w:trPr>
        <w:tc>
          <w:tcPr>
            <w:tcW w:type="dxa" w:w="2310"/>
          </w:tcPr>
          <w:p>
            <w:pPr>
              <w:spacing w:before="0" w:after="0"/>
            </w:pPr>
            <w:r>
              <w:rPr>
                <w:sz w:val="20"/>
              </w:rPr>
              <w:t>What we watch</w:t>
            </w:r>
          </w:p>
        </w:tc>
        <w:tc>
          <w:tcPr>
            <w:tcW w:type="dxa" w:w="7328"/>
          </w:tcPr>
          <w:p>
            <w:pPr>
              <w:spacing w:before="0" w:after="0"/>
            </w:pPr>
            <w:r>
              <w:rPr>
                <w:sz w:val="20"/>
              </w:rPr>
              <w:t>Orientation, stimulus load, task completion, readability, the feeling of control.</w:t>
            </w:r>
          </w:p>
        </w:tc>
      </w:tr>
      <w:tr>
        <w:trPr>
          <w:cantSplit/>
        </w:trPr>
        <w:tc>
          <w:tcPr>
            <w:tcW w:type="dxa" w:w="2310"/>
          </w:tcPr>
          <w:p>
            <w:pPr>
              <w:spacing w:before="0" w:after="0"/>
            </w:pPr>
            <w:r>
              <w:rPr>
                <w:sz w:val="20"/>
              </w:rPr>
              <w:t>How we evaluate</w:t>
            </w:r>
          </w:p>
        </w:tc>
        <w:tc>
          <w:tcPr>
            <w:tcW w:type="dxa" w:w="7328"/>
          </w:tcPr>
          <w:p>
            <w:pPr>
              <w:spacing w:before="0" w:after="0"/>
            </w:pPr>
            <w:r>
              <w:rPr>
                <w:sz w:val="20"/>
              </w:rPr>
              <w:t>Where people stopped, hesitated, misread or felt unsure; quotes; then the next change.</w:t>
            </w:r>
          </w:p>
        </w:tc>
      </w:tr>
    </w:tbl>
    <w:p>
      <w:pPr>
        <w:spacing w:before="0" w:after="80"/>
      </w:pPr>
    </w:p>
    <w:p>
      <w:pPr>
        <w:spacing w:before="0" w:after="100"/>
      </w:pPr>
      <w:r>
        <w:rPr>
          <w:b/>
        </w:rPr>
        <w:t>Patterns, assistive technology and testing: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01"/>
        <w:gridCol w:w="4692"/>
        <w:gridCol w:w="2745"/>
      </w:tblGrid>
      <w:tr>
        <w:trPr>
          <w:cantSplit/>
          <w:tblHeader/>
        </w:trPr>
        <w:tc>
          <w:tcPr>
            <w:tcW w:type="dxa" w:w="2201"/>
            <w:shd w:val="clear" w:color="auto" w:fill="E6ECF4"/>
          </w:tcPr>
          <w:p>
            <w:pPr>
              <w:spacing w:before="0" w:after="0"/>
            </w:pPr>
            <w:r>
              <w:rPr>
                <w:b/>
                <w:sz w:val="20"/>
              </w:rPr>
              <w:t>Topic</w:t>
            </w:r>
          </w:p>
        </w:tc>
        <w:tc>
          <w:tcPr>
            <w:tcW w:type="dxa" w:w="4692"/>
            <w:shd w:val="clear" w:color="auto" w:fill="E6ECF4"/>
          </w:tcPr>
          <w:p>
            <w:pPr>
              <w:spacing w:before="0" w:after="0"/>
            </w:pPr>
            <w:r>
              <w:rPr>
                <w:b/>
                <w:sz w:val="20"/>
              </w:rPr>
              <w:t>Real finding or rule</w:t>
            </w:r>
          </w:p>
        </w:tc>
        <w:tc>
          <w:tcPr>
            <w:tcW w:type="dxa" w:w="2745"/>
            <w:shd w:val="clear" w:color="auto" w:fill="E6ECF4"/>
          </w:tcPr>
          <w:p>
            <w:pPr>
              <w:spacing w:before="0" w:after="0"/>
            </w:pPr>
            <w:r>
              <w:rPr>
                <w:b/>
                <w:sz w:val="20"/>
              </w:rPr>
              <w:t>What it means for a test</w:t>
            </w:r>
          </w:p>
        </w:tc>
      </w:tr>
      <w:tr>
        <w:trPr>
          <w:cantSplit/>
        </w:trPr>
        <w:tc>
          <w:tcPr>
            <w:tcW w:type="dxa" w:w="2201"/>
          </w:tcPr>
          <w:p>
            <w:pPr>
              <w:spacing w:before="0" w:after="0"/>
            </w:pPr>
            <w:r>
              <w:rPr>
                <w:sz w:val="20"/>
              </w:rPr>
              <w:t>How many to test</w:t>
            </w:r>
          </w:p>
        </w:tc>
        <w:tc>
          <w:tcPr>
            <w:tcW w:type="dxa" w:w="4692"/>
          </w:tcPr>
          <w:p>
            <w:pPr>
              <w:spacing w:before="0" w:after="0"/>
            </w:pPr>
            <w:r>
              <w:rPr>
                <w:sz w:val="20"/>
              </w:rPr>
              <w:t>In Nielsen's model, five users find about 85% of the usability problems of a design in a qualitative test; for each distinct group of users more are needed (Nielsen 2000, as reported).</w:t>
            </w:r>
          </w:p>
        </w:tc>
        <w:tc>
          <w:tcPr>
            <w:tcW w:type="dxa" w:w="2745"/>
          </w:tcPr>
          <w:p>
            <w:pPr>
              <w:spacing w:before="0" w:after="0"/>
            </w:pPr>
            <w:r>
              <w:rPr>
                <w:sz w:val="20"/>
              </w:rPr>
              <w:t>Plan six or so participants per round, from several groups, and test again after fixes.</w:t>
            </w:r>
          </w:p>
        </w:tc>
      </w:tr>
      <w:tr>
        <w:trPr>
          <w:cantSplit/>
        </w:trPr>
        <w:tc>
          <w:tcPr>
            <w:tcW w:type="dxa" w:w="2201"/>
          </w:tcPr>
          <w:p>
            <w:pPr>
              <w:spacing w:before="0" w:after="0"/>
            </w:pPr>
            <w:r>
              <w:rPr>
                <w:sz w:val="20"/>
              </w:rPr>
              <w:t>What a prototype shows</w:t>
            </w:r>
          </w:p>
        </w:tc>
        <w:tc>
          <w:tcPr>
            <w:tcW w:type="dxa" w:w="4692"/>
          </w:tcPr>
          <w:p>
            <w:pPr>
              <w:spacing w:before="0" w:after="0"/>
            </w:pPr>
            <w:r>
              <w:rPr>
                <w:sz w:val="20"/>
              </w:rPr>
              <w:t>A prototype can answer questions about role, look and feel and implementation (Houde and Hill 1997), and a hidden human can play the system in an early test (Kelley 1984).</w:t>
            </w:r>
          </w:p>
        </w:tc>
        <w:tc>
          <w:tcPr>
            <w:tcW w:type="dxa" w:w="2745"/>
          </w:tcPr>
          <w:p>
            <w:pPr>
              <w:spacing w:before="0" w:after="0"/>
            </w:pPr>
            <w:r>
              <w:rPr>
                <w:sz w:val="20"/>
              </w:rPr>
              <w:t>Say which question the prototype answers, and test before you build.</w:t>
            </w:r>
          </w:p>
        </w:tc>
      </w:tr>
      <w:tr>
        <w:trPr>
          <w:cantSplit/>
        </w:trPr>
        <w:tc>
          <w:tcPr>
            <w:tcW w:type="dxa" w:w="2201"/>
          </w:tcPr>
          <w:p>
            <w:pPr>
              <w:spacing w:before="0" w:after="0"/>
            </w:pPr>
            <w:r>
              <w:rPr>
                <w:sz w:val="20"/>
              </w:rPr>
              <w:t>Authentication</w:t>
            </w:r>
          </w:p>
        </w:tc>
        <w:tc>
          <w:tcPr>
            <w:tcW w:type="dxa" w:w="4692"/>
          </w:tcPr>
          <w:p>
            <w:pPr>
              <w:spacing w:before="0" w:after="0"/>
            </w:pPr>
            <w:r>
              <w:rPr>
                <w:sz w:val="20"/>
              </w:rPr>
              <w:t>WCAG 2.2 asks that a login does not depend on remembering or transcribing a code, unless an alternative is offered (3.3.8).</w:t>
            </w:r>
          </w:p>
        </w:tc>
        <w:tc>
          <w:tcPr>
            <w:tcW w:type="dxa" w:w="2745"/>
          </w:tcPr>
          <w:p>
            <w:pPr>
              <w:spacing w:before="0" w:after="0"/>
            </w:pPr>
            <w:r>
              <w:rPr>
                <w:sz w:val="20"/>
              </w:rPr>
              <w:t>Test the login with a password manager and with paste.</w:t>
            </w:r>
          </w:p>
        </w:tc>
      </w:tr>
      <w:tr>
        <w:trPr>
          <w:cantSplit/>
        </w:trPr>
        <w:tc>
          <w:tcPr>
            <w:tcW w:type="dxa" w:w="2201"/>
          </w:tcPr>
          <w:p>
            <w:pPr>
              <w:spacing w:before="0" w:after="0"/>
            </w:pPr>
            <w:r>
              <w:rPr>
                <w:sz w:val="20"/>
              </w:rPr>
              <w:t>Self-determined use</w:t>
            </w:r>
          </w:p>
        </w:tc>
        <w:tc>
          <w:tcPr>
            <w:tcW w:type="dxa" w:w="4692"/>
          </w:tcPr>
          <w:p>
            <w:pPr>
              <w:spacing w:before="0" w:after="0"/>
            </w:pPr>
            <w:r>
              <w:rPr>
                <w:sz w:val="20"/>
              </w:rPr>
              <w:t>People use their own assistive technologies and settings, such as a screen reader, reduced motion or a text size (WCAG 1.4.4, 2.3.3).</w:t>
            </w:r>
          </w:p>
        </w:tc>
        <w:tc>
          <w:tcPr>
            <w:tcW w:type="dxa" w:w="2745"/>
          </w:tcPr>
          <w:p>
            <w:pPr>
              <w:spacing w:before="0" w:after="0"/>
            </w:pPr>
            <w:r>
              <w:rPr>
                <w:sz w:val="20"/>
              </w:rPr>
              <w:t>Test with people's own settings and tools.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Including people in usability testing and asking ahead about support follow the W3C's “Making Content Usable” (2021); choosing a prototype by its question follows Houde and Hill (1997) and Kelley (1984); rating options on the same criteria follows Gibbons (2018).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Prefer a pattern that helps many (steps, one main task, descriptive buttons) over a special screen.</w:t>
            </w:r>
          </w:p>
          <w:p>
            <w:pPr>
              <w:pStyle w:val="ListBullet"/>
              <w:spacing w:before="0" w:after="40"/>
            </w:pPr>
            <w:r>
              <w:rPr/>
              <w:t>Check that assistive technology can work: real headings, buttons, text, layouts that grow.</w:t>
            </w:r>
          </w:p>
          <w:p>
            <w:pPr>
              <w:pStyle w:val="ListBullet"/>
              <w:spacing w:before="0" w:after="40"/>
            </w:pPr>
            <w:r>
              <w:rPr/>
              <w:t>Prototype the entry pages, the navigation and the core forms first.</w:t>
            </w:r>
          </w:p>
          <w:p>
            <w:pPr>
              <w:pStyle w:val="ListBullet"/>
              <w:spacing w:before="0" w:after="40"/>
            </w:pPr>
            <w:r>
              <w:rPr/>
              <w:t>Test with neurodivergent people, with the support they need, also in a stressful moment.</w:t>
            </w:r>
          </w:p>
          <w:p>
            <w:pPr>
              <w:pStyle w:val="ListBullet"/>
              <w:spacing w:before="0" w:after="100"/>
            </w:pPr>
            <w:r>
              <w:rPr/>
              <w:t>Evaluate where people stop, hesitate or feel unsure, not only technical errors.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Inclusive design is often presented as adaptation: extra options for people who need them. The stronger argument is architecture: the patterns that neurodivergent people need most (calm, consistent, readable, step by step) make the product better for nearly everyone, and they make assistive technology work. A better base is cheaper than many special cases.</w:t>
            </w:r>
          </w:p>
        </w:tc>
      </w:tr>
    </w:tbl>
    <w:p>
      <w:pPr>
        <w:spacing w:before="0" w:after="80"/>
      </w:pPr>
    </w:p>
    <w:p>
      <w:pPr>
        <w:spacing w:before="80" w:after="160"/>
      </w:pPr>
      <w:r>
        <w:rPr>
          <w:b/>
          <w:color w:val="556274"/>
          <w:sz w:val="18"/>
        </w:rPr>
        <w:t xml:space="preserve">Sources · </w:t>
      </w:r>
      <w:r>
        <w:rPr>
          <w:color w:val="556274"/>
          <w:sz w:val="18"/>
        </w:rPr>
        <w:t>W3C COGA 2021 · Houde &amp; Hill 1997 · Kelley 1984 · Gibbons 2018 · Nielsen 2000 · WCAG 2.2</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neurodiverse UX, three strategic decisions, an order of what comes first, a risk analysis, a governance model, one decision under uncertainty and a statement to the management. The cards give you the ideas you use in Task 2.</w:t>
            </w:r>
          </w:p>
        </w:tc>
      </w:tr>
    </w:tbl>
    <w:p>
      <w:pPr>
        <w:spacing w:before="0" w:after="80"/>
      </w:pPr>
    </w:p>
    <w:p>
      <w:pPr>
        <w:pStyle w:val="Heading2"/>
      </w:pPr>
      <w:r>
        <w:rPr/>
        <w:t>B1 · Neurodiverse UX as better base architecture, not a special case · 20 min · Core</w:t>
      </w:r>
    </w:p>
    <w:p>
      <w:pPr>
        <w:pBdr>
          <w:left w:val="single" w:sz="18" w:space="6" w:color="1750A8"/>
        </w:pBdr>
        <w:spacing w:before="40" w:after="120"/>
        <w:ind w:left="170"/>
      </w:pPr>
      <w:r>
        <w:rPr>
          <w:i/>
          <w:color w:val="556274"/>
          <w:sz w:val="22"/>
        </w:rPr>
        <w:t>Treated as a special case, neurodiversity becomes an option few people find. At senior level it is a strategic dimension of product architecture: calm, predictable, readable defaults built from shared patterns, with adaptation modes on top. The question is which base to build, not which option to add.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Many companies treat neurodiversity as a special case: an extra option, a separate “easy” version, a setting few people find. At senior level it is a strategic dimension of the product architecture: calm, predictable, readable defaults help everyone and especially neurodivergent people; patterns built once carry that into every product; adaptation modes come on top of a good base, not instead of it. The question is not “which option do we add?” but “what base do we build?”.</w:t>
            </w:r>
          </w:p>
          <w:p>
            <w:pPr>
              <w:spacing w:before="0" w:after="100"/>
            </w:pPr>
            <w:r>
              <w:rPr>
                <w:b/>
              </w:rPr>
              <w:t>Why it matters.</w:t>
            </w:r>
            <w:r>
              <w:rPr/>
              <w:t xml:space="preserve"> Block 3.1 asks for a guiding vision of neurodiverse UX, three decisions on base architecture, patterns, assistive technologies, adaptation modes and test strategy, and an order of which journeys, components or product areas come first. You decide the architecture, not single screens.</w:t>
            </w:r>
          </w:p>
          <w:p>
            <w:pPr>
              <w:spacing w:before="0" w:after="100"/>
            </w:pPr>
            <w:r>
              <w:rPr>
                <w:b/>
              </w:rPr>
              <w:t>How to read the picture.</w:t>
            </w:r>
            <w:r>
              <w:rPr/>
              <w:t xml:space="preserve"> Left Hearth Energy adding an “easy mode” on top of a busy product, right building a calm base with patterns and modes. Below, the layers from a guiding vision to every product.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82754"/>
            <wp:docPr id="8" name="Picture 8"/>
            <wp:cNvGraphicFramePr>
              <a:graphicFrameLocks noChangeAspect="1"/>
            </wp:cNvGraphicFramePr>
            <a:graphic>
              <a:graphicData uri="http://schemas.openxmlformats.org/drawingml/2006/picture">
                <pic:pic>
                  <pic:nvPicPr>
                    <pic:cNvPr id="0" name="d13_B1_0-b53bd15305a1.png"/>
                    <pic:cNvPicPr/>
                  </pic:nvPicPr>
                  <pic:blipFill>
                    <a:blip r:embed="rId17"/>
                    <a:stretch>
                      <a:fillRect/>
                    </a:stretch>
                  </pic:blipFill>
                  <pic:spPr>
                    <a:xfrm>
                      <a:off x="0" y="0"/>
                      <a:ext cx="5940000" cy="2082754"/>
                    </a:xfrm>
                    <a:prstGeom prst="rect"/>
                  </pic:spPr>
                </pic:pic>
              </a:graphicData>
            </a:graphic>
          </wp:inline>
        </w:drawing>
      </w:r>
    </w:p>
    <w:p>
      <w:pPr>
        <w:spacing w:before="0" w:after="160"/>
        <w:jc w:val="center"/>
      </w:pPr>
      <w:r>
        <w:rPr>
          <w:i/>
          <w:color w:val="556274"/>
          <w:sz w:val="18"/>
        </w:rPr>
        <w:t>Figure 8 · Hearth Energy adding an “easy mode” on top, or building a calm base with patterns and modes.</w:t>
      </w:r>
    </w:p>
    <w:p>
      <w:pPr>
        <w:keepNext/>
        <w:spacing w:before="80" w:after="40"/>
        <w:jc w:val="center"/>
      </w:pPr>
      <w:r>
        <w:drawing>
          <wp:inline xmlns:a="http://schemas.openxmlformats.org/drawingml/2006/main" xmlns:pic="http://schemas.openxmlformats.org/drawingml/2006/picture">
            <wp:extent cx="5940000" cy="1442515"/>
            <wp:docPr id="9" name="Picture 9"/>
            <wp:cNvGraphicFramePr>
              <a:graphicFrameLocks noChangeAspect="1"/>
            </wp:cNvGraphicFramePr>
            <a:graphic>
              <a:graphicData uri="http://schemas.openxmlformats.org/drawingml/2006/picture">
                <pic:pic>
                  <pic:nvPicPr>
                    <pic:cNvPr id="0" name="d13_B1_1-d18b36404a15.png"/>
                    <pic:cNvPicPr/>
                  </pic:nvPicPr>
                  <pic:blipFill>
                    <a:blip r:embed="rId18"/>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9 · The layers of a neurodiverse UX architecture, from a guiding vision to every product.</w:t>
      </w:r>
    </w:p>
    <w:p>
      <w:pPr>
        <w:spacing w:before="0" w:after="100"/>
      </w:pPr>
      <w:r>
        <w:rPr>
          <w:b/>
        </w:rPr>
        <w:t>Neurodiverse UX as a better base architecture: structures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6"/>
        <w:gridCol w:w="4856"/>
        <w:gridCol w:w="2836"/>
      </w:tblGrid>
      <w:tr>
        <w:trPr>
          <w:cantSplit/>
          <w:tblHeader/>
        </w:trPr>
        <w:tc>
          <w:tcPr>
            <w:tcW w:type="dxa" w:w="1946"/>
            <w:shd w:val="clear" w:color="auto" w:fill="E6ECF4"/>
          </w:tcPr>
          <w:p>
            <w:pPr>
              <w:spacing w:before="0" w:after="0"/>
            </w:pPr>
            <w:r>
              <w:rPr>
                <w:b/>
                <w:sz w:val="20"/>
              </w:rPr>
              <w:t>Part</w:t>
            </w:r>
          </w:p>
        </w:tc>
        <w:tc>
          <w:tcPr>
            <w:tcW w:type="dxa" w:w="4856"/>
            <w:shd w:val="clear" w:color="auto" w:fill="E6ECF4"/>
          </w:tcPr>
          <w:p>
            <w:pPr>
              <w:spacing w:before="0" w:after="0"/>
            </w:pPr>
            <w:r>
              <w:rPr>
                <w:b/>
                <w:sz w:val="20"/>
              </w:rPr>
              <w:t>Real example or rule</w:t>
            </w:r>
          </w:p>
        </w:tc>
        <w:tc>
          <w:tcPr>
            <w:tcW w:type="dxa" w:w="2836"/>
            <w:shd w:val="clear" w:color="auto" w:fill="E6ECF4"/>
          </w:tcPr>
          <w:p>
            <w:pPr>
              <w:spacing w:before="0" w:after="0"/>
            </w:pPr>
            <w:r>
              <w:rPr>
                <w:b/>
                <w:sz w:val="20"/>
              </w:rPr>
              <w:t>What it means</w:t>
            </w:r>
          </w:p>
        </w:tc>
      </w:tr>
      <w:tr>
        <w:trPr>
          <w:cantSplit/>
        </w:trPr>
        <w:tc>
          <w:tcPr>
            <w:tcW w:type="dxa" w:w="1946"/>
          </w:tcPr>
          <w:p>
            <w:pPr>
              <w:spacing w:before="0" w:after="0"/>
            </w:pPr>
            <w:r>
              <w:rPr>
                <w:sz w:val="20"/>
              </w:rPr>
              <w:t>A shared base</w:t>
            </w:r>
          </w:p>
        </w:tc>
        <w:tc>
          <w:tcPr>
            <w:tcW w:type="dxa" w:w="4856"/>
          </w:tcPr>
          <w:p>
            <w:pPr>
              <w:spacing w:before="0" w:after="0"/>
            </w:pPr>
            <w:r>
              <w:rPr>
                <w:sz w:val="20"/>
              </w:rPr>
              <w:t>WCAG 2.2 added criteria that help people with cognitive and learning disabilities, such as redundant entry, accessible authentication and target size (WCAG 2.2).</w:t>
            </w:r>
          </w:p>
        </w:tc>
        <w:tc>
          <w:tcPr>
            <w:tcW w:type="dxa" w:w="2836"/>
          </w:tcPr>
          <w:p>
            <w:pPr>
              <w:spacing w:before="0" w:after="0"/>
            </w:pPr>
            <w:r>
              <w:rPr>
                <w:sz w:val="20"/>
              </w:rPr>
              <w:t>Put the criteria into the base components, so every team inherits them.</w:t>
            </w:r>
          </w:p>
        </w:tc>
      </w:tr>
      <w:tr>
        <w:trPr>
          <w:cantSplit/>
        </w:trPr>
        <w:tc>
          <w:tcPr>
            <w:tcW w:type="dxa" w:w="1946"/>
          </w:tcPr>
          <w:p>
            <w:pPr>
              <w:spacing w:before="0" w:after="0"/>
            </w:pPr>
            <w:r>
              <w:rPr>
                <w:sz w:val="20"/>
              </w:rPr>
              <w:t>Supplemental guidance</w:t>
            </w:r>
          </w:p>
        </w:tc>
        <w:tc>
          <w:tcPr>
            <w:tcW w:type="dxa" w:w="4856"/>
          </w:tcPr>
          <w:p>
            <w:pPr>
              <w:spacing w:before="0" w:after="0"/>
            </w:pPr>
            <w:r>
              <w:rPr>
                <w:sz w:val="20"/>
              </w:rPr>
              <w:t>The cognitive accessibility guidance gives objectives and patterns beyond WCAG (W3C COGA 2021).</w:t>
            </w:r>
          </w:p>
        </w:tc>
        <w:tc>
          <w:tcPr>
            <w:tcW w:type="dxa" w:w="2836"/>
          </w:tcPr>
          <w:p>
            <w:pPr>
              <w:spacing w:before="0" w:after="0"/>
            </w:pPr>
            <w:r>
              <w:rPr>
                <w:sz w:val="20"/>
              </w:rPr>
              <w:t>Adopt the patterns that fit your journeys and test them.</w:t>
            </w:r>
          </w:p>
        </w:tc>
      </w:tr>
      <w:tr>
        <w:trPr>
          <w:cantSplit/>
        </w:trPr>
        <w:tc>
          <w:tcPr>
            <w:tcW w:type="dxa" w:w="1946"/>
          </w:tcPr>
          <w:p>
            <w:pPr>
              <w:spacing w:before="0" w:after="0"/>
            </w:pPr>
            <w:r>
              <w:rPr>
                <w:sz w:val="20"/>
              </w:rPr>
              <w:t>Mismatch as a view</w:t>
            </w:r>
          </w:p>
        </w:tc>
        <w:tc>
          <w:tcPr>
            <w:tcW w:type="dxa" w:w="4856"/>
          </w:tcPr>
          <w:p>
            <w:pPr>
              <w:spacing w:before="0" w:after="0"/>
            </w:pPr>
            <w:r>
              <w:rPr>
                <w:sz w:val="20"/>
              </w:rPr>
              <w:t>Holmes treats disability as a mismatch between a person and a design and shows that solutions for one group extend to many (Holmes 2018).</w:t>
            </w:r>
          </w:p>
        </w:tc>
        <w:tc>
          <w:tcPr>
            <w:tcW w:type="dxa" w:w="2836"/>
          </w:tcPr>
          <w:p>
            <w:pPr>
              <w:spacing w:before="0" w:after="0"/>
            </w:pPr>
            <w:r>
              <w:rPr>
                <w:sz w:val="20"/>
              </w:rPr>
              <w:t>Design the base for the range, not for the average.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Inclusion as better design for many follows Holmes (2018); a simplified version from the same code base follows the W3C's “Making Content Usable” (2021).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whether neurodiverse needs sit in the base or in an option.</w:t>
            </w:r>
          </w:p>
          <w:p>
            <w:pPr>
              <w:pStyle w:val="ListBullet"/>
              <w:spacing w:before="0" w:after="40"/>
            </w:pPr>
            <w:r>
              <w:rPr/>
              <w:t>Write a guiding vision: relief, predictability, readability, adaptability.</w:t>
            </w:r>
          </w:p>
          <w:p>
            <w:pPr>
              <w:pStyle w:val="ListBullet"/>
              <w:spacing w:before="0" w:after="40"/>
            </w:pPr>
            <w:r>
              <w:rPr/>
              <w:t>Put the inclusive patterns in the design system, so every product gets them.</w:t>
            </w:r>
          </w:p>
          <w:p>
            <w:pPr>
              <w:pStyle w:val="ListBullet"/>
              <w:spacing w:before="0" w:after="40"/>
            </w:pPr>
            <w:r>
              <w:rPr/>
              <w:t>Add modes on top of the base, after tests show who uses them.</w:t>
            </w:r>
          </w:p>
          <w:p>
            <w:pPr>
              <w:pStyle w:val="ListBullet"/>
              <w:spacing w:before="0" w:after="100"/>
            </w:pPr>
            <w:r>
              <w:rPr/>
              <w:t>Order the work: shared patterns and journeys taken in stress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“easy mode” is attractive to management because it is visible and contained: one switch, one announcement. It is also the version that changes least for most customers. The harder message for a board is that the default itself is the product most people use, and that is where inclusion has to happen.</w:t>
            </w:r>
          </w:p>
        </w:tc>
      </w:tr>
    </w:tbl>
    <w:p>
      <w:pPr>
        <w:spacing w:before="0" w:after="80"/>
      </w:pPr>
    </w:p>
    <w:p>
      <w:pPr>
        <w:spacing w:before="80" w:after="160"/>
      </w:pPr>
      <w:r>
        <w:rPr>
          <w:b/>
          <w:color w:val="556274"/>
          <w:sz w:val="18"/>
        </w:rPr>
        <w:t xml:space="preserve">Sources · </w:t>
      </w:r>
      <w:r>
        <w:rPr>
          <w:color w:val="556274"/>
          <w:sz w:val="18"/>
        </w:rPr>
        <w:t>W3C COGA 2021 · Holmes 2018 · WCAG 2.2</w:t>
      </w:r>
    </w:p>
    <w:p>
      <w:pPr>
        <w:pStyle w:val="Heading2"/>
      </w:pPr>
      <w:r>
        <w:rPr/>
        <w:t>B2 · One standard or many modes: the conflicts of neurodiverse UX · 20 min · Core</w:t>
      </w:r>
    </w:p>
    <w:p>
      <w:pPr>
        <w:pBdr>
          <w:left w:val="single" w:sz="18" w:space="6" w:color="1750A8"/>
        </w:pBdr>
        <w:spacing w:before="40" w:after="120"/>
        <w:ind w:left="170"/>
      </w:pPr>
      <w:r>
        <w:rPr>
          <w:i/>
          <w:color w:val="556274"/>
          <w:sz w:val="22"/>
        </w:rPr>
        <w:t>Neurodiverse UX sits between one standard and individual adaptation, a dynamic brand and a calm interface, economic viability and the diversity of users, and the cost of testing against the risk of not testing. Decide what belongs in the base, what becomes a mode, and whom to test with first; write down the assumptions.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Neurodiverse UX sits between goals that pull apart: one standard for all against individual adaptation, a dynamic brand against a calm interface, economic viability against the diversity of users, and the cost of testing with many groups against the risk of not testing. The way through is to decide what belongs in the base (calm, consistent, readable), what becomes an optional mode, and whom to test with first; and to write down which assumptions about diversity, standardisation and cost the plan rests on.</w:t>
            </w:r>
          </w:p>
          <w:p>
            <w:pPr>
              <w:spacing w:before="0" w:after="100"/>
            </w:pPr>
            <w:r>
              <w:rPr>
                <w:b/>
              </w:rPr>
              <w:t>Why it matters.</w:t>
            </w:r>
            <w:r>
              <w:rPr/>
              <w:t xml:space="preserve"> Block 3.1 asks for three decisions, a risk analysis of wrong assumptions about user diversity, standardisation and economic viability, and a governance model for conflicts between brand, technology, product logic and inclusion. Each is a decision between conflicting goals.</w:t>
            </w:r>
          </w:p>
          <w:p>
            <w:pPr>
              <w:spacing w:before="0" w:after="100"/>
            </w:pPr>
            <w:r>
              <w:rPr>
                <w:b/>
              </w:rPr>
              <w:t>How to read the picture.</w:t>
            </w:r>
            <w:r>
              <w:rPr/>
              <w:t xml:space="preserve"> Three Hearth Energy decisions between conflicting goals: the dynamic brand, an extra mode, and whom to test with.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01676"/>
            <wp:docPr id="10" name="Picture 10"/>
            <wp:cNvGraphicFramePr>
              <a:graphicFrameLocks noChangeAspect="1"/>
            </wp:cNvGraphicFramePr>
            <a:graphic>
              <a:graphicData uri="http://schemas.openxmlformats.org/drawingml/2006/picture">
                <pic:pic>
                  <pic:nvPicPr>
                    <pic:cNvPr id="0" name="d13_B2_0-010a2b81e179.png"/>
                    <pic:cNvPicPr/>
                  </pic:nvPicPr>
                  <pic:blipFill>
                    <a:blip r:embed="rId19"/>
                    <a:stretch>
                      <a:fillRect/>
                    </a:stretch>
                  </pic:blipFill>
                  <pic:spPr>
                    <a:xfrm>
                      <a:off x="0" y="0"/>
                      <a:ext cx="5940000" cy="2501676"/>
                    </a:xfrm>
                    <a:prstGeom prst="rect"/>
                  </pic:spPr>
                </pic:pic>
              </a:graphicData>
            </a:graphic>
          </wp:inline>
        </w:drawing>
      </w:r>
    </w:p>
    <w:p>
      <w:pPr>
        <w:spacing w:before="0" w:after="160"/>
        <w:jc w:val="center"/>
      </w:pPr>
      <w:r>
        <w:rPr>
          <w:i/>
          <w:color w:val="556274"/>
          <w:sz w:val="18"/>
        </w:rPr>
        <w:t>Figure 10 · Three Hearth Energy decisions between conflicting goals · Exploratory.</w:t>
      </w:r>
    </w:p>
    <w:p>
      <w:pPr>
        <w:spacing w:before="0" w:after="100"/>
      </w:pPr>
      <w:r>
        <w:rPr>
          <w:b/>
        </w:rPr>
        <w:t>Standing conflicts of neurodiverse UX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24"/>
        <w:gridCol w:w="3007"/>
        <w:gridCol w:w="3607"/>
      </w:tblGrid>
      <w:tr>
        <w:trPr>
          <w:cantSplit/>
          <w:tblHeader/>
        </w:trPr>
        <w:tc>
          <w:tcPr>
            <w:tcW w:type="dxa" w:w="3024"/>
            <w:shd w:val="clear" w:color="auto" w:fill="E6ECF4"/>
          </w:tcPr>
          <w:p>
            <w:pPr>
              <w:spacing w:before="0" w:after="0"/>
            </w:pPr>
            <w:r>
              <w:rPr>
                <w:b/>
                <w:sz w:val="20"/>
              </w:rPr>
              <w:t>Conflict</w:t>
            </w:r>
          </w:p>
        </w:tc>
        <w:tc>
          <w:tcPr>
            <w:tcW w:type="dxa" w:w="3007"/>
            <w:shd w:val="clear" w:color="auto" w:fill="E6ECF4"/>
          </w:tcPr>
          <w:p>
            <w:pPr>
              <w:spacing w:before="0" w:after="0"/>
            </w:pPr>
            <w:r>
              <w:rPr>
                <w:b/>
                <w:sz w:val="20"/>
              </w:rPr>
              <w:t>Who usually stands for each side</w:t>
            </w:r>
          </w:p>
        </w:tc>
        <w:tc>
          <w:tcPr>
            <w:tcW w:type="dxa" w:w="3607"/>
            <w:shd w:val="clear" w:color="auto" w:fill="E6ECF4"/>
          </w:tcPr>
          <w:p>
            <w:pPr>
              <w:spacing w:before="0" w:after="0"/>
            </w:pPr>
            <w:r>
              <w:rPr>
                <w:b/>
                <w:sz w:val="20"/>
              </w:rPr>
              <w:t>What to ask</w:t>
            </w:r>
          </w:p>
        </w:tc>
      </w:tr>
      <w:tr>
        <w:trPr>
          <w:cantSplit/>
        </w:trPr>
        <w:tc>
          <w:tcPr>
            <w:tcW w:type="dxa" w:w="3024"/>
          </w:tcPr>
          <w:p>
            <w:pPr>
              <w:spacing w:before="0" w:after="0"/>
            </w:pPr>
            <w:r>
              <w:rPr>
                <w:sz w:val="20"/>
              </w:rPr>
              <w:t>One standard against individual adaptation</w:t>
            </w:r>
          </w:p>
        </w:tc>
        <w:tc>
          <w:tcPr>
            <w:tcW w:type="dxa" w:w="3007"/>
          </w:tcPr>
          <w:p>
            <w:pPr>
              <w:spacing w:before="0" w:after="0"/>
            </w:pPr>
            <w:r>
              <w:rPr>
                <w:sz w:val="20"/>
              </w:rPr>
              <w:t>Engineering, against the people a standard does not fit.</w:t>
            </w:r>
          </w:p>
        </w:tc>
        <w:tc>
          <w:tcPr>
            <w:tcW w:type="dxa" w:w="3607"/>
          </w:tcPr>
          <w:p>
            <w:pPr>
              <w:spacing w:before="0" w:after="0"/>
            </w:pPr>
            <w:r>
              <w:rPr>
                <w:sz w:val="20"/>
              </w:rPr>
              <w:t>Which needs pull apart, and which do all share?</w:t>
            </w:r>
          </w:p>
        </w:tc>
      </w:tr>
      <w:tr>
        <w:trPr>
          <w:cantSplit/>
        </w:trPr>
        <w:tc>
          <w:tcPr>
            <w:tcW w:type="dxa" w:w="3024"/>
          </w:tcPr>
          <w:p>
            <w:pPr>
              <w:spacing w:before="0" w:after="0"/>
            </w:pPr>
            <w:r>
              <w:rPr>
                <w:sz w:val="20"/>
              </w:rPr>
              <w:t>A dynamic brand against a calm interface</w:t>
            </w:r>
          </w:p>
        </w:tc>
        <w:tc>
          <w:tcPr>
            <w:tcW w:type="dxa" w:w="3007"/>
          </w:tcPr>
          <w:p>
            <w:pPr>
              <w:spacing w:before="0" w:after="0"/>
            </w:pPr>
            <w:r>
              <w:rPr>
                <w:sz w:val="20"/>
              </w:rPr>
              <w:t>Marketing, against UX and support.</w:t>
            </w:r>
          </w:p>
        </w:tc>
        <w:tc>
          <w:tcPr>
            <w:tcW w:type="dxa" w:w="3607"/>
          </w:tcPr>
          <w:p>
            <w:pPr>
              <w:spacing w:before="0" w:after="0"/>
            </w:pPr>
            <w:r>
              <w:rPr>
                <w:sz w:val="20"/>
              </w:rPr>
              <w:t>Where can the brand live without competing with the task?</w:t>
            </w:r>
          </w:p>
        </w:tc>
      </w:tr>
      <w:tr>
        <w:trPr>
          <w:cantSplit/>
        </w:trPr>
        <w:tc>
          <w:tcPr>
            <w:tcW w:type="dxa" w:w="3024"/>
          </w:tcPr>
          <w:p>
            <w:pPr>
              <w:spacing w:before="0" w:after="0"/>
            </w:pPr>
            <w:r>
              <w:rPr>
                <w:sz w:val="20"/>
              </w:rPr>
              <w:t>Economic viability against diversity</w:t>
            </w:r>
          </w:p>
        </w:tc>
        <w:tc>
          <w:tcPr>
            <w:tcW w:type="dxa" w:w="3007"/>
          </w:tcPr>
          <w:p>
            <w:pPr>
              <w:spacing w:before="0" w:after="0"/>
            </w:pPr>
            <w:r>
              <w:rPr>
                <w:sz w:val="20"/>
              </w:rPr>
              <w:t>Finance, against users.</w:t>
            </w:r>
          </w:p>
        </w:tc>
        <w:tc>
          <w:tcPr>
            <w:tcW w:type="dxa" w:w="3607"/>
          </w:tcPr>
          <w:p>
            <w:pPr>
              <w:spacing w:before="0" w:after="0"/>
            </w:pPr>
            <w:r>
              <w:rPr>
                <w:sz w:val="20"/>
              </w:rPr>
              <w:t>What does the busy default cost in support calls and abandoned tasks?</w:t>
            </w:r>
          </w:p>
        </w:tc>
      </w:tr>
      <w:tr>
        <w:trPr>
          <w:cantSplit/>
        </w:trPr>
        <w:tc>
          <w:tcPr>
            <w:tcW w:type="dxa" w:w="3024"/>
          </w:tcPr>
          <w:p>
            <w:pPr>
              <w:spacing w:before="0" w:after="0"/>
            </w:pPr>
            <w:r>
              <w:rPr>
                <w:sz w:val="20"/>
              </w:rPr>
              <w:t>Test effort against the risk of not testing</w:t>
            </w:r>
          </w:p>
        </w:tc>
        <w:tc>
          <w:tcPr>
            <w:tcW w:type="dxa" w:w="3007"/>
          </w:tcPr>
          <w:p>
            <w:pPr>
              <w:spacing w:before="0" w:after="0"/>
            </w:pPr>
            <w:r>
              <w:rPr>
                <w:sz w:val="20"/>
              </w:rPr>
              <w:t>Finance, against research.</w:t>
            </w:r>
          </w:p>
        </w:tc>
        <w:tc>
          <w:tcPr>
            <w:tcW w:type="dxa" w:w="3607"/>
          </w:tcPr>
          <w:p>
            <w:pPr>
              <w:spacing w:before="0" w:after="0"/>
            </w:pPr>
            <w:r>
              <w:rPr>
                <w:sz w:val="20"/>
              </w:rPr>
              <w:t>Which small test would find the most serious hurdles?</w:t>
            </w:r>
          </w:p>
        </w:tc>
      </w:tr>
    </w:tbl>
    <w:p>
      <w:pPr>
        <w:spacing w:before="0" w:after="80"/>
      </w:pPr>
    </w:p>
    <w:p>
      <w:pPr>
        <w:spacing w:before="0" w:after="100"/>
      </w:pPr>
      <w:r>
        <w:rPr>
          <w:b/>
        </w:rPr>
        <w:t>Conflicts of neurodiverse UX,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94"/>
        <w:gridCol w:w="3940"/>
        <w:gridCol w:w="3204"/>
      </w:tblGrid>
      <w:tr>
        <w:trPr>
          <w:cantSplit/>
          <w:tblHeader/>
        </w:trPr>
        <w:tc>
          <w:tcPr>
            <w:tcW w:type="dxa" w:w="2494"/>
            <w:shd w:val="clear" w:color="auto" w:fill="E6ECF4"/>
          </w:tcPr>
          <w:p>
            <w:pPr>
              <w:spacing w:before="0" w:after="0"/>
            </w:pPr>
            <w:r>
              <w:rPr>
                <w:b/>
                <w:sz w:val="20"/>
              </w:rPr>
              <w:t>Conflict</w:t>
            </w:r>
          </w:p>
        </w:tc>
        <w:tc>
          <w:tcPr>
            <w:tcW w:type="dxa" w:w="3940"/>
            <w:shd w:val="clear" w:color="auto" w:fill="E6ECF4"/>
          </w:tcPr>
          <w:p>
            <w:pPr>
              <w:spacing w:before="0" w:after="0"/>
            </w:pPr>
            <w:r>
              <w:rPr>
                <w:b/>
                <w:sz w:val="20"/>
              </w:rPr>
              <w:t>What the evidence says</w:t>
            </w:r>
          </w:p>
        </w:tc>
        <w:tc>
          <w:tcPr>
            <w:tcW w:type="dxa" w:w="3204"/>
            <w:shd w:val="clear" w:color="auto" w:fill="E6ECF4"/>
          </w:tcPr>
          <w:p>
            <w:pPr>
              <w:spacing w:before="0" w:after="0"/>
            </w:pPr>
            <w:r>
              <w:rPr>
                <w:b/>
                <w:sz w:val="20"/>
              </w:rPr>
              <w:t>A way to decide</w:t>
            </w:r>
          </w:p>
        </w:tc>
      </w:tr>
      <w:tr>
        <w:trPr>
          <w:cantSplit/>
        </w:trPr>
        <w:tc>
          <w:tcPr>
            <w:tcW w:type="dxa" w:w="2494"/>
          </w:tcPr>
          <w:p>
            <w:pPr>
              <w:spacing w:before="0" w:after="0"/>
            </w:pPr>
            <w:r>
              <w:rPr>
                <w:sz w:val="20"/>
              </w:rPr>
              <w:t>One standard against individual adaptation</w:t>
            </w:r>
          </w:p>
        </w:tc>
        <w:tc>
          <w:tcPr>
            <w:tcW w:type="dxa" w:w="3940"/>
          </w:tcPr>
          <w:p>
            <w:pPr>
              <w:spacing w:before="0" w:after="0"/>
            </w:pPr>
            <w:r>
              <w:rPr>
                <w:sz w:val="20"/>
              </w:rPr>
              <w:t>A special font did not beat plain standard fonts in a study with readers with dyslexia (Rello and Baeza-Yates 2013).</w:t>
            </w:r>
          </w:p>
        </w:tc>
        <w:tc>
          <w:tcPr>
            <w:tcW w:type="dxa" w:w="3204"/>
          </w:tcPr>
          <w:p>
            <w:pPr>
              <w:spacing w:before="0" w:after="0"/>
            </w:pPr>
            <w:r>
              <w:rPr>
                <w:sz w:val="20"/>
              </w:rPr>
              <w:t>Ask which needs pull apart and which are shared; solve the shared ones in the base first.</w:t>
            </w:r>
          </w:p>
        </w:tc>
      </w:tr>
      <w:tr>
        <w:trPr>
          <w:cantSplit/>
        </w:trPr>
        <w:tc>
          <w:tcPr>
            <w:tcW w:type="dxa" w:w="2494"/>
          </w:tcPr>
          <w:p>
            <w:pPr>
              <w:spacing w:before="0" w:after="0"/>
            </w:pPr>
            <w:r>
              <w:rPr>
                <w:sz w:val="20"/>
              </w:rPr>
              <w:t>A dynamic brand against a calm interface</w:t>
            </w:r>
          </w:p>
        </w:tc>
        <w:tc>
          <w:tcPr>
            <w:tcW w:type="dxa" w:w="3940"/>
          </w:tcPr>
          <w:p>
            <w:pPr>
              <w:spacing w:before="0" w:after="0"/>
            </w:pPr>
            <w:r>
              <w:rPr>
                <w:sz w:val="20"/>
              </w:rPr>
              <w:t>Auto-playing movement must be stoppable (WCAG 2.2.2).</w:t>
            </w:r>
          </w:p>
        </w:tc>
        <w:tc>
          <w:tcPr>
            <w:tcW w:type="dxa" w:w="3204"/>
          </w:tcPr>
          <w:p>
            <w:pPr>
              <w:spacing w:before="0" w:after="0"/>
            </w:pPr>
            <w:r>
              <w:rPr>
                <w:sz w:val="20"/>
              </w:rPr>
              <w:t>Let the brand live in images and headlines and keep the task area calm.</w:t>
            </w:r>
          </w:p>
        </w:tc>
      </w:tr>
      <w:tr>
        <w:trPr>
          <w:cantSplit/>
        </w:trPr>
        <w:tc>
          <w:tcPr>
            <w:tcW w:type="dxa" w:w="2494"/>
          </w:tcPr>
          <w:p>
            <w:pPr>
              <w:spacing w:before="0" w:after="0"/>
            </w:pPr>
            <w:r>
              <w:rPr>
                <w:sz w:val="20"/>
              </w:rPr>
              <w:t>Test effort against the risk of not testing</w:t>
            </w:r>
          </w:p>
        </w:tc>
        <w:tc>
          <w:tcPr>
            <w:tcW w:type="dxa" w:w="3940"/>
          </w:tcPr>
          <w:p>
            <w:pPr>
              <w:spacing w:before="0" w:after="0"/>
            </w:pPr>
            <w:r>
              <w:rPr>
                <w:sz w:val="20"/>
              </w:rPr>
              <w:t>Five participants find most problems in a qualitative test (Nielsen 2000, as reported).</w:t>
            </w:r>
          </w:p>
        </w:tc>
        <w:tc>
          <w:tcPr>
            <w:tcW w:type="dxa" w:w="3204"/>
          </w:tcPr>
          <w:p>
            <w:pPr>
              <w:spacing w:before="0" w:after="0"/>
            </w:pPr>
            <w:r>
              <w:rPr>
                <w:sz w:val="20"/>
              </w:rPr>
              <w:t>Run a small test early rather than a large one late.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That some needs pull in different directions, and that testing finds the balance, follows the Home Office's note on its posters (Pun 2016).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marketing, engineering, research, finance, users.</w:t>
            </w:r>
          </w:p>
          <w:p>
            <w:pPr>
              <w:pStyle w:val="ListBullet"/>
              <w:spacing w:before="0" w:after="40"/>
            </w:pPr>
            <w:r>
              <w:rPr/>
              <w:t>Put what helps nearly everyone into the base; make only what pulls apart into a mode.</w:t>
            </w:r>
          </w:p>
          <w:p>
            <w:pPr>
              <w:pStyle w:val="ListBullet"/>
              <w:spacing w:before="0" w:after="40"/>
            </w:pPr>
            <w:r>
              <w:rPr/>
              <w:t>Write down the assumptions about user diversity, standardisation and cost, and which would be critical if wrong.</w:t>
            </w:r>
          </w:p>
          <w:p>
            <w:pPr>
              <w:pStyle w:val="ListBullet"/>
              <w:spacing w:before="0" w:after="40"/>
            </w:pPr>
            <w:r>
              <w:rPr/>
              <w:t>Choose a small, well-composed test over no test.</w:t>
            </w:r>
          </w:p>
          <w:p>
            <w:pPr>
              <w:pStyle w:val="ListBullet"/>
              <w:spacing w:before="0" w:after="100"/>
            </w:pPr>
            <w:r>
              <w:rPr/>
              <w:t>Say what the choice gives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most expensive assumption is usually “neurodivergent customers are a small group”. Many people never had a diagnosis, and anyone under stress (after a high bill, a bereavement, a move) processes like someone with less attention to spare. Designing for the stressed customer is designing for a large share of the customers who matter most to a service.</w:t>
            </w:r>
          </w:p>
        </w:tc>
      </w:tr>
    </w:tbl>
    <w:p>
      <w:pPr>
        <w:spacing w:before="0" w:after="80"/>
      </w:pPr>
    </w:p>
    <w:p>
      <w:pPr>
        <w:spacing w:before="80" w:after="160"/>
      </w:pPr>
      <w:r>
        <w:rPr>
          <w:b/>
          <w:color w:val="556274"/>
          <w:sz w:val="18"/>
        </w:rPr>
        <w:t xml:space="preserve">Sources · </w:t>
      </w:r>
      <w:r>
        <w:rPr>
          <w:color w:val="556274"/>
          <w:sz w:val="18"/>
        </w:rPr>
        <w:t>W3C COGA 2021 · Pun 2016 · Rello &amp; Baeza-Yates 2013 · WCAG 2.2 · Nielsen 2000</w:t>
      </w:r>
    </w:p>
    <w:p>
      <w:pPr>
        <w:pStyle w:val="Heading2"/>
      </w:pPr>
      <w:r>
        <w:rPr/>
        <w:t>B3 · Who owns it, how it is tested, and deciding with patchy data · 20 min · Core</w:t>
      </w:r>
    </w:p>
    <w:p>
      <w:pPr>
        <w:pBdr>
          <w:left w:val="single" w:sz="18" w:space="6" w:color="1750A8"/>
        </w:pBdr>
        <w:spacing w:before="40" w:after="120"/>
        <w:ind w:left="170"/>
      </w:pPr>
      <w:r>
        <w:rPr>
          <w:i/>
          <w:color w:val="556274"/>
          <w:sz w:val="22"/>
        </w:rPr>
        <w:t>Neurodiverse UX needs an owner of the principles and patterns, a test strategy that includes neurodivergent people with the right support, checks in every release, and a rule for when brand, technology, product logic and inclusion disagree. With patchy test data,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Neurodiverse UX needs owners: someone who owns the principles and the patterns, a test strategy that includes neurodivergent people with the right support (a quiet room, breaks, time), checks built into every release, and a rule for when brand, technology, product logic and inclusion disagree. Test data is often patchy; a decision under uncertainty says what you decide, what you do not know, when you would reverse it and what you give up.</w:t>
            </w:r>
          </w:p>
          <w:p>
            <w:pPr>
              <w:spacing w:before="0" w:after="100"/>
            </w:pPr>
            <w:r>
              <w:rPr>
                <w:b/>
              </w:rPr>
              <w:t>Why it matters.</w:t>
            </w:r>
            <w:r>
              <w:rPr/>
              <w:t xml:space="preserve"> Block 3.1 asks for a governance model for neurodiverse UX principles, a decision despite patchy test data, and a statement to the management. This card gives you the parts of each.</w:t>
            </w:r>
          </w:p>
          <w:p>
            <w:pPr>
              <w:spacing w:before="0" w:after="100"/>
            </w:pPr>
            <w:r>
              <w:rPr>
                <w:b/>
              </w:rPr>
              <w:t>How to read the picture.</w:t>
            </w:r>
            <w:r>
              <w:rPr/>
              <w:t xml:space="preserve"> The four boxes at the top are the parts of a decision, filled in for Hearth Energy.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53892"/>
            <wp:docPr id="11" name="Picture 11"/>
            <wp:cNvGraphicFramePr>
              <a:graphicFrameLocks noChangeAspect="1"/>
            </wp:cNvGraphicFramePr>
            <a:graphic>
              <a:graphicData uri="http://schemas.openxmlformats.org/drawingml/2006/picture">
                <pic:pic>
                  <pic:nvPicPr>
                    <pic:cNvPr id="0" name="d13_B3_0-f737ae60a11e.png"/>
                    <pic:cNvPicPr/>
                  </pic:nvPicPr>
                  <pic:blipFill>
                    <a:blip r:embed="rId20"/>
                    <a:stretch>
                      <a:fillRect/>
                    </a:stretch>
                  </pic:blipFill>
                  <pic:spPr>
                    <a:xfrm>
                      <a:off x="0" y="0"/>
                      <a:ext cx="5940000" cy="2153892"/>
                    </a:xfrm>
                    <a:prstGeom prst="rect"/>
                  </pic:spPr>
                </pic:pic>
              </a:graphicData>
            </a:graphic>
          </wp:inline>
        </w:drawing>
      </w:r>
    </w:p>
    <w:p>
      <w:pPr>
        <w:spacing w:before="0" w:after="160"/>
        <w:jc w:val="center"/>
      </w:pPr>
      <w:r>
        <w:rPr>
          <w:i/>
          <w:color w:val="556274"/>
          <w:sz w:val="18"/>
        </w:rPr>
        <w:t>Figure 11 · A decision under uncertainty, filled in for Hearth Energy.</w:t>
      </w:r>
    </w:p>
    <w:p>
      <w:pPr>
        <w:spacing w:before="0" w:after="100"/>
      </w:pPr>
      <w:r>
        <w:rPr>
          <w:b/>
        </w:rPr>
        <w:t>Four parts of neurodiverse UX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82"/>
        <w:gridCol w:w="3464"/>
        <w:gridCol w:w="4592"/>
      </w:tblGrid>
      <w:tr>
        <w:trPr>
          <w:cantSplit/>
          <w:tblHeader/>
        </w:trPr>
        <w:tc>
          <w:tcPr>
            <w:tcW w:type="dxa" w:w="1582"/>
            <w:shd w:val="clear" w:color="auto" w:fill="E6ECF4"/>
          </w:tcPr>
          <w:p>
            <w:pPr>
              <w:spacing w:before="0" w:after="0"/>
            </w:pPr>
            <w:r>
              <w:rPr>
                <w:b/>
                <w:sz w:val="20"/>
              </w:rPr>
              <w:t>Part</w:t>
            </w:r>
          </w:p>
        </w:tc>
        <w:tc>
          <w:tcPr>
            <w:tcW w:type="dxa" w:w="3464"/>
            <w:shd w:val="clear" w:color="auto" w:fill="E6ECF4"/>
          </w:tcPr>
          <w:p>
            <w:pPr>
              <w:spacing w:before="0" w:after="0"/>
            </w:pPr>
            <w:r>
              <w:rPr>
                <w:b/>
                <w:sz w:val="20"/>
              </w:rPr>
              <w:t>The question</w:t>
            </w:r>
          </w:p>
        </w:tc>
        <w:tc>
          <w:tcPr>
            <w:tcW w:type="dxa" w:w="4592"/>
            <w:shd w:val="clear" w:color="auto" w:fill="E6ECF4"/>
          </w:tcPr>
          <w:p>
            <w:pPr>
              <w:spacing w:before="0" w:after="0"/>
            </w:pPr>
            <w:r>
              <w:rPr>
                <w:b/>
                <w:sz w:val="20"/>
              </w:rPr>
              <w:t>An example (Hearth Energy)</w:t>
            </w:r>
          </w:p>
        </w:tc>
      </w:tr>
      <w:tr>
        <w:trPr>
          <w:cantSplit/>
        </w:trPr>
        <w:tc>
          <w:tcPr>
            <w:tcW w:type="dxa" w:w="1582"/>
          </w:tcPr>
          <w:p>
            <w:pPr>
              <w:spacing w:before="0" w:after="0"/>
            </w:pPr>
            <w:r>
              <w:rPr>
                <w:sz w:val="20"/>
              </w:rPr>
              <w:t>Owners</w:t>
            </w:r>
          </w:p>
        </w:tc>
        <w:tc>
          <w:tcPr>
            <w:tcW w:type="dxa" w:w="3464"/>
          </w:tcPr>
          <w:p>
            <w:pPr>
              <w:spacing w:before="0" w:after="0"/>
            </w:pPr>
            <w:r>
              <w:rPr>
                <w:sz w:val="20"/>
              </w:rPr>
              <w:t>Who owns the principles and the patterns?</w:t>
            </w:r>
          </w:p>
        </w:tc>
        <w:tc>
          <w:tcPr>
            <w:tcW w:type="dxa" w:w="4592"/>
          </w:tcPr>
          <w:p>
            <w:pPr>
              <w:spacing w:before="0" w:after="0"/>
            </w:pPr>
            <w:r>
              <w:rPr>
                <w:sz w:val="20"/>
              </w:rPr>
              <w:t>The head of UX the principles; the design system team the patterns.</w:t>
            </w:r>
          </w:p>
        </w:tc>
      </w:tr>
      <w:tr>
        <w:trPr>
          <w:cantSplit/>
        </w:trPr>
        <w:tc>
          <w:tcPr>
            <w:tcW w:type="dxa" w:w="1582"/>
          </w:tcPr>
          <w:p>
            <w:pPr>
              <w:spacing w:before="0" w:after="0"/>
            </w:pPr>
            <w:r>
              <w:rPr>
                <w:sz w:val="20"/>
              </w:rPr>
              <w:t>Test strategy</w:t>
            </w:r>
          </w:p>
        </w:tc>
        <w:tc>
          <w:tcPr>
            <w:tcW w:type="dxa" w:w="3464"/>
          </w:tcPr>
          <w:p>
            <w:pPr>
              <w:spacing w:before="0" w:after="0"/>
            </w:pPr>
            <w:r>
              <w:rPr>
                <w:sz w:val="20"/>
              </w:rPr>
              <w:t>Who tests what, with whom, before release?</w:t>
            </w:r>
          </w:p>
        </w:tc>
        <w:tc>
          <w:tcPr>
            <w:tcW w:type="dxa" w:w="4592"/>
          </w:tcPr>
          <w:p>
            <w:pPr>
              <w:spacing w:before="0" w:after="0"/>
            </w:pPr>
            <w:r>
              <w:rPr>
                <w:sz w:val="20"/>
              </w:rPr>
              <w:t>Research tests the key journeys with six people incl. neurodivergent customers; may stop a release.</w:t>
            </w:r>
          </w:p>
        </w:tc>
      </w:tr>
      <w:tr>
        <w:trPr>
          <w:cantSplit/>
        </w:trPr>
        <w:tc>
          <w:tcPr>
            <w:tcW w:type="dxa" w:w="1582"/>
          </w:tcPr>
          <w:p>
            <w:pPr>
              <w:spacing w:before="0" w:after="0"/>
            </w:pPr>
            <w:r>
              <w:rPr>
                <w:sz w:val="20"/>
              </w:rPr>
              <w:t>Checks</w:t>
            </w:r>
          </w:p>
        </w:tc>
        <w:tc>
          <w:tcPr>
            <w:tcW w:type="dxa" w:w="3464"/>
          </w:tcPr>
          <w:p>
            <w:pPr>
              <w:spacing w:before="0" w:after="0"/>
            </w:pPr>
            <w:r>
              <w:rPr>
                <w:sz w:val="20"/>
              </w:rPr>
              <w:t>How does each release keep the base calm and consistent?</w:t>
            </w:r>
          </w:p>
        </w:tc>
        <w:tc>
          <w:tcPr>
            <w:tcW w:type="dxa" w:w="4592"/>
          </w:tcPr>
          <w:p>
            <w:pPr>
              <w:spacing w:before="0" w:after="0"/>
            </w:pPr>
            <w:r>
              <w:rPr>
                <w:sz w:val="20"/>
              </w:rPr>
              <w:t>A pattern check in the definition of done.</w:t>
            </w:r>
          </w:p>
        </w:tc>
      </w:tr>
      <w:tr>
        <w:trPr>
          <w:cantSplit/>
        </w:trPr>
        <w:tc>
          <w:tcPr>
            <w:tcW w:type="dxa" w:w="1582"/>
          </w:tcPr>
          <w:p>
            <w:pPr>
              <w:spacing w:before="0" w:after="0"/>
            </w:pPr>
            <w:r>
              <w:rPr>
                <w:sz w:val="20"/>
              </w:rPr>
              <w:t>How a conflict is decided</w:t>
            </w:r>
          </w:p>
        </w:tc>
        <w:tc>
          <w:tcPr>
            <w:tcW w:type="dxa" w:w="3464"/>
          </w:tcPr>
          <w:p>
            <w:pPr>
              <w:spacing w:before="0" w:after="0"/>
            </w:pPr>
            <w:r>
              <w:rPr>
                <w:sz w:val="20"/>
              </w:rPr>
              <w:t>What happens when brand, technology, product logic and inclusion disagree?</w:t>
            </w:r>
          </w:p>
        </w:tc>
        <w:tc>
          <w:tcPr>
            <w:tcW w:type="dxa" w:w="4592"/>
          </w:tcPr>
          <w:p>
            <w:pPr>
              <w:spacing w:before="0" w:after="0"/>
            </w:pPr>
            <w:r>
              <w:rPr>
                <w:sz w:val="20"/>
              </w:rPr>
              <w:t>Completing a task in stress first, then brand, then convenience; the board settles a tie.</w:t>
            </w:r>
          </w:p>
        </w:tc>
      </w:tr>
    </w:tbl>
    <w:p>
      <w:pPr>
        <w:spacing w:before="0" w:after="80"/>
      </w:pPr>
    </w:p>
    <w:p>
      <w:pPr>
        <w:spacing w:before="0" w:after="100"/>
      </w:pPr>
      <w:r>
        <w:rPr>
          <w:b/>
        </w:rPr>
        <w:t>Owning neurodiverse UX: real rules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39"/>
        <w:gridCol w:w="4650"/>
        <w:gridCol w:w="3549"/>
      </w:tblGrid>
      <w:tr>
        <w:trPr>
          <w:cantSplit/>
          <w:tblHeader/>
        </w:trPr>
        <w:tc>
          <w:tcPr>
            <w:tcW w:type="dxa" w:w="1439"/>
            <w:shd w:val="clear" w:color="auto" w:fill="E6ECF4"/>
          </w:tcPr>
          <w:p>
            <w:pPr>
              <w:spacing w:before="0" w:after="0"/>
            </w:pPr>
            <w:r>
              <w:rPr>
                <w:b/>
                <w:sz w:val="20"/>
              </w:rPr>
              <w:t>Part</w:t>
            </w:r>
          </w:p>
        </w:tc>
        <w:tc>
          <w:tcPr>
            <w:tcW w:type="dxa" w:w="4650"/>
            <w:shd w:val="clear" w:color="auto" w:fill="E6ECF4"/>
          </w:tcPr>
          <w:p>
            <w:pPr>
              <w:spacing w:before="0" w:after="0"/>
            </w:pPr>
            <w:r>
              <w:rPr>
                <w:b/>
                <w:sz w:val="20"/>
              </w:rPr>
              <w:t>Real rule or source</w:t>
            </w:r>
          </w:p>
        </w:tc>
        <w:tc>
          <w:tcPr>
            <w:tcW w:type="dxa" w:w="3549"/>
            <w:shd w:val="clear" w:color="auto" w:fill="E6ECF4"/>
          </w:tcPr>
          <w:p>
            <w:pPr>
              <w:spacing w:before="0" w:after="0"/>
            </w:pPr>
            <w:r>
              <w:rPr>
                <w:b/>
                <w:sz w:val="20"/>
              </w:rPr>
              <w:t>What it means</w:t>
            </w:r>
          </w:p>
        </w:tc>
      </w:tr>
      <w:tr>
        <w:trPr>
          <w:cantSplit/>
        </w:trPr>
        <w:tc>
          <w:tcPr>
            <w:tcW w:type="dxa" w:w="1439"/>
          </w:tcPr>
          <w:p>
            <w:pPr>
              <w:spacing w:before="0" w:after="0"/>
            </w:pPr>
            <w:r>
              <w:rPr>
                <w:sz w:val="20"/>
              </w:rPr>
              <w:t>Test strategy</w:t>
            </w:r>
          </w:p>
        </w:tc>
        <w:tc>
          <w:tcPr>
            <w:tcW w:type="dxa" w:w="4650"/>
          </w:tcPr>
          <w:p>
            <w:pPr>
              <w:spacing w:before="0" w:after="0"/>
            </w:pPr>
            <w:r>
              <w:rPr>
                <w:sz w:val="20"/>
              </w:rPr>
              <w:t>A small qualitative test with several groups finds most serious problems (Nielsen 2000, as reported).</w:t>
            </w:r>
          </w:p>
        </w:tc>
        <w:tc>
          <w:tcPr>
            <w:tcW w:type="dxa" w:w="3549"/>
          </w:tcPr>
          <w:p>
            <w:pPr>
              <w:spacing w:before="0" w:after="0"/>
            </w:pPr>
            <w:r>
              <w:rPr>
                <w:sz w:val="20"/>
              </w:rPr>
              <w:t>Fix the number and the groups in the plan, and name who runs it.</w:t>
            </w:r>
          </w:p>
        </w:tc>
      </w:tr>
      <w:tr>
        <w:trPr>
          <w:cantSplit/>
        </w:trPr>
        <w:tc>
          <w:tcPr>
            <w:tcW w:type="dxa" w:w="1439"/>
          </w:tcPr>
          <w:p>
            <w:pPr>
              <w:spacing w:before="0" w:after="0"/>
            </w:pPr>
            <w:r>
              <w:rPr>
                <w:sz w:val="20"/>
              </w:rPr>
              <w:t>Checks</w:t>
            </w:r>
          </w:p>
        </w:tc>
        <w:tc>
          <w:tcPr>
            <w:tcW w:type="dxa" w:w="4650"/>
          </w:tcPr>
          <w:p>
            <w:pPr>
              <w:spacing w:before="0" w:after="0"/>
            </w:pPr>
            <w:r>
              <w:rPr>
                <w:sz w:val="20"/>
              </w:rPr>
              <w:t>WCAG 2.2 gives testable criteria for each requirement.</w:t>
            </w:r>
          </w:p>
        </w:tc>
        <w:tc>
          <w:tcPr>
            <w:tcW w:type="dxa" w:w="3549"/>
          </w:tcPr>
          <w:p>
            <w:pPr>
              <w:spacing w:before="0" w:after="0"/>
            </w:pPr>
            <w:r>
              <w:rPr>
                <w:sz w:val="20"/>
              </w:rPr>
              <w:t>Put a pattern check in the definition of done.</w:t>
            </w:r>
          </w:p>
        </w:tc>
      </w:tr>
      <w:tr>
        <w:trPr>
          <w:cantSplit/>
        </w:trPr>
        <w:tc>
          <w:tcPr>
            <w:tcW w:type="dxa" w:w="1439"/>
          </w:tcPr>
          <w:p>
            <w:pPr>
              <w:spacing w:before="0" w:after="0"/>
            </w:pPr>
            <w:r>
              <w:rPr>
                <w:sz w:val="20"/>
              </w:rPr>
              <w:t>Owners</w:t>
            </w:r>
          </w:p>
        </w:tc>
        <w:tc>
          <w:tcPr>
            <w:tcW w:type="dxa" w:w="4650"/>
          </w:tcPr>
          <w:p>
            <w:pPr>
              <w:spacing w:before="0" w:after="0"/>
            </w:pPr>
            <w:r>
              <w:rPr>
                <w:sz w:val="20"/>
              </w:rPr>
              <w:t>Supplemental patterns have no conformance level of their own (W3C COGA 2021).</w:t>
            </w:r>
          </w:p>
        </w:tc>
        <w:tc>
          <w:tcPr>
            <w:tcW w:type="dxa" w:w="3549"/>
          </w:tcPr>
          <w:p>
            <w:pPr>
              <w:spacing w:before="0" w:after="0"/>
            </w:pPr>
            <w:r>
              <w:rPr>
                <w:sz w:val="20"/>
              </w:rPr>
              <w:t>Name an owner for the patterns, or they are not applied.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Hearth Energy, Ayo, Mirko, Tilda, Pia and Lukas are made up for this example. Including people with cognitive and learning disabilities in research and testing follows the W3C's “Making Content Usable” (2021);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principles, and who owns the patterns in the design system.</w:t>
            </w:r>
          </w:p>
          <w:p>
            <w:pPr>
              <w:pStyle w:val="ListBullet"/>
              <w:spacing w:before="0" w:after="40"/>
            </w:pPr>
            <w:r>
              <w:rPr/>
              <w:t>Name who owns the test strategy, and give them a stop right.</w:t>
            </w:r>
          </w:p>
          <w:p>
            <w:pPr>
              <w:pStyle w:val="ListBullet"/>
              <w:spacing w:before="0" w:after="40"/>
            </w:pPr>
            <w:r>
              <w:rPr/>
              <w:t>Include neurodivergent people in research and tests, with a quiet room, breaks and time.</w:t>
            </w:r>
          </w:p>
          <w:p>
            <w:pPr>
              <w:pStyle w:val="ListBullet"/>
              <w:spacing w:before="0" w:after="40"/>
            </w:pPr>
            <w:r>
              <w:rPr/>
              <w:t>Settle conflicts by the user's ability to complete a task in stress first, then brand, then convenience.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Without an owner, a design system drifts: each product adds one exception, and two years later the consistency that autistic customers relied on is gone. Owning the patterns means saying no to exceptions, and it is the least visible and most important job in neurodiverse UX.</w:t>
            </w:r>
          </w:p>
        </w:tc>
      </w:tr>
    </w:tbl>
    <w:p>
      <w:pPr>
        <w:spacing w:before="0" w:after="80"/>
      </w:pPr>
    </w:p>
    <w:p>
      <w:pPr>
        <w:spacing w:before="80" w:after="160"/>
      </w:pPr>
      <w:r>
        <w:rPr>
          <w:b/>
          <w:color w:val="556274"/>
          <w:sz w:val="18"/>
        </w:rPr>
        <w:t xml:space="preserve">Sources · </w:t>
      </w:r>
      <w:r>
        <w:rPr>
          <w:color w:val="556274"/>
          <w:sz w:val="18"/>
        </w:rPr>
        <w:t>W3C COGA 2021 · Simon 1956 · Klein 2007 · Nielsen 2000 · WCAG 2.2</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89"/>
        <w:gridCol w:w="3890"/>
        <w:gridCol w:w="1459"/>
      </w:tblGrid>
      <w:tr>
        <w:trPr>
          <w:cantSplit/>
          <w:tblHeader/>
        </w:trPr>
        <w:tc>
          <w:tcPr>
            <w:tcW w:type="dxa" w:w="4289"/>
            <w:shd w:val="clear" w:color="auto" w:fill="E6ECF4"/>
          </w:tcPr>
          <w:p>
            <w:pPr>
              <w:spacing w:before="0" w:after="0"/>
            </w:pPr>
            <w:r>
              <w:rPr>
                <w:b/>
                <w:sz w:val="20"/>
              </w:rPr>
              <w:t>Card</w:t>
            </w:r>
          </w:p>
        </w:tc>
        <w:tc>
          <w:tcPr>
            <w:tcW w:type="dxa" w:w="3890"/>
            <w:shd w:val="clear" w:color="auto" w:fill="E6ECF4"/>
          </w:tcPr>
          <w:p>
            <w:pPr>
              <w:spacing w:before="0" w:after="0"/>
            </w:pPr>
            <w:r>
              <w:rPr>
                <w:b/>
                <w:sz w:val="20"/>
              </w:rPr>
              <w:t>Presentation (shown in the Neuro-UX Lab)</w:t>
            </w:r>
          </w:p>
        </w:tc>
        <w:tc>
          <w:tcPr>
            <w:tcW w:type="dxa" w:w="1459"/>
            <w:shd w:val="clear" w:color="auto" w:fill="E6ECF4"/>
          </w:tcPr>
          <w:p>
            <w:pPr>
              <w:spacing w:before="0" w:after="0"/>
            </w:pPr>
            <w:r>
              <w:rPr>
                <w:b/>
                <w:sz w:val="20"/>
              </w:rPr>
              <w:t>Handout</w:t>
            </w:r>
          </w:p>
        </w:tc>
      </w:tr>
      <w:tr>
        <w:trPr>
          <w:cantSplit/>
        </w:trPr>
        <w:tc>
          <w:tcPr>
            <w:tcW w:type="dxa" w:w="4289"/>
          </w:tcPr>
          <w:p>
            <w:pPr>
              <w:spacing w:before="0" w:after="0"/>
            </w:pPr>
            <w:r>
              <w:rPr>
                <w:b/>
                <w:sz w:val="20"/>
              </w:rPr>
              <w:t>A1</w:t>
            </w:r>
            <w:r>
              <w:rPr>
                <w:sz w:val="20"/>
              </w:rPr>
              <w:t xml:space="preserve"> · Neurodiversity: different minds, different loads (Core)</w:t>
            </w:r>
          </w:p>
        </w:tc>
        <w:tc>
          <w:tcPr>
            <w:tcW w:type="dxa" w:w="3890"/>
          </w:tcPr>
          <w:p>
            <w:pPr>
              <w:spacing w:before="0" w:after="0"/>
            </w:pPr>
            <w:r>
              <w:rPr>
                <w:sz w:val="20"/>
              </w:rPr>
              <w:t>Scan line and Figure 1;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A2</w:t>
            </w:r>
            <w:r>
              <w:rPr>
                <w:sz w:val="20"/>
              </w:rPr>
              <w:t xml:space="preserve"> · Stimuli and focus: when a page is too much (ADHD, sensory sensitivity) (Core)</w:t>
            </w:r>
          </w:p>
        </w:tc>
        <w:tc>
          <w:tcPr>
            <w:tcW w:type="dxa" w:w="3890"/>
          </w:tcPr>
          <w:p>
            <w:pPr>
              <w:spacing w:before="0" w:after="0"/>
            </w:pPr>
            <w:r>
              <w:rPr>
                <w:sz w:val="20"/>
              </w:rPr>
              <w:t>Scan line and Figures 2–3;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A3</w:t>
            </w:r>
            <w:r>
              <w:rPr>
                <w:sz w:val="20"/>
              </w:rPr>
              <w:t xml:space="preserve"> · Predictability: consistent patterns and literal words (autism) (Core)</w:t>
            </w:r>
          </w:p>
        </w:tc>
        <w:tc>
          <w:tcPr>
            <w:tcW w:type="dxa" w:w="3890"/>
          </w:tcPr>
          <w:p>
            <w:pPr>
              <w:spacing w:before="0" w:after="0"/>
            </w:pPr>
            <w:r>
              <w:rPr>
                <w:sz w:val="20"/>
              </w:rPr>
              <w:t>Scan line and Figure 4;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A4</w:t>
            </w:r>
            <w:r>
              <w:rPr>
                <w:sz w:val="20"/>
              </w:rPr>
              <w:t xml:space="preserve"> · Readability: text structure, typography and language (dyslexia) (Core)</w:t>
            </w:r>
          </w:p>
        </w:tc>
        <w:tc>
          <w:tcPr>
            <w:tcW w:type="dxa" w:w="3890"/>
          </w:tcPr>
          <w:p>
            <w:pPr>
              <w:spacing w:before="0" w:after="0"/>
            </w:pPr>
            <w:r>
              <w:rPr>
                <w:sz w:val="20"/>
              </w:rPr>
              <w:t>Scan line and Figure 5;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A5</w:t>
            </w:r>
            <w:r>
              <w:rPr>
                <w:sz w:val="20"/>
              </w:rPr>
              <w:t xml:space="preserve"> · Inclusive patterns, assistive technologies, and testing a prototype (Core)</w:t>
            </w:r>
          </w:p>
        </w:tc>
        <w:tc>
          <w:tcPr>
            <w:tcW w:type="dxa" w:w="3890"/>
          </w:tcPr>
          <w:p>
            <w:pPr>
              <w:spacing w:before="0" w:after="0"/>
            </w:pPr>
            <w:r>
              <w:rPr>
                <w:sz w:val="20"/>
              </w:rPr>
              <w:t>Scan line and Figures 6–7;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B1</w:t>
            </w:r>
            <w:r>
              <w:rPr>
                <w:sz w:val="20"/>
              </w:rPr>
              <w:t xml:space="preserve"> · Neurodiverse UX as better base architecture, not a special case (Core)</w:t>
            </w:r>
          </w:p>
        </w:tc>
        <w:tc>
          <w:tcPr>
            <w:tcW w:type="dxa" w:w="3890"/>
          </w:tcPr>
          <w:p>
            <w:pPr>
              <w:spacing w:before="0" w:after="0"/>
            </w:pPr>
            <w:r>
              <w:rPr>
                <w:sz w:val="20"/>
              </w:rPr>
              <w:t>Scan line and Figures 8–9;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B2</w:t>
            </w:r>
            <w:r>
              <w:rPr>
                <w:sz w:val="20"/>
              </w:rPr>
              <w:t xml:space="preserve"> · One standard or many modes: the conflicts of neurodiverse UX (Core)</w:t>
            </w:r>
          </w:p>
        </w:tc>
        <w:tc>
          <w:tcPr>
            <w:tcW w:type="dxa" w:w="3890"/>
          </w:tcPr>
          <w:p>
            <w:pPr>
              <w:spacing w:before="0" w:after="0"/>
            </w:pPr>
            <w:r>
              <w:rPr>
                <w:sz w:val="20"/>
              </w:rPr>
              <w:t>Scan line and Figure 10; the "In plain words" and "How to decide" boxes</w:t>
            </w:r>
          </w:p>
        </w:tc>
        <w:tc>
          <w:tcPr>
            <w:tcW w:type="dxa" w:w="1459"/>
          </w:tcPr>
          <w:p>
            <w:pPr>
              <w:spacing w:before="0" w:after="0"/>
            </w:pPr>
            <w:r>
              <w:rPr>
                <w:sz w:val="20"/>
              </w:rPr>
              <w:t>The whole card</w:t>
            </w:r>
          </w:p>
        </w:tc>
      </w:tr>
      <w:tr>
        <w:trPr>
          <w:cantSplit/>
        </w:trPr>
        <w:tc>
          <w:tcPr>
            <w:tcW w:type="dxa" w:w="4289"/>
          </w:tcPr>
          <w:p>
            <w:pPr>
              <w:spacing w:before="0" w:after="0"/>
            </w:pPr>
            <w:r>
              <w:rPr>
                <w:b/>
                <w:sz w:val="20"/>
              </w:rPr>
              <w:t>B3</w:t>
            </w:r>
            <w:r>
              <w:rPr>
                <w:sz w:val="20"/>
              </w:rPr>
              <w:t xml:space="preserve"> · Who owns it, how it is tested, and deciding with patchy data (Core)</w:t>
            </w:r>
          </w:p>
        </w:tc>
        <w:tc>
          <w:tcPr>
            <w:tcW w:type="dxa" w:w="3890"/>
          </w:tcPr>
          <w:p>
            <w:pPr>
              <w:spacing w:before="0" w:after="0"/>
            </w:pPr>
            <w:r>
              <w:rPr>
                <w:sz w:val="20"/>
              </w:rPr>
              <w:t>Scan line and Figure 11; the "In plain words" and "How to decide" boxes</w:t>
            </w:r>
          </w:p>
        </w:tc>
        <w:tc>
          <w:tcPr>
            <w:tcW w:type="dxa" w:w="1459"/>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Barkley, R. A. (Ed.) (2015). Attention-Deficit Hyperactivity Disorder: A Handbook for Diagnosis and Treatment (4th ed.). Guilford Press. (ADHD as a difference in attention, impulse control and executive function; distraction and task structure as load factors.)</w:t>
      </w:r>
    </w:p>
    <w:p>
      <w:pPr>
        <w:spacing w:before="0" w:after="80"/>
        <w:ind w:left="283" w:hanging="283"/>
      </w:pPr>
      <w:r>
        <w:rPr>
          <w:sz w:val="19"/>
        </w:rPr>
        <w:t>Pun, K. (2016). Dos and don'ts on designing for accessibility. Accessibility in government (UK Home Office Digital), 2 September 2016. https://accessibility.blog.gov.uk/2016/09/02/dos-and-donts-on-designing-for-accessibility/ (Posters of dos and don'ts for users on the autistic spectrum, with dyslexia, and other needs.)</w:t>
      </w:r>
    </w:p>
    <w:p>
      <w:pPr>
        <w:spacing w:before="0" w:after="80"/>
        <w:ind w:left="283" w:hanging="283"/>
      </w:pPr>
      <w:r>
        <w:rPr>
          <w:sz w:val="19"/>
        </w:rPr>
        <w:t>British Dyslexia Association (2023). Dyslexia Style Guide. (Plain language, short sentences, left-aligned text, good spacing and no blocks of italics or capitals help readers with dyslexia.)</w:t>
      </w:r>
    </w:p>
    <w:p>
      <w:pPr>
        <w:spacing w:before="0" w:after="80"/>
        <w:ind w:left="283" w:hanging="283"/>
      </w:pPr>
      <w:r>
        <w:rPr>
          <w:sz w:val="19"/>
        </w:rPr>
        <w:t>Polanczyk, G., de Lima, M. S., Horta, B. L., Biederman, J., &amp; Rohde, L. A. (2007). The worldwide prevalence of ADHD: A systematic review and metaregression analysis. American Journal of Psychiatry, 164(6), 942–948. https://doi.org/10.1176/ajp.2007.164.6.942 (A pooled prevalence of 5.29% in people aged 18 or younger, from 102 studies; estimates vary mostly with study method.)</w:t>
      </w:r>
    </w:p>
    <w:p>
      <w:pPr>
        <w:spacing w:before="0" w:after="80"/>
        <w:ind w:left="283" w:hanging="283"/>
      </w:pPr>
      <w:r>
        <w:rPr>
          <w:sz w:val="19"/>
        </w:rPr>
        <w:t>World Health Organization. Autism spectrum disorders (fact sheet, 2022 edition). https://www.who.int/news-room/fact-sheets/detail/autism-spectrum-disorders (About one in 100 children has autism, as an average estimate; reported prevalence varies a lot between studies.)</w:t>
      </w:r>
    </w:p>
    <w:p>
      <w:pPr>
        <w:spacing w:before="0" w:after="80"/>
        <w:ind w:left="283" w:hanging="283"/>
      </w:pPr>
      <w:r>
        <w:rPr>
          <w:sz w:val="19"/>
        </w:rPr>
        <w:t>Dyslexia Action. The prevalence of dyslexia. https://dyslexiaaction.org.uk/ (Prevalence depends on the definition and is best described as a continuum; the often-quoted 10% figure has no traceable original source.)</w:t>
      </w:r>
    </w:p>
    <w:p>
      <w:pPr>
        <w:spacing w:before="0" w:after="80"/>
        <w:ind w:left="283" w:hanging="283"/>
      </w:pPr>
      <w:r>
        <w:rPr>
          <w:sz w:val="19"/>
        </w:rPr>
        <w:t>W3C (2021). Making Content Usable for People with Cognitive and Learning Disabilities. W3C Working Group Note, 29 April 2021. https://www.w3.org/TR/coga-usable/ (Eight objectives and design patterns for cognitive accessibility, and how to include people in design and usability testing.)</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Rello, L., &amp; Baeza-Yates, R. (2013). Good fonts for dyslexia. Proceedings of ASSETS '13, Article 14. (Forty-eight readers with dyslexia read twelve texts in twelve fonts; sans-serif and monospaced fonts such as Helvetica, Courier, Arial and Verdana did well, italics reduced readability, and a font made for dyslexia gave no benefit.)</w:t>
      </w:r>
    </w:p>
    <w:p>
      <w:pPr>
        <w:spacing w:before="0" w:after="80"/>
        <w:ind w:left="283" w:hanging="283"/>
      </w:pPr>
      <w:r>
        <w:rPr>
          <w:sz w:val="19"/>
        </w:rPr>
        <w:t>Houde, S., &amp; Hill, C. (1997). What do prototypes prototype? In M. Helander, T. Landauer, &amp; P. Prabhu (Eds.), Handbook of Human-Computer Interaction (2nd ed., pp. 367–381). Elsevier. (A prototype answers a question about role, look and feel, or implementation; choose it by the question.)</w:t>
      </w:r>
    </w:p>
    <w:p>
      <w:pPr>
        <w:spacing w:before="0" w:after="80"/>
        <w:ind w:left="283" w:hanging="283"/>
      </w:pPr>
      <w:r>
        <w:rPr>
          <w:sz w:val="19"/>
        </w:rPr>
        <w:t>Kelley, J. F. (1984). An iterative design methodology for user-friendly natural language office information applications. ACM Transactions on Information Systems, 2(1), 26–41. (The Wizard-of-Oz method: a person secretly plays the system to test a dialogue before it is built.)</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Nielsen, J. (2000). Why you only need to test with 5 users. Nielsen Norman Group. https://www.nngroup.com/articles/why-you-only-need-to-test-with-5-users/ (Based on a model by Nielsen and Landauer (1993): about five users find about 85% of the problems in a qualitative test; more are needed per group and for quantitative work. Figures from summaries.)</w:t>
      </w:r>
    </w:p>
    <w:p>
      <w:pPr>
        <w:spacing w:before="0" w:after="80"/>
        <w:ind w:left="283" w:hanging="283"/>
      </w:pPr>
      <w:r>
        <w:rPr>
          <w:sz w:val="19"/>
        </w:rPr>
        <w:t>Holmes, K. (2018). Mismatch: How Inclusion Shapes Design. MIT Press. (Disability as a mismatch between a person and a design; permanent, temporary and situational limits; solving for one extends to many.)</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25"/>
        <w:gridCol w:w="5230"/>
        <w:gridCol w:w="1380"/>
        <w:gridCol w:w="903"/>
      </w:tblGrid>
      <w:tr>
        <w:trPr>
          <w:cantSplit/>
          <w:tblHeader/>
        </w:trPr>
        <w:tc>
          <w:tcPr>
            <w:tcW w:type="dxa" w:w="2125"/>
            <w:shd w:val="clear" w:color="auto" w:fill="E6ECF4"/>
          </w:tcPr>
          <w:p>
            <w:pPr>
              <w:spacing w:before="0" w:after="0"/>
            </w:pPr>
            <w:r>
              <w:rPr>
                <w:b/>
                <w:sz w:val="19"/>
              </w:rPr>
              <w:t>Term</w:t>
            </w:r>
          </w:p>
        </w:tc>
        <w:tc>
          <w:tcPr>
            <w:tcW w:type="dxa" w:w="5230"/>
            <w:shd w:val="clear" w:color="auto" w:fill="E6ECF4"/>
          </w:tcPr>
          <w:p>
            <w:pPr>
              <w:spacing w:before="0" w:after="0"/>
            </w:pPr>
            <w:r>
              <w:rPr>
                <w:b/>
                <w:sz w:val="19"/>
              </w:rPr>
              <w:t>In plain words</w:t>
            </w:r>
          </w:p>
        </w:tc>
        <w:tc>
          <w:tcPr>
            <w:tcW w:type="dxa" w:w="1380"/>
            <w:shd w:val="clear" w:color="auto" w:fill="E6ECF4"/>
          </w:tcPr>
          <w:p>
            <w:pPr>
              <w:spacing w:before="0" w:after="0"/>
            </w:pPr>
            <w:r>
              <w:rPr>
                <w:b/>
                <w:sz w:val="19"/>
              </w:rPr>
              <w:t>Example</w:t>
            </w:r>
          </w:p>
        </w:tc>
        <w:tc>
          <w:tcPr>
            <w:tcW w:type="dxa" w:w="903"/>
            <w:shd w:val="clear" w:color="auto" w:fill="E6ECF4"/>
          </w:tcPr>
          <w:p>
            <w:pPr>
              <w:spacing w:before="0" w:after="0"/>
            </w:pPr>
            <w:r>
              <w:rPr>
                <w:b/>
                <w:sz w:val="19"/>
              </w:rPr>
              <w:t>Comes from</w:t>
            </w:r>
          </w:p>
        </w:tc>
      </w:tr>
      <w:tr>
        <w:trPr>
          <w:cantSplit/>
        </w:trPr>
        <w:tc>
          <w:tcPr>
            <w:tcW w:type="dxa" w:w="2125"/>
          </w:tcPr>
          <w:p>
            <w:pPr>
              <w:spacing w:before="0" w:after="0"/>
            </w:pPr>
            <w:r>
              <w:rPr>
                <w:b/>
                <w:sz w:val="19"/>
              </w:rPr>
              <w:t>Accessibility</w:t>
            </w:r>
          </w:p>
        </w:tc>
        <w:tc>
          <w:tcPr>
            <w:tcW w:type="dxa" w:w="5230"/>
          </w:tcPr>
          <w:p>
            <w:pPr>
              <w:spacing w:before="0" w:after="0"/>
            </w:pPr>
            <w:r>
              <w:rPr>
                <w:sz w:val="19"/>
              </w:rPr>
              <w:t>Designing so that everyone can use a product, also people who see less well, see colours differently, or use a keyboard or a screen reader.</w:t>
            </w:r>
          </w:p>
        </w:tc>
        <w:tc>
          <w:tcPr>
            <w:tcW w:type="dxa" w:w="1380"/>
          </w:tcPr>
          <w:p>
            <w:pPr>
              <w:spacing w:before="0" w:after="0"/>
            </w:pPr>
            <w:r>
              <w:rPr>
                <w:sz w:val="19"/>
              </w:rPr>
              <w:t>—</w:t>
            </w:r>
          </w:p>
        </w:tc>
        <w:tc>
          <w:tcPr>
            <w:tcW w:type="dxa" w:w="903"/>
          </w:tcPr>
          <w:p>
            <w:pPr>
              <w:spacing w:before="0" w:after="0"/>
            </w:pPr>
            <w:r>
              <w:rPr>
                <w:sz w:val="19"/>
              </w:rPr>
              <w:t>Day 3</w:t>
            </w:r>
          </w:p>
        </w:tc>
      </w:tr>
      <w:tr>
        <w:trPr>
          <w:cantSplit/>
        </w:trPr>
        <w:tc>
          <w:tcPr>
            <w:tcW w:type="dxa" w:w="2125"/>
          </w:tcPr>
          <w:p>
            <w:pPr>
              <w:spacing w:before="0" w:after="0"/>
            </w:pPr>
            <w:r>
              <w:rPr>
                <w:b/>
                <w:sz w:val="19"/>
              </w:rPr>
              <w:t>Adaptation mode</w:t>
            </w:r>
          </w:p>
        </w:tc>
        <w:tc>
          <w:tcPr>
            <w:tcW w:type="dxa" w:w="5230"/>
          </w:tcPr>
          <w:p>
            <w:pPr>
              <w:spacing w:before="0" w:after="0"/>
            </w:pPr>
            <w:r>
              <w:rPr>
                <w:sz w:val="19"/>
              </w:rPr>
              <w:t>An optional setting that changes how a product looks or behaves for someone's needs, such as fewer stimuli, a reading mode or a simplified view; it works best on top of a good default.</w:t>
            </w:r>
          </w:p>
        </w:tc>
        <w:tc>
          <w:tcPr>
            <w:tcW w:type="dxa" w:w="1380"/>
          </w:tcPr>
          <w:p>
            <w:pPr>
              <w:spacing w:before="0" w:after="0"/>
            </w:pPr>
            <w:r>
              <w:rPr>
                <w:sz w:val="19"/>
              </w:rPr>
              <w:t>—</w:t>
            </w:r>
          </w:p>
        </w:tc>
        <w:tc>
          <w:tcPr>
            <w:tcW w:type="dxa" w:w="903"/>
          </w:tcPr>
          <w:p>
            <w:pPr>
              <w:spacing w:before="0" w:after="0"/>
            </w:pPr>
            <w:r>
              <w:rPr>
                <w:sz w:val="19"/>
              </w:rPr>
              <w:t>Day 13</w:t>
            </w:r>
          </w:p>
        </w:tc>
      </w:tr>
      <w:tr>
        <w:trPr>
          <w:cantSplit/>
        </w:trPr>
        <w:tc>
          <w:tcPr>
            <w:tcW w:type="dxa" w:w="2125"/>
          </w:tcPr>
          <w:p>
            <w:pPr>
              <w:spacing w:before="0" w:after="0"/>
            </w:pPr>
            <w:r>
              <w:rPr>
                <w:b/>
                <w:sz w:val="19"/>
              </w:rPr>
              <w:t>ADHD</w:t>
            </w:r>
          </w:p>
        </w:tc>
        <w:tc>
          <w:tcPr>
            <w:tcW w:type="dxa" w:w="5230"/>
          </w:tcPr>
          <w:p>
            <w:pPr>
              <w:spacing w:before="0" w:after="0"/>
            </w:pPr>
            <w:r>
              <w:rPr>
                <w:sz w:val="19"/>
              </w:rPr>
              <w:t>Attention deficit hyperactivity disorder: a different way of directing attention and controlling impulses; busy pages, distractions and long unstructured tasks are especially hard.</w:t>
            </w:r>
          </w:p>
        </w:tc>
        <w:tc>
          <w:tcPr>
            <w:tcW w:type="dxa" w:w="1380"/>
          </w:tcPr>
          <w:p>
            <w:pPr>
              <w:spacing w:before="0" w:after="0"/>
            </w:pPr>
            <w:r>
              <w:rPr>
                <w:sz w:val="19"/>
              </w:rPr>
              <w:t>—</w:t>
            </w:r>
          </w:p>
        </w:tc>
        <w:tc>
          <w:tcPr>
            <w:tcW w:type="dxa" w:w="903"/>
          </w:tcPr>
          <w:p>
            <w:pPr>
              <w:spacing w:before="0" w:after="0"/>
            </w:pPr>
            <w:r>
              <w:rPr>
                <w:sz w:val="19"/>
              </w:rPr>
              <w:t>Day 13</w:t>
            </w:r>
          </w:p>
        </w:tc>
      </w:tr>
      <w:tr>
        <w:trPr>
          <w:cantSplit/>
        </w:trPr>
        <w:tc>
          <w:tcPr>
            <w:tcW w:type="dxa" w:w="2125"/>
          </w:tcPr>
          <w:p>
            <w:pPr>
              <w:spacing w:before="0" w:after="0"/>
            </w:pPr>
            <w:r>
              <w:rPr>
                <w:b/>
                <w:sz w:val="19"/>
              </w:rPr>
              <w:t>Assistive technology</w:t>
            </w:r>
          </w:p>
        </w:tc>
        <w:tc>
          <w:tcPr>
            <w:tcW w:type="dxa" w:w="5230"/>
          </w:tcPr>
          <w:p>
            <w:pPr>
              <w:spacing w:before="0" w:after="0"/>
            </w:pPr>
            <w:r>
              <w:rPr>
                <w:sz w:val="19"/>
              </w:rPr>
              <w:t>Tools people use to operate digital products, such as a screen reader that reads the screen aloud, a magnifier, a switch or voice control.</w:t>
            </w:r>
          </w:p>
        </w:tc>
        <w:tc>
          <w:tcPr>
            <w:tcW w:type="dxa" w:w="1380"/>
          </w:tcPr>
          <w:p>
            <w:pPr>
              <w:spacing w:before="0" w:after="0"/>
            </w:pPr>
            <w:r>
              <w:rPr>
                <w:sz w:val="19"/>
              </w:rPr>
              <w:t>—</w:t>
            </w:r>
          </w:p>
        </w:tc>
        <w:tc>
          <w:tcPr>
            <w:tcW w:type="dxa" w:w="903"/>
          </w:tcPr>
          <w:p>
            <w:pPr>
              <w:spacing w:before="0" w:after="0"/>
            </w:pPr>
            <w:r>
              <w:rPr>
                <w:sz w:val="19"/>
              </w:rPr>
              <w:t>Day 12</w:t>
            </w:r>
          </w:p>
        </w:tc>
      </w:tr>
      <w:tr>
        <w:trPr>
          <w:cantSplit/>
        </w:trPr>
        <w:tc>
          <w:tcPr>
            <w:tcW w:type="dxa" w:w="2125"/>
          </w:tcPr>
          <w:p>
            <w:pPr>
              <w:spacing w:before="0" w:after="0"/>
            </w:pPr>
            <w:r>
              <w:rPr>
                <w:b/>
                <w:sz w:val="19"/>
              </w:rPr>
              <w:t>Attention</w:t>
            </w:r>
          </w:p>
        </w:tc>
        <w:tc>
          <w:tcPr>
            <w:tcW w:type="dxa" w:w="5230"/>
          </w:tcPr>
          <w:p>
            <w:pPr>
              <w:spacing w:before="0" w:after="0"/>
            </w:pPr>
            <w:r>
              <w:rPr>
                <w:sz w:val="19"/>
              </w:rPr>
              <w:t>The mind's spotlight. Only a small part of a screen is processed at any moment; attention decides which part.</w:t>
            </w:r>
          </w:p>
        </w:tc>
        <w:tc>
          <w:tcPr>
            <w:tcW w:type="dxa" w:w="1380"/>
          </w:tcPr>
          <w:p>
            <w:pPr>
              <w:spacing w:before="0" w:after="0"/>
            </w:pPr>
            <w:r>
              <w:rPr>
                <w:sz w:val="19"/>
              </w:rPr>
              <w:t>A flashing banner takes attention away from the form you were filling in.</w:t>
            </w:r>
          </w:p>
        </w:tc>
        <w:tc>
          <w:tcPr>
            <w:tcW w:type="dxa" w:w="903"/>
          </w:tcPr>
          <w:p>
            <w:pPr>
              <w:spacing w:before="0" w:after="0"/>
            </w:pPr>
            <w:r>
              <w:rPr>
                <w:sz w:val="19"/>
              </w:rPr>
              <w:t>Day 1</w:t>
            </w:r>
          </w:p>
        </w:tc>
      </w:tr>
      <w:tr>
        <w:trPr>
          <w:cantSplit/>
        </w:trPr>
        <w:tc>
          <w:tcPr>
            <w:tcW w:type="dxa" w:w="2125"/>
          </w:tcPr>
          <w:p>
            <w:pPr>
              <w:spacing w:before="0" w:after="0"/>
            </w:pPr>
            <w:r>
              <w:rPr>
                <w:b/>
                <w:sz w:val="19"/>
              </w:rPr>
              <w:t>Autism</w:t>
            </w:r>
          </w:p>
        </w:tc>
        <w:tc>
          <w:tcPr>
            <w:tcW w:type="dxa" w:w="5230"/>
          </w:tcPr>
          <w:p>
            <w:pPr>
              <w:spacing w:before="0" w:after="0"/>
            </w:pPr>
            <w:r>
              <w:rPr>
                <w:sz w:val="19"/>
              </w:rPr>
              <w:t>A different way of perceiving and processing; inconsistent patterns, ambiguous words and sensory overload are especially hard, predictability helps.</w:t>
            </w:r>
          </w:p>
        </w:tc>
        <w:tc>
          <w:tcPr>
            <w:tcW w:type="dxa" w:w="1380"/>
          </w:tcPr>
          <w:p>
            <w:pPr>
              <w:spacing w:before="0" w:after="0"/>
            </w:pPr>
            <w:r>
              <w:rPr>
                <w:sz w:val="19"/>
              </w:rPr>
              <w:t>—</w:t>
            </w:r>
          </w:p>
        </w:tc>
        <w:tc>
          <w:tcPr>
            <w:tcW w:type="dxa" w:w="903"/>
          </w:tcPr>
          <w:p>
            <w:pPr>
              <w:spacing w:before="0" w:after="0"/>
            </w:pPr>
            <w:r>
              <w:rPr>
                <w:sz w:val="19"/>
              </w:rPr>
              <w:t>Day 13</w:t>
            </w:r>
          </w:p>
        </w:tc>
      </w:tr>
      <w:tr>
        <w:trPr>
          <w:cantSplit/>
        </w:trPr>
        <w:tc>
          <w:tcPr>
            <w:tcW w:type="dxa" w:w="2125"/>
          </w:tcPr>
          <w:p>
            <w:pPr>
              <w:spacing w:before="0" w:after="0"/>
            </w:pPr>
            <w:r>
              <w:rPr>
                <w:b/>
                <w:sz w:val="19"/>
              </w:rPr>
              <w:t>Badge</w:t>
            </w:r>
          </w:p>
        </w:tc>
        <w:tc>
          <w:tcPr>
            <w:tcW w:type="dxa" w:w="5230"/>
          </w:tcPr>
          <w:p>
            <w:pPr>
              <w:spacing w:before="0" w:after="0"/>
            </w:pPr>
            <w:r>
              <w:rPr>
                <w:sz w:val="19"/>
              </w:rPr>
              <w:t>A small symbol that marks something someone has done; it means something only while it is rare.</w:t>
            </w:r>
          </w:p>
        </w:tc>
        <w:tc>
          <w:tcPr>
            <w:tcW w:type="dxa" w:w="1380"/>
          </w:tcPr>
          <w:p>
            <w:pPr>
              <w:spacing w:before="0" w:after="0"/>
            </w:pPr>
            <w:r>
              <w:rPr>
                <w:sz w:val="19"/>
              </w:rPr>
              <w:t>—</w:t>
            </w:r>
          </w:p>
        </w:tc>
        <w:tc>
          <w:tcPr>
            <w:tcW w:type="dxa" w:w="903"/>
          </w:tcPr>
          <w:p>
            <w:pPr>
              <w:spacing w:before="0" w:after="0"/>
            </w:pPr>
            <w:r>
              <w:rPr>
                <w:sz w:val="19"/>
              </w:rPr>
              <w:t>Day 9</w:t>
            </w:r>
          </w:p>
        </w:tc>
      </w:tr>
      <w:tr>
        <w:trPr>
          <w:cantSplit/>
        </w:trPr>
        <w:tc>
          <w:tcPr>
            <w:tcW w:type="dxa" w:w="2125"/>
          </w:tcPr>
          <w:p>
            <w:pPr>
              <w:spacing w:before="0" w:after="0"/>
            </w:pPr>
            <w:r>
              <w:rPr>
                <w:b/>
                <w:sz w:val="19"/>
              </w:rPr>
              <w:t>Body text</w:t>
            </w:r>
          </w:p>
        </w:tc>
        <w:tc>
          <w:tcPr>
            <w:tcW w:type="dxa" w:w="5230"/>
          </w:tcPr>
          <w:p>
            <w:pPr>
              <w:spacing w:before="0" w:after="0"/>
            </w:pPr>
            <w:r>
              <w:rPr>
                <w:sz w:val="19"/>
              </w:rPr>
              <w:t>The running text of a page, as opposed to headings, labels and buttons. It carries most of the information and must be the easiest to read.</w:t>
            </w:r>
          </w:p>
        </w:tc>
        <w:tc>
          <w:tcPr>
            <w:tcW w:type="dxa" w:w="1380"/>
          </w:tcPr>
          <w:p>
            <w:pPr>
              <w:spacing w:before="0" w:after="0"/>
            </w:pPr>
            <w:r>
              <w:rPr>
                <w:sz w:val="19"/>
              </w:rPr>
              <w:t>—</w:t>
            </w:r>
          </w:p>
        </w:tc>
        <w:tc>
          <w:tcPr>
            <w:tcW w:type="dxa" w:w="903"/>
          </w:tcPr>
          <w:p>
            <w:pPr>
              <w:spacing w:before="0" w:after="0"/>
            </w:pPr>
            <w:r>
              <w:rPr>
                <w:sz w:val="19"/>
              </w:rPr>
              <w:t>Day 3</w:t>
            </w:r>
          </w:p>
        </w:tc>
      </w:tr>
      <w:tr>
        <w:trPr>
          <w:cantSplit/>
        </w:trPr>
        <w:tc>
          <w:tcPr>
            <w:tcW w:type="dxa" w:w="2125"/>
          </w:tcPr>
          <w:p>
            <w:pPr>
              <w:spacing w:before="0" w:after="0"/>
            </w:pPr>
            <w:r>
              <w:rPr>
                <w:b/>
                <w:sz w:val="19"/>
              </w:rPr>
              <w:t>Case assumption</w:t>
            </w:r>
          </w:p>
        </w:tc>
        <w:tc>
          <w:tcPr>
            <w:tcW w:type="dxa" w:w="5230"/>
          </w:tcPr>
          <w:p>
            <w:pPr>
              <w:spacing w:before="0" w:after="0"/>
            </w:pPr>
            <w:r>
              <w:rPr>
                <w:sz w:val="19"/>
              </w:rPr>
              <w:t>A fact made up for this exercise to fill a gap in the plan's case. It is marked so you know it is not part of the plan.</w:t>
            </w:r>
          </w:p>
        </w:tc>
        <w:tc>
          <w:tcPr>
            <w:tcW w:type="dxa" w:w="1380"/>
          </w:tcPr>
          <w:p>
            <w:pPr>
              <w:spacing w:before="0" w:after="0"/>
            </w:pPr>
            <w:r>
              <w:rPr>
                <w:sz w:val="19"/>
              </w:rPr>
              <w:t>—</w:t>
            </w:r>
          </w:p>
        </w:tc>
        <w:tc>
          <w:tcPr>
            <w:tcW w:type="dxa" w:w="903"/>
          </w:tcPr>
          <w:p>
            <w:pPr>
              <w:spacing w:before="0" w:after="0"/>
            </w:pPr>
            <w:r>
              <w:rPr>
                <w:sz w:val="19"/>
              </w:rPr>
              <w:t>Day 1</w:t>
            </w:r>
          </w:p>
        </w:tc>
      </w:tr>
      <w:tr>
        <w:trPr>
          <w:cantSplit/>
        </w:trPr>
        <w:tc>
          <w:tcPr>
            <w:tcW w:type="dxa" w:w="2125"/>
          </w:tcPr>
          <w:p>
            <w:pPr>
              <w:spacing w:before="0" w:after="0"/>
            </w:pPr>
            <w:r>
              <w:rPr>
                <w:b/>
                <w:sz w:val="19"/>
              </w:rPr>
              <w:t>Chief Experience Officer</w:t>
            </w:r>
          </w:p>
        </w:tc>
        <w:tc>
          <w:tcPr>
            <w:tcW w:type="dxa" w:w="5230"/>
          </w:tcPr>
          <w:p>
            <w:pPr>
              <w:spacing w:before="0" w:after="0"/>
            </w:pPr>
            <w:r>
              <w:rPr>
                <w:sz w:val="19"/>
              </w:rPr>
              <w:t>The manager who is responsible for the experience customers have across all channels, and who decides where the company invests in it.</w:t>
            </w:r>
          </w:p>
        </w:tc>
        <w:tc>
          <w:tcPr>
            <w:tcW w:type="dxa" w:w="1380"/>
          </w:tcPr>
          <w:p>
            <w:pPr>
              <w:spacing w:before="0" w:after="0"/>
            </w:pPr>
            <w:r>
              <w:rPr>
                <w:sz w:val="19"/>
              </w:rPr>
              <w:t>—</w:t>
            </w:r>
          </w:p>
        </w:tc>
        <w:tc>
          <w:tcPr>
            <w:tcW w:type="dxa" w:w="903"/>
          </w:tcPr>
          <w:p>
            <w:pPr>
              <w:spacing w:before="0" w:after="0"/>
            </w:pPr>
            <w:r>
              <w:rPr>
                <w:sz w:val="19"/>
              </w:rPr>
              <w:t>Day 1</w:t>
            </w:r>
          </w:p>
        </w:tc>
      </w:tr>
      <w:tr>
        <w:trPr>
          <w:cantSplit/>
        </w:trPr>
        <w:tc>
          <w:tcPr>
            <w:tcW w:type="dxa" w:w="2125"/>
          </w:tcPr>
          <w:p>
            <w:pPr>
              <w:spacing w:before="0" w:after="0"/>
            </w:pPr>
            <w:r>
              <w:rPr>
                <w:b/>
                <w:sz w:val="19"/>
              </w:rPr>
              <w:t>Component</w:t>
            </w:r>
          </w:p>
        </w:tc>
        <w:tc>
          <w:tcPr>
            <w:tcW w:type="dxa" w:w="5230"/>
          </w:tcPr>
          <w:p>
            <w:pPr>
              <w:spacing w:before="0" w:after="0"/>
            </w:pPr>
            <w:r>
              <w:rPr>
                <w:sz w:val="19"/>
              </w:rPr>
              <w:t>A reusable building block of an interface, such as a button, a form field or a status label, built once and used on many screens.</w:t>
            </w:r>
          </w:p>
        </w:tc>
        <w:tc>
          <w:tcPr>
            <w:tcW w:type="dxa" w:w="1380"/>
          </w:tcPr>
          <w:p>
            <w:pPr>
              <w:spacing w:before="0" w:after="0"/>
            </w:pPr>
            <w:r>
              <w:rPr>
                <w:sz w:val="19"/>
              </w:rPr>
              <w:t>—</w:t>
            </w:r>
          </w:p>
        </w:tc>
        <w:tc>
          <w:tcPr>
            <w:tcW w:type="dxa" w:w="903"/>
          </w:tcPr>
          <w:p>
            <w:pPr>
              <w:spacing w:before="0" w:after="0"/>
            </w:pPr>
            <w:r>
              <w:rPr>
                <w:sz w:val="19"/>
              </w:rPr>
              <w:t>Day 6</w:t>
            </w:r>
          </w:p>
        </w:tc>
      </w:tr>
      <w:tr>
        <w:trPr>
          <w:cantSplit/>
        </w:trPr>
        <w:tc>
          <w:tcPr>
            <w:tcW w:type="dxa" w:w="2125"/>
          </w:tcPr>
          <w:p>
            <w:pPr>
              <w:spacing w:before="0" w:after="0"/>
            </w:pPr>
            <w:r>
              <w:rPr>
                <w:b/>
                <w:sz w:val="19"/>
              </w:rPr>
              <w:t>Consistency</w:t>
            </w:r>
          </w:p>
        </w:tc>
        <w:tc>
          <w:tcPr>
            <w:tcW w:type="dxa" w:w="5230"/>
          </w:tcPr>
          <w:p>
            <w:pPr>
              <w:spacing w:before="0" w:after="0"/>
            </w:pPr>
            <w:r>
              <w:rPr>
                <w:sz w:val="19"/>
              </w:rPr>
              <w:t>The same thing looks, is named and works the same way everywhere, so what people learn on one page holds on the next.</w:t>
            </w:r>
          </w:p>
        </w:tc>
        <w:tc>
          <w:tcPr>
            <w:tcW w:type="dxa" w:w="1380"/>
          </w:tcPr>
          <w:p>
            <w:pPr>
              <w:spacing w:before="0" w:after="0"/>
            </w:pPr>
            <w:r>
              <w:rPr>
                <w:sz w:val="19"/>
              </w:rPr>
              <w:t>—</w:t>
            </w:r>
          </w:p>
        </w:tc>
        <w:tc>
          <w:tcPr>
            <w:tcW w:type="dxa" w:w="903"/>
          </w:tcPr>
          <w:p>
            <w:pPr>
              <w:spacing w:before="0" w:after="0"/>
            </w:pPr>
            <w:r>
              <w:rPr>
                <w:sz w:val="19"/>
              </w:rPr>
              <w:t>Day 2</w:t>
            </w:r>
          </w:p>
        </w:tc>
      </w:tr>
      <w:tr>
        <w:trPr>
          <w:cantSplit/>
        </w:trPr>
        <w:tc>
          <w:tcPr>
            <w:tcW w:type="dxa" w:w="2125"/>
          </w:tcPr>
          <w:p>
            <w:pPr>
              <w:spacing w:before="0" w:after="0"/>
            </w:pPr>
            <w:r>
              <w:rPr>
                <w:b/>
                <w:sz w:val="19"/>
              </w:rPr>
              <w:t>Contrast</w:t>
            </w:r>
          </w:p>
        </w:tc>
        <w:tc>
          <w:tcPr>
            <w:tcW w:type="dxa" w:w="5230"/>
          </w:tcPr>
          <w:p>
            <w:pPr>
              <w:spacing w:before="0" w:after="0"/>
            </w:pPr>
            <w:r>
              <w:rPr>
                <w:sz w:val="19"/>
              </w:rPr>
              <w:t>How much something differs from its surroundings in brightness, colour or size. Strong contrast makes it stand out; too many strong contrasts make everything compete.</w:t>
            </w:r>
          </w:p>
        </w:tc>
        <w:tc>
          <w:tcPr>
            <w:tcW w:type="dxa" w:w="1380"/>
          </w:tcPr>
          <w:p>
            <w:pPr>
              <w:spacing w:before="0" w:after="0"/>
            </w:pPr>
            <w:r>
              <w:rPr>
                <w:sz w:val="19"/>
              </w:rPr>
              <w:t>—</w:t>
            </w:r>
          </w:p>
        </w:tc>
        <w:tc>
          <w:tcPr>
            <w:tcW w:type="dxa" w:w="903"/>
          </w:tcPr>
          <w:p>
            <w:pPr>
              <w:spacing w:before="0" w:after="0"/>
            </w:pPr>
            <w:r>
              <w:rPr>
                <w:sz w:val="19"/>
              </w:rPr>
              <w:t>Day 2</w:t>
            </w:r>
          </w:p>
        </w:tc>
      </w:tr>
      <w:tr>
        <w:trPr>
          <w:cantSplit/>
        </w:trPr>
        <w:tc>
          <w:tcPr>
            <w:tcW w:type="dxa" w:w="2125"/>
          </w:tcPr>
          <w:p>
            <w:pPr>
              <w:spacing w:before="0" w:after="0"/>
            </w:pPr>
            <w:r>
              <w:rPr>
                <w:b/>
                <w:sz w:val="19"/>
              </w:rPr>
              <w:t>Design logic</w:t>
            </w:r>
          </w:p>
        </w:tc>
        <w:tc>
          <w:tcPr>
            <w:tcW w:type="dxa" w:w="5230"/>
          </w:tcPr>
          <w:p>
            <w:pPr>
              <w:spacing w:before="0" w:after="0"/>
            </w:pPr>
            <w:r>
              <w:rPr>
                <w:sz w:val="19"/>
              </w:rPr>
              <w:t>A set of decided rules and shared components, such as which colour means what and which type levels exist, used for every screen so everything stays consistent.</w:t>
            </w:r>
          </w:p>
        </w:tc>
        <w:tc>
          <w:tcPr>
            <w:tcW w:type="dxa" w:w="1380"/>
          </w:tcPr>
          <w:p>
            <w:pPr>
              <w:spacing w:before="0" w:after="0"/>
            </w:pPr>
            <w:r>
              <w:rPr>
                <w:sz w:val="19"/>
              </w:rPr>
              <w:t>—</w:t>
            </w:r>
          </w:p>
        </w:tc>
        <w:tc>
          <w:tcPr>
            <w:tcW w:type="dxa" w:w="903"/>
          </w:tcPr>
          <w:p>
            <w:pPr>
              <w:spacing w:before="0" w:after="0"/>
            </w:pPr>
            <w:r>
              <w:rPr>
                <w:sz w:val="19"/>
              </w:rPr>
              <w:t>Day 3</w:t>
            </w:r>
          </w:p>
        </w:tc>
      </w:tr>
      <w:tr>
        <w:trPr>
          <w:cantSplit/>
        </w:trPr>
        <w:tc>
          <w:tcPr>
            <w:tcW w:type="dxa" w:w="2125"/>
          </w:tcPr>
          <w:p>
            <w:pPr>
              <w:spacing w:before="0" w:after="0"/>
            </w:pPr>
            <w:r>
              <w:rPr>
                <w:b/>
                <w:sz w:val="19"/>
              </w:rPr>
              <w:t>Dyslexia</w:t>
            </w:r>
          </w:p>
        </w:tc>
        <w:tc>
          <w:tcPr>
            <w:tcW w:type="dxa" w:w="5230"/>
          </w:tcPr>
          <w:p>
            <w:pPr>
              <w:spacing w:before="0" w:after="0"/>
            </w:pPr>
            <w:r>
              <w:rPr>
                <w:sz w:val="19"/>
              </w:rPr>
              <w:t>A difference in reading and spelling; dense, justified text, unsuitable typography and complex language are especially hard.</w:t>
            </w:r>
          </w:p>
        </w:tc>
        <w:tc>
          <w:tcPr>
            <w:tcW w:type="dxa" w:w="1380"/>
          </w:tcPr>
          <w:p>
            <w:pPr>
              <w:spacing w:before="0" w:after="0"/>
            </w:pPr>
            <w:r>
              <w:rPr>
                <w:sz w:val="19"/>
              </w:rPr>
              <w:t>—</w:t>
            </w:r>
          </w:p>
        </w:tc>
        <w:tc>
          <w:tcPr>
            <w:tcW w:type="dxa" w:w="903"/>
          </w:tcPr>
          <w:p>
            <w:pPr>
              <w:spacing w:before="0" w:after="0"/>
            </w:pPr>
            <w:r>
              <w:rPr>
                <w:sz w:val="19"/>
              </w:rPr>
              <w:t>Day 13</w:t>
            </w:r>
          </w:p>
        </w:tc>
      </w:tr>
      <w:tr>
        <w:trPr>
          <w:cantSplit/>
        </w:trPr>
        <w:tc>
          <w:tcPr>
            <w:tcW w:type="dxa" w:w="2125"/>
          </w:tcPr>
          <w:p>
            <w:pPr>
              <w:spacing w:before="0" w:after="0"/>
            </w:pPr>
            <w:r>
              <w:rPr>
                <w:b/>
                <w:sz w:val="19"/>
              </w:rPr>
              <w:t>Governance</w:t>
            </w:r>
          </w:p>
        </w:tc>
        <w:tc>
          <w:tcPr>
            <w:tcW w:type="dxa" w:w="5230"/>
          </w:tcPr>
          <w:p>
            <w:pPr>
              <w:spacing w:before="0" w:after="0"/>
            </w:pPr>
            <w:r>
              <w:rPr>
                <w:sz w:val="19"/>
              </w:rPr>
              <w:t>The rules about who may decide what, who is answerable for it and how disagreements are settled.</w:t>
            </w:r>
          </w:p>
        </w:tc>
        <w:tc>
          <w:tcPr>
            <w:tcW w:type="dxa" w:w="1380"/>
          </w:tcPr>
          <w:p>
            <w:pPr>
              <w:spacing w:before="0" w:after="0"/>
            </w:pPr>
            <w:r>
              <w:rPr>
                <w:sz w:val="19"/>
              </w:rPr>
              <w:t>—</w:t>
            </w:r>
          </w:p>
        </w:tc>
        <w:tc>
          <w:tcPr>
            <w:tcW w:type="dxa" w:w="903"/>
          </w:tcPr>
          <w:p>
            <w:pPr>
              <w:spacing w:before="0" w:after="0"/>
            </w:pPr>
            <w:r>
              <w:rPr>
                <w:sz w:val="19"/>
              </w:rPr>
              <w:t>Day 1</w:t>
            </w:r>
          </w:p>
        </w:tc>
      </w:tr>
      <w:tr>
        <w:trPr>
          <w:cantSplit/>
        </w:trPr>
        <w:tc>
          <w:tcPr>
            <w:tcW w:type="dxa" w:w="2125"/>
          </w:tcPr>
          <w:p>
            <w:pPr>
              <w:spacing w:before="0" w:after="0"/>
            </w:pPr>
            <w:r>
              <w:rPr>
                <w:b/>
                <w:sz w:val="19"/>
              </w:rPr>
              <w:t>Inclusive design</w:t>
            </w:r>
          </w:p>
        </w:tc>
        <w:tc>
          <w:tcPr>
            <w:tcW w:type="dxa" w:w="5230"/>
          </w:tcPr>
          <w:p>
            <w:pPr>
              <w:spacing w:before="0" w:after="0"/>
            </w:pPr>
            <w:r>
              <w:rPr>
                <w:sz w:val="19"/>
              </w:rPr>
              <w:t>Designing with the full range of people from the start, including permanent, temporary and situational limits and different minds.</w:t>
            </w:r>
          </w:p>
        </w:tc>
        <w:tc>
          <w:tcPr>
            <w:tcW w:type="dxa" w:w="1380"/>
          </w:tcPr>
          <w:p>
            <w:pPr>
              <w:spacing w:before="0" w:after="0"/>
            </w:pPr>
            <w:r>
              <w:rPr>
                <w:sz w:val="19"/>
              </w:rPr>
              <w:t>—</w:t>
            </w:r>
          </w:p>
        </w:tc>
        <w:tc>
          <w:tcPr>
            <w:tcW w:type="dxa" w:w="903"/>
          </w:tcPr>
          <w:p>
            <w:pPr>
              <w:spacing w:before="0" w:after="0"/>
            </w:pPr>
            <w:r>
              <w:rPr>
                <w:sz w:val="19"/>
              </w:rPr>
              <w:t>Day 12</w:t>
            </w:r>
          </w:p>
        </w:tc>
      </w:tr>
      <w:tr>
        <w:trPr>
          <w:cantSplit/>
        </w:trPr>
        <w:tc>
          <w:tcPr>
            <w:tcW w:type="dxa" w:w="2125"/>
          </w:tcPr>
          <w:p>
            <w:pPr>
              <w:spacing w:before="0" w:after="0"/>
            </w:pPr>
            <w:r>
              <w:rPr>
                <w:b/>
                <w:sz w:val="19"/>
              </w:rPr>
              <w:t>Inclusive design pattern</w:t>
            </w:r>
          </w:p>
        </w:tc>
        <w:tc>
          <w:tcPr>
            <w:tcW w:type="dxa" w:w="5230"/>
          </w:tcPr>
          <w:p>
            <w:pPr>
              <w:spacing w:before="0" w:after="0"/>
            </w:pPr>
            <w:r>
              <w:rPr>
                <w:sz w:val="19"/>
              </w:rPr>
              <w:t>A reusable solution that helps several groups at once, such as one task per screen, a step indicator or a summary before sending.</w:t>
            </w:r>
          </w:p>
        </w:tc>
        <w:tc>
          <w:tcPr>
            <w:tcW w:type="dxa" w:w="1380"/>
          </w:tcPr>
          <w:p>
            <w:pPr>
              <w:spacing w:before="0" w:after="0"/>
            </w:pPr>
            <w:r>
              <w:rPr>
                <w:sz w:val="19"/>
              </w:rPr>
              <w:t>—</w:t>
            </w:r>
          </w:p>
        </w:tc>
        <w:tc>
          <w:tcPr>
            <w:tcW w:type="dxa" w:w="903"/>
          </w:tcPr>
          <w:p>
            <w:pPr>
              <w:spacing w:before="0" w:after="0"/>
            </w:pPr>
            <w:r>
              <w:rPr>
                <w:sz w:val="19"/>
              </w:rPr>
              <w:t>Day 13</w:t>
            </w:r>
          </w:p>
        </w:tc>
      </w:tr>
      <w:tr>
        <w:trPr>
          <w:cantSplit/>
        </w:trPr>
        <w:tc>
          <w:tcPr>
            <w:tcW w:type="dxa" w:w="2125"/>
          </w:tcPr>
          <w:p>
            <w:pPr>
              <w:spacing w:before="0" w:after="0"/>
            </w:pPr>
            <w:r>
              <w:rPr>
                <w:b/>
                <w:sz w:val="19"/>
              </w:rPr>
              <w:t>Line spacing</w:t>
            </w:r>
          </w:p>
        </w:tc>
        <w:tc>
          <w:tcPr>
            <w:tcW w:type="dxa" w:w="5230"/>
          </w:tcPr>
          <w:p>
            <w:pPr>
              <w:spacing w:before="0" w:after="0"/>
            </w:pPr>
            <w:r>
              <w:rPr>
                <w:sz w:val="19"/>
              </w:rPr>
              <w:t>The space between lines of text. Too little and lines run together; enough and the eye finds the next line easily.</w:t>
            </w:r>
          </w:p>
        </w:tc>
        <w:tc>
          <w:tcPr>
            <w:tcW w:type="dxa" w:w="1380"/>
          </w:tcPr>
          <w:p>
            <w:pPr>
              <w:spacing w:before="0" w:after="0"/>
            </w:pPr>
            <w:r>
              <w:rPr>
                <w:sz w:val="19"/>
              </w:rPr>
              <w:t>—</w:t>
            </w:r>
          </w:p>
        </w:tc>
        <w:tc>
          <w:tcPr>
            <w:tcW w:type="dxa" w:w="903"/>
          </w:tcPr>
          <w:p>
            <w:pPr>
              <w:spacing w:before="0" w:after="0"/>
            </w:pPr>
            <w:r>
              <w:rPr>
                <w:sz w:val="19"/>
              </w:rPr>
              <w:t>Day 3</w:t>
            </w:r>
          </w:p>
        </w:tc>
      </w:tr>
      <w:tr>
        <w:trPr>
          <w:cantSplit/>
        </w:trPr>
        <w:tc>
          <w:tcPr>
            <w:tcW w:type="dxa" w:w="2125"/>
          </w:tcPr>
          <w:p>
            <w:pPr>
              <w:spacing w:before="0" w:after="0"/>
            </w:pPr>
            <w:r>
              <w:rPr>
                <w:b/>
                <w:sz w:val="19"/>
              </w:rPr>
              <w:t>Mental model</w:t>
            </w:r>
          </w:p>
        </w:tc>
        <w:tc>
          <w:tcPr>
            <w:tcW w:type="dxa" w:w="5230"/>
          </w:tcPr>
          <w:p>
            <w:pPr>
              <w:spacing w:before="0" w:after="0"/>
            </w:pPr>
            <w:r>
              <w:rPr>
                <w:sz w:val="19"/>
              </w:rPr>
              <w:t>What a person believes a product is and how it works. A design feels natural when it fits that belief and confusing when it does not.</w:t>
            </w:r>
          </w:p>
        </w:tc>
        <w:tc>
          <w:tcPr>
            <w:tcW w:type="dxa" w:w="1380"/>
          </w:tcPr>
          <w:p>
            <w:pPr>
              <w:spacing w:before="0" w:after="0"/>
            </w:pPr>
            <w:r>
              <w:rPr>
                <w:sz w:val="19"/>
              </w:rPr>
              <w:t>Most people expect a basket icon to show what they have chosen so far.</w:t>
            </w:r>
          </w:p>
        </w:tc>
        <w:tc>
          <w:tcPr>
            <w:tcW w:type="dxa" w:w="903"/>
          </w:tcPr>
          <w:p>
            <w:pPr>
              <w:spacing w:before="0" w:after="0"/>
            </w:pPr>
            <w:r>
              <w:rPr>
                <w:sz w:val="19"/>
              </w:rPr>
              <w:t>Day 1</w:t>
            </w:r>
          </w:p>
        </w:tc>
      </w:tr>
      <w:tr>
        <w:trPr>
          <w:cantSplit/>
        </w:trPr>
        <w:tc>
          <w:tcPr>
            <w:tcW w:type="dxa" w:w="2125"/>
          </w:tcPr>
          <w:p>
            <w:pPr>
              <w:spacing w:before="0" w:after="0"/>
            </w:pPr>
            <w:r>
              <w:rPr>
                <w:b/>
                <w:sz w:val="19"/>
              </w:rPr>
              <w:t>Neuro-UX</w:t>
            </w:r>
          </w:p>
        </w:tc>
        <w:tc>
          <w:tcPr>
            <w:tcW w:type="dxa" w:w="5230"/>
          </w:tcPr>
          <w:p>
            <w:pPr>
              <w:spacing w:before="0" w:after="0"/>
            </w:pPr>
            <w:r>
              <w:rPr>
                <w:sz w:val="19"/>
              </w:rPr>
              <w:t>Designing an interface with knowledge of how the brain sees, attends, feels and decides, so that the design steers these processes on purpose and responsibly.</w:t>
            </w:r>
          </w:p>
        </w:tc>
        <w:tc>
          <w:tcPr>
            <w:tcW w:type="dxa" w:w="1380"/>
          </w:tcPr>
          <w:p>
            <w:pPr>
              <w:spacing w:before="0" w:after="0"/>
            </w:pPr>
            <w:r>
              <w:rPr>
                <w:sz w:val="19"/>
              </w:rPr>
              <w:t>—</w:t>
            </w:r>
          </w:p>
        </w:tc>
        <w:tc>
          <w:tcPr>
            <w:tcW w:type="dxa" w:w="903"/>
          </w:tcPr>
          <w:p>
            <w:pPr>
              <w:spacing w:before="0" w:after="0"/>
            </w:pPr>
            <w:r>
              <w:rPr>
                <w:sz w:val="19"/>
              </w:rPr>
              <w:t>Day 1</w:t>
            </w:r>
          </w:p>
        </w:tc>
      </w:tr>
      <w:tr>
        <w:trPr>
          <w:cantSplit/>
        </w:trPr>
        <w:tc>
          <w:tcPr>
            <w:tcW w:type="dxa" w:w="2125"/>
          </w:tcPr>
          <w:p>
            <w:pPr>
              <w:spacing w:before="0" w:after="0"/>
            </w:pPr>
            <w:r>
              <w:rPr>
                <w:b/>
                <w:sz w:val="19"/>
              </w:rPr>
              <w:t>Neurodiversity</w:t>
            </w:r>
          </w:p>
        </w:tc>
        <w:tc>
          <w:tcPr>
            <w:tcW w:type="dxa" w:w="5230"/>
          </w:tcPr>
          <w:p>
            <w:pPr>
              <w:spacing w:before="0" w:after="0"/>
            </w:pPr>
            <w:r>
              <w:rPr>
                <w:sz w:val="19"/>
              </w:rPr>
              <w:t>The natural variety of human minds, including ADHD, autism and dyslexia; designs that reduce distraction and use plain, predictable language help many of them.</w:t>
            </w:r>
          </w:p>
        </w:tc>
        <w:tc>
          <w:tcPr>
            <w:tcW w:type="dxa" w:w="1380"/>
          </w:tcPr>
          <w:p>
            <w:pPr>
              <w:spacing w:before="0" w:after="0"/>
            </w:pPr>
            <w:r>
              <w:rPr>
                <w:sz w:val="19"/>
              </w:rPr>
              <w:t>—</w:t>
            </w:r>
          </w:p>
        </w:tc>
        <w:tc>
          <w:tcPr>
            <w:tcW w:type="dxa" w:w="903"/>
          </w:tcPr>
          <w:p>
            <w:pPr>
              <w:spacing w:before="0" w:after="0"/>
            </w:pPr>
            <w:r>
              <w:rPr>
                <w:sz w:val="19"/>
              </w:rPr>
              <w:t>Day 12</w:t>
            </w:r>
          </w:p>
        </w:tc>
      </w:tr>
      <w:tr>
        <w:trPr>
          <w:cantSplit/>
        </w:trPr>
        <w:tc>
          <w:tcPr>
            <w:tcW w:type="dxa" w:w="2125"/>
          </w:tcPr>
          <w:p>
            <w:pPr>
              <w:spacing w:before="0" w:after="0"/>
            </w:pPr>
            <w:r>
              <w:rPr>
                <w:b/>
                <w:sz w:val="19"/>
              </w:rPr>
              <w:t>Orientation</w:t>
            </w:r>
          </w:p>
        </w:tc>
        <w:tc>
          <w:tcPr>
            <w:tcW w:type="dxa" w:w="5230"/>
          </w:tcPr>
          <w:p>
            <w:pPr>
              <w:spacing w:before="0" w:after="0"/>
            </w:pPr>
            <w:r>
              <w:rPr>
                <w:sz w:val="19"/>
              </w:rPr>
              <w:t>Knowing where you are, what you can do here and what happens next.</w:t>
            </w:r>
          </w:p>
        </w:tc>
        <w:tc>
          <w:tcPr>
            <w:tcW w:type="dxa" w:w="1380"/>
          </w:tcPr>
          <w:p>
            <w:pPr>
              <w:spacing w:before="0" w:after="0"/>
            </w:pPr>
            <w:r>
              <w:rPr>
                <w:sz w:val="19"/>
              </w:rPr>
              <w:t>—</w:t>
            </w:r>
          </w:p>
        </w:tc>
        <w:tc>
          <w:tcPr>
            <w:tcW w:type="dxa" w:w="903"/>
          </w:tcPr>
          <w:p>
            <w:pPr>
              <w:spacing w:before="0" w:after="0"/>
            </w:pPr>
            <w:r>
              <w:rPr>
                <w:sz w:val="19"/>
              </w:rPr>
              <w:t>Day 1</w:t>
            </w:r>
          </w:p>
        </w:tc>
      </w:tr>
      <w:tr>
        <w:trPr>
          <w:cantSplit/>
        </w:trPr>
        <w:tc>
          <w:tcPr>
            <w:tcW w:type="dxa" w:w="2125"/>
          </w:tcPr>
          <w:p>
            <w:pPr>
              <w:spacing w:before="0" w:after="0"/>
            </w:pPr>
            <w:r>
              <w:rPr>
                <w:b/>
                <w:sz w:val="19"/>
              </w:rPr>
              <w:t>Overstimulation</w:t>
            </w:r>
          </w:p>
        </w:tc>
        <w:tc>
          <w:tcPr>
            <w:tcW w:type="dxa" w:w="5230"/>
          </w:tcPr>
          <w:p>
            <w:pPr>
              <w:spacing w:before="0" w:after="0"/>
            </w:pPr>
            <w:r>
              <w:rPr>
                <w:sz w:val="19"/>
              </w:rPr>
              <w:t>Too many signals at once (badges, sounds, pop-ups, counters), so people stop noticing any of them or feel pushed.</w:t>
            </w:r>
          </w:p>
        </w:tc>
        <w:tc>
          <w:tcPr>
            <w:tcW w:type="dxa" w:w="1380"/>
          </w:tcPr>
          <w:p>
            <w:pPr>
              <w:spacing w:before="0" w:after="0"/>
            </w:pPr>
            <w:r>
              <w:rPr>
                <w:sz w:val="19"/>
              </w:rPr>
              <w:t>—</w:t>
            </w:r>
          </w:p>
        </w:tc>
        <w:tc>
          <w:tcPr>
            <w:tcW w:type="dxa" w:w="903"/>
          </w:tcPr>
          <w:p>
            <w:pPr>
              <w:spacing w:before="0" w:after="0"/>
            </w:pPr>
            <w:r>
              <w:rPr>
                <w:sz w:val="19"/>
              </w:rPr>
              <w:t>Day 9</w:t>
            </w:r>
          </w:p>
        </w:tc>
      </w:tr>
      <w:tr>
        <w:trPr>
          <w:cantSplit/>
        </w:trPr>
        <w:tc>
          <w:tcPr>
            <w:tcW w:type="dxa" w:w="2125"/>
          </w:tcPr>
          <w:p>
            <w:pPr>
              <w:spacing w:before="0" w:after="0"/>
            </w:pPr>
            <w:r>
              <w:rPr>
                <w:b/>
                <w:sz w:val="19"/>
              </w:rPr>
              <w:t>Perceived control</w:t>
            </w:r>
          </w:p>
        </w:tc>
        <w:tc>
          <w:tcPr>
            <w:tcW w:type="dxa" w:w="5230"/>
          </w:tcPr>
          <w:p>
            <w:pPr>
              <w:spacing w:before="0" w:after="0"/>
            </w:pPr>
            <w:r>
              <w:rPr>
                <w:sz w:val="19"/>
              </w:rPr>
              <w:t>How much people feel they can steer a system; it decides how they feel about automation, even when it differs from the control they really have.</w:t>
            </w:r>
          </w:p>
        </w:tc>
        <w:tc>
          <w:tcPr>
            <w:tcW w:type="dxa" w:w="1380"/>
          </w:tcPr>
          <w:p>
            <w:pPr>
              <w:spacing w:before="0" w:after="0"/>
            </w:pPr>
            <w:r>
              <w:rPr>
                <w:sz w:val="19"/>
              </w:rPr>
              <w:t>—</w:t>
            </w:r>
          </w:p>
        </w:tc>
        <w:tc>
          <w:tcPr>
            <w:tcW w:type="dxa" w:w="903"/>
          </w:tcPr>
          <w:p>
            <w:pPr>
              <w:spacing w:before="0" w:after="0"/>
            </w:pPr>
            <w:r>
              <w:rPr>
                <w:sz w:val="19"/>
              </w:rPr>
              <w:t>Day 10</w:t>
            </w:r>
          </w:p>
        </w:tc>
      </w:tr>
      <w:tr>
        <w:trPr>
          <w:cantSplit/>
        </w:trPr>
        <w:tc>
          <w:tcPr>
            <w:tcW w:type="dxa" w:w="2125"/>
          </w:tcPr>
          <w:p>
            <w:pPr>
              <w:spacing w:before="0" w:after="0"/>
            </w:pPr>
            <w:r>
              <w:rPr>
                <w:b/>
                <w:sz w:val="19"/>
              </w:rPr>
              <w:t>Predictability</w:t>
            </w:r>
          </w:p>
        </w:tc>
        <w:tc>
          <w:tcPr>
            <w:tcW w:type="dxa" w:w="5230"/>
          </w:tcPr>
          <w:p>
            <w:pPr>
              <w:spacing w:before="0" w:after="0"/>
            </w:pPr>
            <w:r>
              <w:rPr>
                <w:sz w:val="19"/>
              </w:rPr>
              <w:t>Being able to tell in advance how something will work, because it works like what you have seen before.</w:t>
            </w:r>
          </w:p>
        </w:tc>
        <w:tc>
          <w:tcPr>
            <w:tcW w:type="dxa" w:w="1380"/>
          </w:tcPr>
          <w:p>
            <w:pPr>
              <w:spacing w:before="0" w:after="0"/>
            </w:pPr>
            <w:r>
              <w:rPr>
                <w:sz w:val="19"/>
              </w:rPr>
              <w:t>—</w:t>
            </w:r>
          </w:p>
        </w:tc>
        <w:tc>
          <w:tcPr>
            <w:tcW w:type="dxa" w:w="903"/>
          </w:tcPr>
          <w:p>
            <w:pPr>
              <w:spacing w:before="0" w:after="0"/>
            </w:pPr>
            <w:r>
              <w:rPr>
                <w:sz w:val="19"/>
              </w:rPr>
              <w:t>Day 6</w:t>
            </w:r>
          </w:p>
        </w:tc>
      </w:tr>
      <w:tr>
        <w:trPr>
          <w:cantSplit/>
        </w:trPr>
        <w:tc>
          <w:tcPr>
            <w:tcW w:type="dxa" w:w="2125"/>
          </w:tcPr>
          <w:p>
            <w:pPr>
              <w:spacing w:before="0" w:after="0"/>
            </w:pPr>
            <w:r>
              <w:rPr>
                <w:b/>
                <w:sz w:val="19"/>
              </w:rPr>
              <w:t>Readability</w:t>
            </w:r>
          </w:p>
        </w:tc>
        <w:tc>
          <w:tcPr>
            <w:tcW w:type="dxa" w:w="5230"/>
          </w:tcPr>
          <w:p>
            <w:pPr>
              <w:spacing w:before="0" w:after="0"/>
            </w:pPr>
            <w:r>
              <w:rPr>
                <w:sz w:val="19"/>
              </w:rPr>
              <w:t>How easily a text can be read and understood: its size, contrast, line length, wording and how it is broken into parts.</w:t>
            </w:r>
          </w:p>
        </w:tc>
        <w:tc>
          <w:tcPr>
            <w:tcW w:type="dxa" w:w="1380"/>
          </w:tcPr>
          <w:p>
            <w:pPr>
              <w:spacing w:before="0" w:after="0"/>
            </w:pPr>
            <w:r>
              <w:rPr>
                <w:sz w:val="19"/>
              </w:rPr>
              <w:t>—</w:t>
            </w:r>
          </w:p>
        </w:tc>
        <w:tc>
          <w:tcPr>
            <w:tcW w:type="dxa" w:w="903"/>
          </w:tcPr>
          <w:p>
            <w:pPr>
              <w:spacing w:before="0" w:after="0"/>
            </w:pPr>
            <w:r>
              <w:rPr>
                <w:sz w:val="19"/>
              </w:rPr>
              <w:t>Day 2</w:t>
            </w:r>
          </w:p>
        </w:tc>
      </w:tr>
      <w:tr>
        <w:trPr>
          <w:cantSplit/>
        </w:trPr>
        <w:tc>
          <w:tcPr>
            <w:tcW w:type="dxa" w:w="2125"/>
          </w:tcPr>
          <w:p>
            <w:pPr>
              <w:spacing w:before="0" w:after="0"/>
            </w:pPr>
            <w:r>
              <w:rPr>
                <w:b/>
                <w:sz w:val="19"/>
              </w:rPr>
              <w:t>Stakeholder</w:t>
            </w:r>
          </w:p>
        </w:tc>
        <w:tc>
          <w:tcPr>
            <w:tcW w:type="dxa" w:w="5230"/>
          </w:tcPr>
          <w:p>
            <w:pPr>
              <w:spacing w:before="0" w:after="0"/>
            </w:pPr>
            <w:r>
              <w:rPr>
                <w:sz w:val="19"/>
              </w:rPr>
              <w:t>A person or department with an interest in a decision, such as marketing, compliance, IT or sales.</w:t>
            </w:r>
          </w:p>
        </w:tc>
        <w:tc>
          <w:tcPr>
            <w:tcW w:type="dxa" w:w="1380"/>
          </w:tcPr>
          <w:p>
            <w:pPr>
              <w:spacing w:before="0" w:after="0"/>
            </w:pPr>
            <w:r>
              <w:rPr>
                <w:sz w:val="19"/>
              </w:rPr>
              <w:t>—</w:t>
            </w:r>
          </w:p>
        </w:tc>
        <w:tc>
          <w:tcPr>
            <w:tcW w:type="dxa" w:w="903"/>
          </w:tcPr>
          <w:p>
            <w:pPr>
              <w:spacing w:before="0" w:after="0"/>
            </w:pPr>
            <w:r>
              <w:rPr>
                <w:sz w:val="19"/>
              </w:rPr>
              <w:t>Day 1</w:t>
            </w:r>
          </w:p>
        </w:tc>
      </w:tr>
      <w:tr>
        <w:trPr>
          <w:cantSplit/>
        </w:trPr>
        <w:tc>
          <w:tcPr>
            <w:tcW w:type="dxa" w:w="2125"/>
          </w:tcPr>
          <w:p>
            <w:pPr>
              <w:spacing w:before="0" w:after="0"/>
            </w:pPr>
            <w:r>
              <w:rPr>
                <w:b/>
                <w:sz w:val="19"/>
              </w:rPr>
              <w:t>Stimulus load</w:t>
            </w:r>
          </w:p>
        </w:tc>
        <w:tc>
          <w:tcPr>
            <w:tcW w:type="dxa" w:w="5230"/>
          </w:tcPr>
          <w:p>
            <w:pPr>
              <w:spacing w:before="0" w:after="0"/>
            </w:pPr>
            <w:r>
              <w:rPr>
                <w:sz w:val="19"/>
              </w:rPr>
              <w:t>How much competes for attention at once (colours, banners, movement, notifications); too much tires, distracts or overwhelms.</w:t>
            </w:r>
          </w:p>
        </w:tc>
        <w:tc>
          <w:tcPr>
            <w:tcW w:type="dxa" w:w="1380"/>
          </w:tcPr>
          <w:p>
            <w:pPr>
              <w:spacing w:before="0" w:after="0"/>
            </w:pPr>
            <w:r>
              <w:rPr>
                <w:sz w:val="19"/>
              </w:rPr>
              <w:t>—</w:t>
            </w:r>
          </w:p>
        </w:tc>
        <w:tc>
          <w:tcPr>
            <w:tcW w:type="dxa" w:w="903"/>
          </w:tcPr>
          <w:p>
            <w:pPr>
              <w:spacing w:before="0" w:after="0"/>
            </w:pPr>
            <w:r>
              <w:rPr>
                <w:sz w:val="19"/>
              </w:rPr>
              <w:t>Day 13</w:t>
            </w:r>
          </w:p>
        </w:tc>
      </w:tr>
      <w:tr>
        <w:trPr>
          <w:cantSplit/>
        </w:trPr>
        <w:tc>
          <w:tcPr>
            <w:tcW w:type="dxa" w:w="2125"/>
          </w:tcPr>
          <w:p>
            <w:pPr>
              <w:spacing w:before="0" w:after="0"/>
            </w:pPr>
            <w:r>
              <w:rPr>
                <w:b/>
                <w:sz w:val="19"/>
              </w:rPr>
              <w:t>Stimulus reduction</w:t>
            </w:r>
          </w:p>
        </w:tc>
        <w:tc>
          <w:tcPr>
            <w:tcW w:type="dxa" w:w="5230"/>
          </w:tcPr>
          <w:p>
            <w:pPr>
              <w:spacing w:before="0" w:after="0"/>
            </w:pPr>
            <w:r>
              <w:rPr>
                <w:sz w:val="19"/>
              </w:rPr>
              <w:t>Showing or saying fewer things at once, so the mind can attend to what matters.</w:t>
            </w:r>
          </w:p>
        </w:tc>
        <w:tc>
          <w:tcPr>
            <w:tcW w:type="dxa" w:w="1380"/>
          </w:tcPr>
          <w:p>
            <w:pPr>
              <w:spacing w:before="0" w:after="0"/>
            </w:pPr>
            <w:r>
              <w:rPr>
                <w:sz w:val="19"/>
              </w:rPr>
              <w:t>—</w:t>
            </w:r>
          </w:p>
        </w:tc>
        <w:tc>
          <w:tcPr>
            <w:tcW w:type="dxa" w:w="903"/>
          </w:tcPr>
          <w:p>
            <w:pPr>
              <w:spacing w:before="0" w:after="0"/>
            </w:pPr>
            <w:r>
              <w:rPr>
                <w:sz w:val="19"/>
              </w:rPr>
              <w:t>Day 11</w:t>
            </w:r>
          </w:p>
        </w:tc>
      </w:tr>
      <w:tr>
        <w:trPr>
          <w:cantSplit/>
        </w:trPr>
        <w:tc>
          <w:tcPr>
            <w:tcW w:type="dxa" w:w="2125"/>
          </w:tcPr>
          <w:p>
            <w:pPr>
              <w:spacing w:before="0" w:after="0"/>
            </w:pPr>
            <w:r>
              <w:rPr>
                <w:b/>
                <w:sz w:val="19"/>
              </w:rPr>
              <w:t>Typography</w:t>
            </w:r>
          </w:p>
        </w:tc>
        <w:tc>
          <w:tcPr>
            <w:tcW w:type="dxa" w:w="5230"/>
          </w:tcPr>
          <w:p>
            <w:pPr>
              <w:spacing w:before="0" w:after="0"/>
            </w:pPr>
            <w:r>
              <w:rPr>
                <w:sz w:val="19"/>
              </w:rPr>
              <w:t>How text is set: which typeface, which size, weight, line spacing and line length, and how the text is broken into levels and parts.</w:t>
            </w:r>
          </w:p>
        </w:tc>
        <w:tc>
          <w:tcPr>
            <w:tcW w:type="dxa" w:w="1380"/>
          </w:tcPr>
          <w:p>
            <w:pPr>
              <w:spacing w:before="0" w:after="0"/>
            </w:pPr>
            <w:r>
              <w:rPr>
                <w:sz w:val="19"/>
              </w:rPr>
              <w:t>—</w:t>
            </w:r>
          </w:p>
        </w:tc>
        <w:tc>
          <w:tcPr>
            <w:tcW w:type="dxa" w:w="903"/>
          </w:tcPr>
          <w:p>
            <w:pPr>
              <w:spacing w:before="0" w:after="0"/>
            </w:pPr>
            <w:r>
              <w:rPr>
                <w:sz w:val="19"/>
              </w:rPr>
              <w:t>Day 3</w:t>
            </w:r>
          </w:p>
        </w:tc>
      </w:tr>
      <w:tr>
        <w:trPr>
          <w:cantSplit/>
        </w:trPr>
        <w:tc>
          <w:tcPr>
            <w:tcW w:type="dxa" w:w="2125"/>
          </w:tcPr>
          <w:p>
            <w:pPr>
              <w:spacing w:before="0" w:after="0"/>
            </w:pPr>
            <w:r>
              <w:rPr>
                <w:b/>
                <w:sz w:val="19"/>
              </w:rPr>
              <w:t>UX (user experience)</w:t>
            </w:r>
          </w:p>
        </w:tc>
        <w:tc>
          <w:tcPr>
            <w:tcW w:type="dxa" w:w="5230"/>
          </w:tcPr>
          <w:p>
            <w:pPr>
              <w:spacing w:before="0" w:after="0"/>
            </w:pPr>
            <w:r>
              <w:rPr>
                <w:sz w:val="19"/>
              </w:rPr>
              <w:t>Everything a person goes through when using a product: what they notice, understand, feel and do, from the first look to the last step. The screens are only one part of it.</w:t>
            </w:r>
          </w:p>
        </w:tc>
        <w:tc>
          <w:tcPr>
            <w:tcW w:type="dxa" w:w="1380"/>
          </w:tcPr>
          <w:p>
            <w:pPr>
              <w:spacing w:before="0" w:after="0"/>
            </w:pPr>
            <w:r>
              <w:rPr>
                <w:sz w:val="19"/>
              </w:rPr>
              <w:t>Finding the booking you want at once and feeling sure it went through is a good UX.</w:t>
            </w:r>
          </w:p>
        </w:tc>
        <w:tc>
          <w:tcPr>
            <w:tcW w:type="dxa" w:w="903"/>
          </w:tcPr>
          <w:p>
            <w:pPr>
              <w:spacing w:before="0" w:after="0"/>
            </w:pPr>
            <w:r>
              <w:rPr>
                <w:sz w:val="19"/>
              </w:rPr>
              <w:t>Day 1</w:t>
            </w:r>
          </w:p>
        </w:tc>
      </w:tr>
      <w:tr>
        <w:trPr>
          <w:cantSplit/>
        </w:trPr>
        <w:tc>
          <w:tcPr>
            <w:tcW w:type="dxa" w:w="2125"/>
          </w:tcPr>
          <w:p>
            <w:pPr>
              <w:spacing w:before="0" w:after="0"/>
            </w:pPr>
            <w:r>
              <w:rPr>
                <w:b/>
                <w:sz w:val="19"/>
              </w:rPr>
              <w:t>WCAG</w:t>
            </w:r>
          </w:p>
        </w:tc>
        <w:tc>
          <w:tcPr>
            <w:tcW w:type="dxa" w:w="5230"/>
          </w:tcPr>
          <w:p>
            <w:pPr>
              <w:spacing w:before="0" w:after="0"/>
            </w:pPr>
            <w:r>
              <w:rPr>
                <w:sz w:val="19"/>
              </w:rPr>
              <w:t>The Web Content Accessibility Guidelines: the international standard for accessible web content, with levels A, AA and AAA; AA is the usual target.</w:t>
            </w:r>
          </w:p>
        </w:tc>
        <w:tc>
          <w:tcPr>
            <w:tcW w:type="dxa" w:w="1380"/>
          </w:tcPr>
          <w:p>
            <w:pPr>
              <w:spacing w:before="0" w:after="0"/>
            </w:pPr>
            <w:r>
              <w:rPr>
                <w:sz w:val="19"/>
              </w:rPr>
              <w:t>—</w:t>
            </w:r>
          </w:p>
        </w:tc>
        <w:tc>
          <w:tcPr>
            <w:tcW w:type="dxa" w:w="903"/>
          </w:tcPr>
          <w:p>
            <w:pPr>
              <w:spacing w:before="0" w:after="0"/>
            </w:pPr>
            <w:r>
              <w:rPr>
                <w:sz w:val="19"/>
              </w:rPr>
              <w:t>Day 12</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13</w:t>
            </w:r>
          </w:p>
        </w:tc>
        <w:tc>
          <w:tcPr>
            <w:tcW w:type="dxa" w:w="7124"/>
          </w:tcPr>
          <w:p>
            <w:pPr>
              <w:spacing w:before="0" w:after="0"/>
            </w:pPr>
            <w:r>
              <w:rPr>
                <w:sz w:val="20"/>
              </w:rPr>
              <w:t>https://aion-ux-lab.vercel.app/day/13/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13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Neurodiversity, inclusive patterns and assistive technologies</dc:title>
  <dc:subject>DAY 13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