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13 · TASK 1 AND TASK 2 · ROUTES 1 AND 2 · LEVELS 1 TO 3</w:t>
      </w:r>
    </w:p>
    <w:p>
      <w:pPr>
        <w:spacing w:before="0" w:after="80" w:line="240" w:lineRule="auto"/>
      </w:pPr>
      <w:r>
        <w:rPr>
          <w:b/>
          <w:sz w:val="52"/>
        </w:rPr>
        <w:t>LifeGuide: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13 · Module 6 (day 2 of 2): Neurodiversity, inclusive patterns and assistive technologies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LifeGuide,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13.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platforms on the UX team's desk, and LifeGuide</w:t>
            </w:r>
          </w:p>
          <w:p>
            <w:pPr>
              <w:spacing w:before="0" w:after="20"/>
              <w:ind w:left="170"/>
            </w:pPr>
            <w:r>
              <w:rPr>
                <w:sz w:val="20"/>
              </w:rPr>
              <w:t>Block 1.1 · Recognise neurodiverse hurdles in an interface: StudyPath · JUDGED · Core · about 10 min</w:t>
            </w:r>
          </w:p>
          <w:p>
            <w:pPr>
              <w:spacing w:before="0" w:after="20"/>
              <w:ind w:left="170"/>
            </w:pPr>
            <w:r>
              <w:rPr>
                <w:sz w:val="20"/>
              </w:rPr>
              <w:t>Block 1.2 · Rate inclusive design approaches under conflicting goals: JobAccess · JUDGED · Core · about 8 min</w:t>
            </w:r>
          </w:p>
          <w:p>
            <w:pPr>
              <w:spacing w:before="0" w:after="20"/>
              <w:ind w:left="170"/>
            </w:pPr>
            <w:r>
              <w:rPr>
                <w:sz w:val="20"/>
              </w:rPr>
              <w:t>Block 2.1 · Case study: an inclusive prototype for the service portal LifeGuide · JUDGED · Core · about 15 min</w:t>
            </w:r>
          </w:p>
          <w:p>
            <w:pPr>
              <w:spacing w:before="0" w:after="20"/>
              <w:ind w:left="170"/>
            </w:pPr>
            <w:r>
              <w:rPr>
                <w:sz w:val="20"/>
              </w:rPr>
              <w:t>The situation: formally accessible, but not usable for every mind</w:t>
            </w:r>
          </w:p>
          <w:p>
            <w:pPr>
              <w:spacing w:before="0" w:after="20"/>
              <w:ind w:left="170"/>
            </w:pPr>
            <w:r>
              <w:rPr>
                <w:sz w:val="20"/>
              </w:rPr>
              <w:t>Block 3.1 · A strategic UX architecture for neurodiverse and adaptive use · JUDGED · Core · about 20 min</w:t>
            </w:r>
          </w:p>
        </w:tc>
      </w:tr>
    </w:tbl>
    <w:p>
      <w:pPr>
        <w:pStyle w:val="Heading1"/>
        <w:pBdr>
          <w:bottom w:val="single" w:sz="8" w:space="2" w:color="17212E"/>
        </w:pBdr>
      </w:pPr>
      <w:r>
        <w:rPr/>
        <w:t>Day at a glance</w:t>
      </w:r>
    </w:p>
    <w:p>
      <w:pPr>
        <w:spacing w:before="0" w:after="100"/>
      </w:pPr>
      <w:r>
        <w:rPr/>
        <w:t xml:space="preserve">Day 13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LifeGuide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(LifeGuide)</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88"/>
              <w:gridCol w:w="5227"/>
              <w:gridCol w:w="2963"/>
            </w:tblGrid>
            <w:tr>
              <w:trPr>
                <w:cantSplit/>
                <w:tblHeader/>
              </w:trPr>
              <w:tc>
                <w:tcPr>
                  <w:tcW w:type="dxa" w:w="1088"/>
                  <w:shd w:val="clear" w:color="auto" w:fill="E6ECF4"/>
                </w:tcPr>
                <w:p>
                  <w:pPr>
                    <w:spacing w:before="0" w:after="0"/>
                  </w:pPr>
                  <w:r>
                    <w:rPr>
                      <w:b/>
                      <w:sz w:val="20"/>
                    </w:rPr>
                    <w:t>UE</w:t>
                  </w:r>
                </w:p>
              </w:tc>
              <w:tc>
                <w:tcPr>
                  <w:tcW w:type="dxa" w:w="5227"/>
                  <w:shd w:val="clear" w:color="auto" w:fill="E6ECF4"/>
                </w:tcPr>
                <w:p>
                  <w:pPr>
                    <w:spacing w:before="0" w:after="0"/>
                  </w:pPr>
                  <w:r>
                    <w:rPr>
                      <w:b/>
                      <w:sz w:val="20"/>
                    </w:rPr>
                    <w:t>Plan item (Strukturplan, Day 13)</w:t>
                  </w:r>
                </w:p>
              </w:tc>
              <w:tc>
                <w:tcPr>
                  <w:tcW w:type="dxa" w:w="2963"/>
                  <w:shd w:val="clear" w:color="auto" w:fill="E6ECF4"/>
                </w:tcPr>
                <w:p>
                  <w:pPr>
                    <w:spacing w:before="0" w:after="0"/>
                  </w:pPr>
                  <w:r>
                    <w:rPr>
                      <w:b/>
                      <w:sz w:val="20"/>
                    </w:rPr>
                    <w:t>Block in this document</w:t>
                  </w:r>
                </w:p>
              </w:tc>
            </w:tr>
            <w:tr>
              <w:trPr>
                <w:cantSplit/>
              </w:trPr>
              <w:tc>
                <w:tcPr>
                  <w:tcW w:type="dxa" w:w="1088"/>
                </w:tcPr>
                <w:p>
                  <w:pPr>
                    <w:spacing w:before="0" w:after="0"/>
                  </w:pPr>
                  <w:r>
                    <w:rPr>
                      <w:sz w:val="20"/>
                    </w:rPr>
                    <w:t>UE2</w:t>
                  </w:r>
                </w:p>
              </w:tc>
              <w:tc>
                <w:tcPr>
                  <w:tcW w:type="dxa" w:w="5227"/>
                </w:tcPr>
                <w:p>
                  <w:pPr>
                    <w:spacing w:before="0" w:after="0"/>
                  </w:pPr>
                  <w:r>
                    <w:rPr>
                      <w:sz w:val="20"/>
                    </w:rPr>
                    <w:t>Level 1, task 1 · Recognise neurodiverse hurdles in an interface: StudyPath</w:t>
                  </w:r>
                </w:p>
              </w:tc>
              <w:tc>
                <w:tcPr>
                  <w:tcW w:type="dxa" w:w="2963"/>
                </w:tcPr>
                <w:p>
                  <w:pPr>
                    <w:spacing w:before="0" w:after="0"/>
                  </w:pPr>
                  <w:r>
                    <w:rPr>
                      <w:sz w:val="20"/>
                    </w:rPr>
                    <w:t>Block 1.1 (Core)</w:t>
                  </w:r>
                </w:p>
              </w:tc>
            </w:tr>
            <w:tr>
              <w:trPr>
                <w:cantSplit/>
              </w:trPr>
              <w:tc>
                <w:tcPr>
                  <w:tcW w:type="dxa" w:w="1088"/>
                </w:tcPr>
                <w:p>
                  <w:pPr>
                    <w:spacing w:before="0" w:after="0"/>
                  </w:pPr>
                  <w:r>
                    <w:rPr>
                      <w:sz w:val="20"/>
                    </w:rPr>
                    <w:t>UE3</w:t>
                  </w:r>
                </w:p>
              </w:tc>
              <w:tc>
                <w:tcPr>
                  <w:tcW w:type="dxa" w:w="5227"/>
                </w:tcPr>
                <w:p>
                  <w:pPr>
                    <w:spacing w:before="0" w:after="0"/>
                  </w:pPr>
                  <w:r>
                    <w:rPr>
                      <w:sz w:val="20"/>
                    </w:rPr>
                    <w:t>Level 1, task 2 · Rate inclusive design approaches under conflicting goals: JobAccess</w:t>
                  </w:r>
                </w:p>
              </w:tc>
              <w:tc>
                <w:tcPr>
                  <w:tcW w:type="dxa" w:w="2963"/>
                </w:tcPr>
                <w:p>
                  <w:pPr>
                    <w:spacing w:before="0" w:after="0"/>
                  </w:pPr>
                  <w:r>
                    <w:rPr>
                      <w:sz w:val="20"/>
                    </w:rPr>
                    <w:t>Block 1.2 (Core)</w:t>
                  </w:r>
                </w:p>
              </w:tc>
            </w:tr>
            <w:tr>
              <w:trPr>
                <w:cantSplit/>
              </w:trPr>
              <w:tc>
                <w:tcPr>
                  <w:tcW w:type="dxa" w:w="1088"/>
                </w:tcPr>
                <w:p>
                  <w:pPr>
                    <w:spacing w:before="0" w:after="0"/>
                  </w:pPr>
                  <w:r>
                    <w:rPr>
                      <w:sz w:val="20"/>
                    </w:rPr>
                    <w:t>UE4</w:t>
                  </w:r>
                </w:p>
              </w:tc>
              <w:tc>
                <w:tcPr>
                  <w:tcW w:type="dxa" w:w="5227"/>
                </w:tcPr>
                <w:p>
                  <w:pPr>
                    <w:spacing w:before="0" w:after="0"/>
                  </w:pPr>
                  <w:r>
                    <w:rPr>
                      <w:sz w:val="20"/>
                    </w:rPr>
                    <w:t>Coaching: from describing to deciding</w:t>
                  </w:r>
                </w:p>
              </w:tc>
              <w:tc>
                <w:tcPr>
                  <w:tcW w:type="dxa" w:w="2963"/>
                </w:tcPr>
                <w:p>
                  <w:pPr>
                    <w:spacing w:before="0" w:after="0"/>
                  </w:pPr>
                  <w:r>
                    <w:rPr>
                      <w:sz w:val="20"/>
                    </w:rPr>
                    <w:t>A classroom talk led by the trainer; not a worksheet block</w:t>
                  </w:r>
                </w:p>
              </w:tc>
            </w:tr>
            <w:tr>
              <w:trPr>
                <w:cantSplit/>
              </w:trPr>
              <w:tc>
                <w:tcPr>
                  <w:tcW w:type="dxa" w:w="1088"/>
                </w:tcPr>
                <w:p>
                  <w:pPr>
                    <w:spacing w:before="0" w:after="0"/>
                  </w:pPr>
                  <w:r>
                    <w:rPr>
                      <w:sz w:val="20"/>
                    </w:rPr>
                    <w:t>UE5–6</w:t>
                  </w:r>
                </w:p>
              </w:tc>
              <w:tc>
                <w:tcPr>
                  <w:tcW w:type="dxa" w:w="5227"/>
                </w:tcPr>
                <w:p>
                  <w:pPr>
                    <w:spacing w:before="0" w:after="0"/>
                  </w:pPr>
                  <w:r>
                    <w:rPr>
                      <w:sz w:val="20"/>
                    </w:rPr>
                    <w:t>Level 2 case study · Case study: an inclusive prototype for the service portal LifeGuide</w:t>
                  </w:r>
                </w:p>
              </w:tc>
              <w:tc>
                <w:tcPr>
                  <w:tcW w:type="dxa" w:w="2963"/>
                </w:tcPr>
                <w:p>
                  <w:pPr>
                    <w:spacing w:before="0" w:after="0"/>
                  </w:pPr>
                  <w:r>
                    <w:rPr>
                      <w:sz w:val="20"/>
                    </w:rPr>
                    <w:t>Block 2.1 (Core)</w:t>
                  </w:r>
                </w:p>
              </w:tc>
            </w:tr>
            <w:tr>
              <w:trPr>
                <w:cantSplit/>
              </w:trPr>
              <w:tc>
                <w:tcPr>
                  <w:tcW w:type="dxa" w:w="1088"/>
                </w:tcPr>
                <w:p>
                  <w:pPr>
                    <w:spacing w:before="0" w:after="0"/>
                  </w:pPr>
                  <w:r>
                    <w:rPr>
                      <w:sz w:val="20"/>
                    </w:rPr>
                    <w:t>UE7</w:t>
                  </w:r>
                </w:p>
              </w:tc>
              <w:tc>
                <w:tcPr>
                  <w:tcW w:type="dxa" w:w="5227"/>
                </w:tcPr>
                <w:p>
                  <w:pPr>
                    <w:spacing w:before="0" w:after="0"/>
                  </w:pPr>
                  <w:r>
                    <w:rPr>
                      <w:sz w:val="20"/>
                    </w:rPr>
                    <w:t>Feedback round with a management perspective</w:t>
                  </w:r>
                </w:p>
              </w:tc>
              <w:tc>
                <w:tcPr>
                  <w:tcW w:type="dxa" w:w="2963"/>
                </w:tcPr>
                <w:p>
                  <w:pPr>
                    <w:spacing w:before="0" w:after="0"/>
                  </w:pPr>
                  <w:r>
                    <w:rPr>
                      <w:sz w:val="20"/>
                    </w:rPr>
                    <w:t>A classroom discussion led by the trainer; not a worksheet block</w:t>
                  </w:r>
                </w:p>
              </w:tc>
            </w:tr>
            <w:tr>
              <w:trPr>
                <w:cantSplit/>
              </w:trPr>
              <w:tc>
                <w:tcPr>
                  <w:tcW w:type="dxa" w:w="1088"/>
                </w:tcPr>
                <w:p>
                  <w:pPr>
                    <w:spacing w:before="0" w:after="0"/>
                  </w:pPr>
                  <w:r>
                    <w:rPr>
                      <w:sz w:val="20"/>
                    </w:rPr>
                    <w:t>UE8–10</w:t>
                  </w:r>
                </w:p>
              </w:tc>
              <w:tc>
                <w:tcPr>
                  <w:tcW w:type="dxa" w:w="5227"/>
                </w:tcPr>
                <w:p>
                  <w:pPr>
                    <w:spacing w:before="0" w:after="0"/>
                  </w:pPr>
                  <w:r>
                    <w:rPr>
                      <w:sz w:val="20"/>
                    </w:rPr>
                    <w:t>Level 3 transfer project · A strategic UX architecture for neurodiverse and adaptive use</w:t>
                  </w:r>
                </w:p>
              </w:tc>
              <w:tc>
                <w:tcPr>
                  <w:tcW w:type="dxa" w:w="2963"/>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the hurdles for different minds, then design and plan a test</w:t>
      </w:r>
    </w:p>
    <w:p>
      <w:pPr>
        <w:pStyle w:val="Heading2"/>
      </w:pPr>
      <w:r>
        <w:rPr/>
        <w:t>The case: two platforms on the UX team's desk, and LifeGuide</w:t>
      </w:r>
    </w:p>
    <w:p>
      <w:pPr>
        <w:spacing w:before="0" w:after="100"/>
      </w:pPr>
      <w:r>
        <w:rPr>
          <w:i/>
        </w:rPr>
        <w:t>Read once · about 3 min</w:t>
      </w:r>
    </w:p>
    <w:p>
      <w:pPr>
        <w:spacing w:before="0" w:after="100"/>
      </w:pPr>
      <w:r>
        <w:rPr/>
        <w:t>You work in the UX team of a digital agency. This week three platforms land on your desk. Two are warm-ups: StudyPath, a learning platform for further training and exam organisation, and JobAccess, a platform for applications, further training and career planning, with three designs for how it could develop. The main case is LifeGuide, a digital portal for health, counselling and support offers that is to be reworked for a very diverse group of users. First feedback shows that people with concentration difficulties, sensory sensitivity and reading hurdles in particular have problems with orientation, stimulus density and comprehensibility. The organisation wants a more inclusive experience and to prepare first usability tests on the basis of a prototype.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44"/>
        <w:gridCol w:w="4894"/>
      </w:tblGrid>
      <w:tr>
        <w:trPr>
          <w:cantSplit/>
          <w:tblHeader/>
        </w:trPr>
        <w:tc>
          <w:tcPr>
            <w:tcW w:type="dxa" w:w="4744"/>
            <w:shd w:val="clear" w:color="auto" w:fill="E6ECF4"/>
          </w:tcPr>
          <w:p>
            <w:pPr>
              <w:spacing w:before="0" w:after="0"/>
            </w:pPr>
            <w:r>
              <w:rPr>
                <w:b/>
                <w:sz w:val="20"/>
              </w:rPr>
              <w:t>What the plan gives you</w:t>
            </w:r>
          </w:p>
        </w:tc>
        <w:tc>
          <w:tcPr>
            <w:tcW w:type="dxa" w:w="4894"/>
            <w:shd w:val="clear" w:color="auto" w:fill="E6ECF4"/>
          </w:tcPr>
          <w:p>
            <w:pPr>
              <w:spacing w:before="0" w:after="0"/>
            </w:pPr>
            <w:r>
              <w:rPr>
                <w:b/>
                <w:sz w:val="20"/>
              </w:rPr>
              <w:t>How the task runs · three blocks</w:t>
            </w:r>
          </w:p>
        </w:tc>
      </w:tr>
      <w:tr>
        <w:trPr>
          <w:cantSplit/>
        </w:trPr>
        <w:tc>
          <w:tcPr>
            <w:tcW w:type="dxa" w:w="4744"/>
          </w:tcPr>
          <w:p>
            <w:pPr>
              <w:spacing w:before="0" w:after="0"/>
            </w:pPr>
            <w:r>
              <w:rPr>
                <w:sz w:val="20"/>
              </w:rPr>
              <w:t>• Block 1.1: StudyPath, with a start page full of hints, colours, notifications and action areas, unprioritised tasks, navigation and structure that vary between course areas, long dense complex texts, forms with many required fields and little help, and short unclear status messages</w:t>
            </w:r>
            <w:r>
              <w:br/>
            </w:r>
            <w:r>
              <w:rPr>
                <w:sz w:val="20"/>
              </w:rPr>
              <w:t>• Block 1.2: three designs for JobAccess; a very heterogeneous group, modern, inclusive and professional, a limited budget, release in 12 weeks, legal and reputational requirements, no data yet from specific neurodiverse user tests</w:t>
            </w:r>
            <w:r>
              <w:br/>
            </w:r>
            <w:r>
              <w:rPr>
                <w:sz w:val="20"/>
              </w:rPr>
              <w:t>• Block 2.1: LifeGuide, with €175,000 and 14 weeks, no complete relaunch, usable for broad groups, limited test data, and first prototypes to be tried soon</w:t>
            </w:r>
          </w:p>
        </w:tc>
        <w:tc>
          <w:tcPr>
            <w:tcW w:type="dxa" w:w="4894"/>
          </w:tcPr>
          <w:p>
            <w:pPr>
              <w:spacing w:before="0" w:after="0"/>
            </w:pPr>
            <w:r>
              <w:rPr>
                <w:sz w:val="20"/>
              </w:rPr>
              <w:t>• Block 1.1: find the hurdles of StudyPath for different minds. Describe them, name five barriers with a view to ADHD, autism or dyslexia, sort them into six categories, write three effect statements and pick the two most serious hurdles.</w:t>
            </w:r>
            <w:r>
              <w:br/>
            </w:r>
            <w:r>
              <w:rPr>
                <w:sz w:val="20"/>
              </w:rPr>
              <w:t>• Block 1.2: rate three designs under conflicting goals. Rate each on six criteria, choose one, name the conflicts between standardisation, adaptability and effort and the remaining risks, and write a recommendation to the project lead.</w:t>
            </w:r>
            <w:r>
              <w:br/>
            </w:r>
            <w:r>
              <w:rPr>
                <w:sz w:val="20"/>
              </w:rPr>
              <w:t>• Block 2.1: the case study and the start of the practice project. The central deficits, sorted into six categories, four measures, justified on five criteria, a sketch of an inclusive prototype with what to test first,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39"/>
        <w:gridCol w:w="3209"/>
        <w:gridCol w:w="2890"/>
      </w:tblGrid>
      <w:tr>
        <w:trPr>
          <w:cantSplit/>
          <w:tblHeader/>
        </w:trPr>
        <w:tc>
          <w:tcPr>
            <w:tcW w:type="dxa" w:w="3539"/>
            <w:shd w:val="clear" w:color="auto" w:fill="E6ECF4"/>
          </w:tcPr>
          <w:p>
            <w:pPr>
              <w:spacing w:before="0" w:after="0"/>
            </w:pPr>
            <w:r>
              <w:rPr>
                <w:b/>
                <w:sz w:val="20"/>
              </w:rPr>
              <w:t>In the brief</w:t>
            </w:r>
          </w:p>
        </w:tc>
        <w:tc>
          <w:tcPr>
            <w:tcW w:type="dxa" w:w="3209"/>
            <w:shd w:val="clear" w:color="auto" w:fill="E6ECF4"/>
          </w:tcPr>
          <w:p>
            <w:pPr>
              <w:spacing w:before="0" w:after="0"/>
            </w:pPr>
            <w:r>
              <w:rPr>
                <w:b/>
                <w:sz w:val="20"/>
              </w:rPr>
              <w:t>Clear · Case assumption</w:t>
            </w:r>
          </w:p>
        </w:tc>
        <w:tc>
          <w:tcPr>
            <w:tcW w:type="dxa" w:w="2890"/>
            <w:shd w:val="clear" w:color="auto" w:fill="E6ECF4"/>
          </w:tcPr>
          <w:p>
            <w:pPr>
              <w:spacing w:before="0" w:after="0"/>
            </w:pPr>
            <w:r>
              <w:rPr>
                <w:b/>
                <w:sz w:val="20"/>
              </w:rPr>
              <w:t>Open · on purpose</w:t>
            </w:r>
          </w:p>
        </w:tc>
      </w:tr>
      <w:tr>
        <w:trPr>
          <w:cantSplit/>
        </w:trPr>
        <w:tc>
          <w:tcPr>
            <w:tcW w:type="dxa" w:w="3539"/>
          </w:tcPr>
          <w:p>
            <w:pPr>
              <w:spacing w:before="0" w:after="0"/>
            </w:pPr>
            <w:r>
              <w:rPr>
                <w:sz w:val="20"/>
              </w:rPr>
              <w:t>• StudyPath: a crowded start page, unprioritised tasks, varying navigation, dense text, long forms, unclear status messages.</w:t>
            </w:r>
            <w:r>
              <w:br/>
            </w:r>
            <w:r>
              <w:rPr>
                <w:sz w:val="20"/>
              </w:rPr>
              <w:t>• JobAccess: three designs in words; a very heterogeneous group; 12 weeks; no neurodiverse test data yet.</w:t>
            </w:r>
            <w:r>
              <w:br/>
            </w:r>
            <w:r>
              <w:rPr>
                <w:sz w:val="20"/>
              </w:rPr>
              <w:t>• LifeGuide: many stimuli, inconsistent navigation, hard text, long forms, unhelpful feedback in stress, no options to reduce; €175,000 and 14 weeks; no relaunch.</w:t>
            </w:r>
          </w:p>
        </w:tc>
        <w:tc>
          <w:tcPr>
            <w:tcW w:type="dxa" w:w="3209"/>
          </w:tcPr>
          <w:p>
            <w:pPr>
              <w:spacing w:before="0" w:after="0"/>
            </w:pPr>
            <w:r>
              <w:rPr>
                <w:sz w:val="20"/>
              </w:rPr>
              <w:t>• You review StudyPath and JobAccess as an agency would: by using them, without access to their code or their users.</w:t>
            </w:r>
            <w:r>
              <w:br/>
            </w:r>
            <w:r>
              <w:rPr>
                <w:sz w:val="20"/>
              </w:rPr>
              <w:t>• LifeGuide's most used journeys are booking a counselling appointment, finding a support offer near you, and applying for a course of support.</w:t>
            </w:r>
            <w:r>
              <w:br/>
            </w:r>
            <w:r>
              <w:rPr>
                <w:sz w:val="20"/>
              </w:rPr>
              <w:t>• Many LifeGuide users arrive in stressful moments: after a diagnosis, during a crisis at home, on behalf of someone they care for.</w:t>
            </w:r>
            <w:r>
              <w:br/>
            </w:r>
            <w:r>
              <w:rPr>
                <w:sz w:val="20"/>
              </w:rPr>
              <w:t>• The organisation can invite a small group of users, including people with ADHD, autistic people and people with dyslexia, for a first test.</w:t>
            </w:r>
          </w:p>
        </w:tc>
        <w:tc>
          <w:tcPr>
            <w:tcW w:type="dxa" w:w="2890"/>
          </w:tcPr>
          <w:p>
            <w:pPr>
              <w:spacing w:before="0" w:after="0"/>
            </w:pPr>
            <w:r>
              <w:rPr>
                <w:sz w:val="20"/>
              </w:rPr>
              <w:t>• How many LifeGuide users are neurodivergent: nobody knows, and many have no diagnosis.</w:t>
            </w:r>
            <w:r>
              <w:br/>
            </w:r>
            <w:r>
              <w:rPr>
                <w:sz w:val="20"/>
              </w:rPr>
              <w:t>• Which JobAccess design neurodivergent users would prefer: no tests.</w:t>
            </w:r>
            <w:r>
              <w:br/>
            </w:r>
            <w:r>
              <w:rPr>
                <w:sz w:val="20"/>
              </w:rPr>
              <w:t>• How much of the €175,000 each measure would take: the plan does not say.</w:t>
            </w:r>
            <w:r>
              <w:br/>
            </w:r>
            <w:r>
              <w:rPr>
                <w:sz w:val="20"/>
              </w:rPr>
              <w:t>• Which adaptation modes people would actually use: never tested.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StudyPath's crowded start page, unprioritised tasks, varying navigation, long dense complex texts, forms with many required fields and little help, and short unclear status messages; JobAccess's three designs (A compact and dense with changing navigation, B calm, readable and consistent but less dynamic and brand-strong, C a good base with optional reading mode, stimulus reduction and simplified view but more effort) for a very heterogeneous group, modern, inclusive and professional, a limited budget, 12 weeks, legal and reputational requirements, no neurodiverse test data; LifeGuide's simultaneous stimuli, inconsistent navigation, hard texts, long forms, unhelpful feedback in stress and missing options to reduce, €175,000, 14 weeks, no relaunch, broad usability, limited test data, prototypes to be tried soon. Those are the plan's facts and its only figures. Everything else is made up for this exercise: the agency, the pages, the simulations and the facts marked “Clear”.</w:t>
            </w:r>
          </w:p>
        </w:tc>
      </w:tr>
    </w:tbl>
    <w:p>
      <w:pPr>
        <w:spacing w:before="0" w:after="80"/>
      </w:pPr>
    </w:p>
    <w:p>
      <w:pPr>
        <w:pStyle w:val="Heading1"/>
        <w:pBdr>
          <w:bottom w:val="single" w:sz="8" w:space="2" w:color="17212E"/>
        </w:pBdr>
      </w:pPr>
      <w:r>
        <w:rPr/>
        <w:t>Part 1 · Find the hurdles, and weigh inclusive designs · Level 1 · Knowledge</w:t>
      </w:r>
    </w:p>
    <w:p>
      <w:pPr>
        <w:pStyle w:val="Heading2"/>
      </w:pPr>
      <w:r>
        <w:rPr/>
        <w:t>Block 1.1 · Recognise neurodiverse hurdles in an interface: StudyPath · JUDGED · Core · about 10 min</w:t>
      </w:r>
    </w:p>
    <w:p>
      <w:pPr>
        <w:spacing w:before="0" w:after="100"/>
      </w:pPr>
      <w:r>
        <w:rPr>
          <w:b/>
        </w:rPr>
        <w:t>Draws on:</w:t>
      </w:r>
      <w:r>
        <w:rPr/>
        <w:t xml:space="preserve"> A1 · Neurodiversity · A2 · Stimuli and focus · A3 · Predictability · A4 · Readability.</w:t>
      </w:r>
    </w:p>
    <w:p>
      <w:pPr>
        <w:spacing w:before="0" w:after="100"/>
      </w:pPr>
      <w:r>
        <w:rPr/>
        <w:t>You receive the description of a fictional learning platform, StudyPath, for digital further training and exam organisation. Open it and use it as a learner: find what you have to do this week, move between two course areas, read a course text, and register for an exam. You need no prior knowledge: notice what pulls your attention, where you lose your way, and what tires you. Then ask how it would feel for someone with ADHD, an autistic person, or someone with dyslexia. The aim is to recognise neurodiverse requirements systematically and to tell them apart from general usability.</w:t>
      </w:r>
    </w:p>
    <w:p>
      <w:pPr>
        <w:keepNext/>
        <w:spacing w:before="80" w:after="40"/>
        <w:jc w:val="center"/>
      </w:pPr>
      <w:r>
        <w:drawing>
          <wp:inline xmlns:a="http://schemas.openxmlformats.org/drawingml/2006/main" xmlns:pic="http://schemas.openxmlformats.org/drawingml/2006/picture">
            <wp:extent cx="5940000" cy="1940792"/>
            <wp:docPr id="1" name="Picture 1"/>
            <wp:cNvGraphicFramePr>
              <a:graphicFrameLocks noChangeAspect="1"/>
            </wp:cNvGraphicFramePr>
            <a:graphic>
              <a:graphicData uri="http://schemas.openxmlformats.org/drawingml/2006/picture">
                <pic:pic>
                  <pic:nvPicPr>
                    <pic:cNvPr id="0" name="d13_b1-1_0-093839b846c8.png"/>
                    <pic:cNvPicPr/>
                  </pic:nvPicPr>
                  <pic:blipFill>
                    <a:blip r:embed="rId10"/>
                    <a:stretch>
                      <a:fillRect/>
                    </a:stretch>
                  </pic:blipFill>
                  <pic:spPr>
                    <a:xfrm>
                      <a:off x="0" y="0"/>
                      <a:ext cx="5940000" cy="1940792"/>
                    </a:xfrm>
                    <a:prstGeom prst="rect"/>
                  </pic:spPr>
                </pic:pic>
              </a:graphicData>
            </a:graphic>
          </wp:inline>
        </w:drawing>
      </w:r>
    </w:p>
    <w:p>
      <w:pPr>
        <w:spacing w:before="0" w:after="160"/>
        <w:jc w:val="center"/>
      </w:pPr>
      <w:r>
        <w:rPr>
          <w:i/>
          <w:color w:val="556274"/>
          <w:sz w:val="18"/>
        </w:rPr>
        <w:t>Figure 1 · The product to read, as the lab shows it (studypath).</w:t>
      </w:r>
    </w:p>
    <w:p>
      <w:pPr>
        <w:spacing w:before="0" w:after="100"/>
      </w:pPr>
      <w:r>
        <w:rPr>
          <w:b/>
        </w:rPr>
        <w:t>Question 1 of 5 · Describe which hurdles the offer could have for people with different ways of perceiving and processing</w:t>
      </w:r>
    </w:p>
    <w:p>
      <w:pPr>
        <w:spacing w:before="0" w:after="100"/>
      </w:pPr>
      <w:r>
        <w:rPr/>
        <w:t>Two to four sentences: which minds, and what loads or stops them.</w:t>
      </w:r>
    </w:p>
    <w:p>
      <w:pPr>
        <w:spacing w:before="0" w:after="100"/>
      </w:pPr>
      <w:r>
        <w:rPr>
          <w:i/>
        </w:rPr>
        <w:t>How to build the answer:</w:t>
      </w:r>
    </w:p>
    <w:p>
      <w:pPr>
        <w:pStyle w:val="ListBullet"/>
        <w:spacing w:before="0" w:after="40"/>
      </w:pPr>
      <w:r>
        <w:rPr/>
        <w:t>Open StudyPath and try to find what you have to do this week.</w:t>
      </w:r>
    </w:p>
    <w:p>
      <w:pPr>
        <w:pStyle w:val="ListBullet"/>
        <w:spacing w:before="0" w:after="40"/>
      </w:pPr>
      <w:r>
        <w:rPr/>
        <w:t>Move between the two course areas, read a text, and register for an exam.</w:t>
      </w:r>
    </w:p>
    <w:p>
      <w:pPr>
        <w:pStyle w:val="ListBullet"/>
        <w:spacing w:before="0" w:after="100"/>
      </w:pPr>
      <w:r>
        <w:rPr/>
        <w:t>Write what loads, confuses or tires whom.</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barriers with a view to ADHD, autism or dyslexia</w:t>
      </w:r>
    </w:p>
    <w:p>
      <w:pPr>
        <w:spacing w:before="0" w:after="100"/>
      </w:pPr>
      <w:r>
        <w:rPr>
          <w:i/>
        </w:rPr>
        <w:t>How to build the answer:</w:t>
      </w:r>
    </w:p>
    <w:p>
      <w:pPr>
        <w:pStyle w:val="ListBullet"/>
        <w:spacing w:before="0" w:after="40"/>
      </w:pPr>
      <w:r>
        <w:rPr/>
        <w:t>Go through your visit: the start page, the two course areas, the text, the form, the messages.</w:t>
      </w:r>
    </w:p>
    <w:p>
      <w:pPr>
        <w:pStyle w:val="ListBullet"/>
        <w:spacing w:before="0" w:after="100"/>
      </w:pPr>
      <w:r>
        <w:rPr/>
        <w:t>For each barrier, say whom it loads most and why.</w:t>
      </w:r>
    </w:p>
    <w:p>
      <w:pPr>
        <w:spacing w:before="0" w:after="100"/>
      </w:pPr>
      <w:r>
        <w:rPr/>
        <w:t>Write them as a list, one barrier per line, each with whom it loads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stimulus load, orientation, readability, predictability, clarity of the task and comprehensibility</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barriers from question 2.</w:t>
      </w:r>
    </w:p>
    <w:p>
      <w:pPr>
        <w:pStyle w:val="ListBullet"/>
        <w:spacing w:before="0" w:after="100"/>
      </w:pPr>
      <w:r>
        <w:rPr/>
        <w:t>Ask which of the six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106"/>
        <w:gridCol w:w="4532"/>
      </w:tblGrid>
      <w:tr>
        <w:trPr>
          <w:cantSplit/>
          <w:tblHeader/>
        </w:trPr>
        <w:tc>
          <w:tcPr>
            <w:tcW w:type="dxa" w:w="5106"/>
            <w:shd w:val="clear" w:color="auto" w:fill="E6ECF4"/>
          </w:tcPr>
          <w:p>
            <w:pPr>
              <w:spacing w:before="0" w:after="0"/>
            </w:pPr>
            <w:r>
              <w:rPr>
                <w:b/>
                <w:sz w:val="20"/>
              </w:rPr>
              <w:t>Category</w:t>
            </w:r>
          </w:p>
        </w:tc>
        <w:tc>
          <w:tcPr>
            <w:tcW w:type="dxa" w:w="4532"/>
            <w:shd w:val="clear" w:color="auto" w:fill="E6ECF4"/>
          </w:tcPr>
          <w:p>
            <w:pPr>
              <w:spacing w:before="0" w:after="0"/>
            </w:pPr>
            <w:r>
              <w:rPr>
                <w:b/>
                <w:sz w:val="20"/>
              </w:rPr>
              <w:t>The observations in this category</w:t>
            </w:r>
          </w:p>
        </w:tc>
      </w:tr>
      <w:tr>
        <w:trPr>
          <w:cantSplit/>
          <w:trHeight w:val="538" w:hRule="atLeast"/>
        </w:trPr>
        <w:tc>
          <w:tcPr>
            <w:tcW w:type="dxa" w:w="5106"/>
          </w:tcPr>
          <w:p>
            <w:pPr>
              <w:spacing w:before="0" w:after="0"/>
            </w:pPr>
            <w:r>
              <w:rPr>
                <w:sz w:val="20"/>
              </w:rPr>
              <w:t>Stimulus load</w:t>
            </w:r>
          </w:p>
        </w:tc>
        <w:tc>
          <w:tcPr>
            <w:tcW w:type="dxa" w:w="4532"/>
          </w:tcPr>
          <w:p/>
        </w:tc>
      </w:tr>
      <w:tr>
        <w:trPr>
          <w:cantSplit/>
          <w:trHeight w:val="538" w:hRule="atLeast"/>
        </w:trPr>
        <w:tc>
          <w:tcPr>
            <w:tcW w:type="dxa" w:w="5106"/>
          </w:tcPr>
          <w:p>
            <w:pPr>
              <w:spacing w:before="0" w:after="0"/>
            </w:pPr>
            <w:r>
              <w:rPr>
                <w:sz w:val="20"/>
              </w:rPr>
              <w:t>Orientation</w:t>
            </w:r>
          </w:p>
        </w:tc>
        <w:tc>
          <w:tcPr>
            <w:tcW w:type="dxa" w:w="4532"/>
          </w:tcPr>
          <w:p/>
        </w:tc>
      </w:tr>
      <w:tr>
        <w:trPr>
          <w:cantSplit/>
          <w:trHeight w:val="538" w:hRule="atLeast"/>
        </w:trPr>
        <w:tc>
          <w:tcPr>
            <w:tcW w:type="dxa" w:w="5106"/>
          </w:tcPr>
          <w:p>
            <w:pPr>
              <w:spacing w:before="0" w:after="0"/>
            </w:pPr>
            <w:r>
              <w:rPr>
                <w:sz w:val="20"/>
              </w:rPr>
              <w:t>Readability</w:t>
            </w:r>
          </w:p>
        </w:tc>
        <w:tc>
          <w:tcPr>
            <w:tcW w:type="dxa" w:w="4532"/>
          </w:tcPr>
          <w:p/>
        </w:tc>
      </w:tr>
      <w:tr>
        <w:trPr>
          <w:cantSplit/>
          <w:trHeight w:val="538" w:hRule="atLeast"/>
        </w:trPr>
        <w:tc>
          <w:tcPr>
            <w:tcW w:type="dxa" w:w="5106"/>
          </w:tcPr>
          <w:p>
            <w:pPr>
              <w:spacing w:before="0" w:after="0"/>
            </w:pPr>
            <w:r>
              <w:rPr>
                <w:sz w:val="20"/>
              </w:rPr>
              <w:t>Predictability</w:t>
            </w:r>
          </w:p>
        </w:tc>
        <w:tc>
          <w:tcPr>
            <w:tcW w:type="dxa" w:w="4532"/>
          </w:tcPr>
          <w:p/>
        </w:tc>
      </w:tr>
      <w:tr>
        <w:trPr>
          <w:cantSplit/>
          <w:trHeight w:val="538" w:hRule="atLeast"/>
        </w:trPr>
        <w:tc>
          <w:tcPr>
            <w:tcW w:type="dxa" w:w="5106"/>
          </w:tcPr>
          <w:p>
            <w:pPr>
              <w:spacing w:before="0" w:after="0"/>
            </w:pPr>
            <w:r>
              <w:rPr>
                <w:sz w:val="20"/>
              </w:rPr>
              <w:t>Clarity of the task</w:t>
            </w:r>
          </w:p>
        </w:tc>
        <w:tc>
          <w:tcPr>
            <w:tcW w:type="dxa" w:w="4532"/>
          </w:tcPr>
          <w:p/>
        </w:tc>
      </w:tr>
      <w:tr>
        <w:trPr>
          <w:cantSplit/>
          <w:trHeight w:val="538" w:hRule="atLeast"/>
        </w:trPr>
        <w:tc>
          <w:tcPr>
            <w:tcW w:type="dxa" w:w="5106"/>
          </w:tcPr>
          <w:p>
            <w:pPr>
              <w:spacing w:before="0" w:after="0"/>
            </w:pPr>
            <w:r>
              <w:rPr>
                <w:sz w:val="20"/>
              </w:rPr>
              <w:t>Comprehensibility</w:t>
            </w:r>
          </w:p>
        </w:tc>
        <w:tc>
          <w:tcPr>
            <w:tcW w:type="dxa" w:w="4532"/>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barriers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barrier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most serious hurdles with regard to inclusive usability</w:t>
      </w:r>
    </w:p>
    <w:p>
      <w:pPr>
        <w:spacing w:before="0" w:after="100"/>
      </w:pPr>
      <w:r>
        <w:rPr>
          <w:i/>
        </w:rPr>
        <w:t>How to build the answer:</w:t>
      </w:r>
    </w:p>
    <w:p>
      <w:pPr>
        <w:pStyle w:val="ListBullet"/>
        <w:spacing w:before="0" w:after="40"/>
      </w:pPr>
      <w:r>
        <w:rPr/>
        <w:t>Look at your barriers with two questions: which stops people from finishing, and which loads the most people?</w:t>
      </w:r>
    </w:p>
    <w:p>
      <w:pPr>
        <w:pStyle w:val="ListBullet"/>
        <w:spacing w:before="0" w:after="100"/>
      </w:pPr>
      <w:r>
        <w:rPr/>
        <w:t>Write the two, each with why it weighs most.</w:t>
      </w:r>
    </w:p>
    <w:p>
      <w:pPr>
        <w:spacing w:before="0" w:after="100"/>
      </w:pPr>
      <w:r>
        <w:rPr/>
        <w:t>Write two lines: hurdle 1 and hurdle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inclusive design approaches under conflicting goals: JobAccess · JUDGED · Core · about 8 min</w:t>
      </w:r>
    </w:p>
    <w:p>
      <w:pPr>
        <w:spacing w:before="0" w:after="100"/>
      </w:pPr>
      <w:r>
        <w:rPr>
          <w:b/>
        </w:rPr>
        <w:t>Draws on:</w:t>
      </w:r>
      <w:r>
        <w:rPr/>
        <w:t xml:space="preserve"> A2 · Stimuli and focus · A3 · Predictability · A4 · Readability · A5 · Inclusive patterns, assistive technologies, and testing a prototype.</w:t>
      </w:r>
    </w:p>
    <w:p>
      <w:pPr>
        <w:spacing w:before="0" w:after="100"/>
      </w:pPr>
      <w:r>
        <w:rPr/>
        <w:t>JobAccess is a platform for applications, further training and career planning. Three variants for its development are described in words: A) visually modern and compact, but information-dense and with changing navigation patterns; B) clearly structured, calm, readable and consistent, but less dynamic and less brand-strong; C) a good base structure with optional adaptation functions such as a reading mode, stimulus reduction and a simplified view, but a higher implementation effort. The conditions: the target group is very heterogeneous, the company wants to look modern, inclusive and professional, the budget for technical development is limited, the release is in 12 weeks, legal and reputational requirements are relevant, and data from specific neurodiverse user tests is not yet available. Decide anyway, and say what you assume.</w:t>
      </w:r>
    </w:p>
    <w:p>
      <w:pPr>
        <w:keepNext/>
        <w:spacing w:before="80" w:after="40"/>
        <w:jc w:val="center"/>
      </w:pPr>
      <w:r>
        <w:drawing>
          <wp:inline xmlns:a="http://schemas.openxmlformats.org/drawingml/2006/main" xmlns:pic="http://schemas.openxmlformats.org/drawingml/2006/picture">
            <wp:extent cx="5940000" cy="2156436"/>
            <wp:docPr id="2" name="Picture 2"/>
            <wp:cNvGraphicFramePr>
              <a:graphicFrameLocks noChangeAspect="1"/>
            </wp:cNvGraphicFramePr>
            <a:graphic>
              <a:graphicData uri="http://schemas.openxmlformats.org/drawingml/2006/picture">
                <pic:pic>
                  <pic:nvPicPr>
                    <pic:cNvPr id="0" name="d13_b1-2_0-1ef69f30e7ab.png"/>
                    <pic:cNvPicPr/>
                  </pic:nvPicPr>
                  <pic:blipFill>
                    <a:blip r:embed="rId11"/>
                    <a:stretch>
                      <a:fillRect/>
                    </a:stretch>
                  </pic:blipFill>
                  <pic:spPr>
                    <a:xfrm>
                      <a:off x="0" y="0"/>
                      <a:ext cx="5940000" cy="2156436"/>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inclusion, comprehensibility, predictability, adaptability, brand effect and feasibility</w:t>
      </w:r>
    </w:p>
    <w:p>
      <w:pPr>
        <w:spacing w:before="0" w:after="100"/>
      </w:pPr>
      <w:r>
        <w:rPr/>
        <w:t>Write a few sentences for each variant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conditions in mind: a very diverse group, 12 weeks, no neurodiverse test data.</w:t>
      </w:r>
    </w:p>
    <w:p>
      <w:pPr>
        <w:pStyle w:val="ListBullet"/>
        <w:spacing w:before="0" w:after="40"/>
      </w:pPr>
      <w:r>
        <w:rPr/>
        <w:t>For each criterion, say how the variant does and why.</w:t>
      </w:r>
    </w:p>
    <w:p>
      <w:pPr>
        <w:pStyle w:val="ListBullet"/>
        <w:spacing w:before="0" w:after="100"/>
      </w:pPr>
      <w:r>
        <w:rPr/>
        <w:t>Use the same six criteria for every variant.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123"/>
        <w:gridCol w:w="1316"/>
        <w:gridCol w:w="1761"/>
        <w:gridCol w:w="1488"/>
        <w:gridCol w:w="1316"/>
        <w:gridCol w:w="1316"/>
        <w:gridCol w:w="1318"/>
      </w:tblGrid>
      <w:tr>
        <w:trPr>
          <w:cantSplit/>
          <w:tblHeader/>
        </w:trPr>
        <w:tc>
          <w:tcPr>
            <w:tcW w:type="dxa" w:w="1123"/>
            <w:shd w:val="clear" w:color="auto" w:fill="E6ECF4"/>
          </w:tcPr>
          <w:p>
            <w:pPr>
              <w:spacing w:before="0" w:after="0"/>
            </w:pPr>
            <w:r>
              <w:rPr>
                <w:b/>
                <w:sz w:val="19"/>
              </w:rPr>
              <w:t>Variant</w:t>
            </w:r>
          </w:p>
        </w:tc>
        <w:tc>
          <w:tcPr>
            <w:tcW w:type="dxa" w:w="1316"/>
            <w:shd w:val="clear" w:color="auto" w:fill="E6ECF4"/>
          </w:tcPr>
          <w:p>
            <w:pPr>
              <w:spacing w:before="0" w:after="0"/>
            </w:pPr>
            <w:r>
              <w:rPr>
                <w:b/>
                <w:sz w:val="19"/>
              </w:rPr>
              <w:t>Inclusion</w:t>
            </w:r>
          </w:p>
        </w:tc>
        <w:tc>
          <w:tcPr>
            <w:tcW w:type="dxa" w:w="1761"/>
            <w:shd w:val="clear" w:color="auto" w:fill="E6ECF4"/>
          </w:tcPr>
          <w:p>
            <w:pPr>
              <w:spacing w:before="0" w:after="0"/>
            </w:pPr>
            <w:r>
              <w:rPr>
                <w:b/>
                <w:sz w:val="19"/>
              </w:rPr>
              <w:t>Comprehensibility</w:t>
            </w:r>
          </w:p>
        </w:tc>
        <w:tc>
          <w:tcPr>
            <w:tcW w:type="dxa" w:w="1488"/>
            <w:shd w:val="clear" w:color="auto" w:fill="E6ECF4"/>
          </w:tcPr>
          <w:p>
            <w:pPr>
              <w:spacing w:before="0" w:after="0"/>
            </w:pPr>
            <w:r>
              <w:rPr>
                <w:b/>
                <w:sz w:val="19"/>
              </w:rPr>
              <w:t>Predictability</w:t>
            </w:r>
          </w:p>
        </w:tc>
        <w:tc>
          <w:tcPr>
            <w:tcW w:type="dxa" w:w="1316"/>
            <w:shd w:val="clear" w:color="auto" w:fill="E6ECF4"/>
          </w:tcPr>
          <w:p>
            <w:pPr>
              <w:spacing w:before="0" w:after="0"/>
            </w:pPr>
            <w:r>
              <w:rPr>
                <w:b/>
                <w:sz w:val="19"/>
              </w:rPr>
              <w:t>Adaptability</w:t>
            </w:r>
          </w:p>
        </w:tc>
        <w:tc>
          <w:tcPr>
            <w:tcW w:type="dxa" w:w="1316"/>
            <w:shd w:val="clear" w:color="auto" w:fill="E6ECF4"/>
          </w:tcPr>
          <w:p>
            <w:pPr>
              <w:spacing w:before="0" w:after="0"/>
            </w:pPr>
            <w:r>
              <w:rPr>
                <w:b/>
                <w:sz w:val="19"/>
              </w:rPr>
              <w:t>Brand effect</w:t>
            </w:r>
          </w:p>
        </w:tc>
        <w:tc>
          <w:tcPr>
            <w:tcW w:type="dxa" w:w="1318"/>
            <w:shd w:val="clear" w:color="auto" w:fill="E6ECF4"/>
          </w:tcPr>
          <w:p>
            <w:pPr>
              <w:spacing w:before="0" w:after="0"/>
            </w:pPr>
            <w:r>
              <w:rPr>
                <w:b/>
                <w:sz w:val="19"/>
              </w:rPr>
              <w:t>Feasibility</w:t>
            </w:r>
          </w:p>
        </w:tc>
      </w:tr>
      <w:tr>
        <w:trPr>
          <w:cantSplit/>
          <w:trHeight w:val="538" w:hRule="atLeast"/>
          <w:trHeight w:val="538" w:hRule="atLeast"/>
          <w:trHeight w:val="538" w:hRule="atLeast"/>
          <w:trHeight w:val="538" w:hRule="atLeast"/>
          <w:trHeight w:val="538" w:hRule="atLeast"/>
          <w:trHeight w:val="538" w:hRule="atLeast"/>
        </w:trPr>
        <w:tc>
          <w:tcPr>
            <w:tcW w:type="dxa" w:w="1123"/>
          </w:tcPr>
          <w:p>
            <w:pPr>
              <w:spacing w:before="0" w:after="0"/>
            </w:pPr>
            <w:r>
              <w:rPr>
                <w:sz w:val="19"/>
              </w:rPr>
              <w:t>Variant A · modern, compact, dense</w:t>
            </w:r>
          </w:p>
        </w:tc>
        <w:tc>
          <w:tcPr>
            <w:tcW w:type="dxa" w:w="1316"/>
          </w:tcPr>
          <w:p/>
        </w:tc>
        <w:tc>
          <w:tcPr>
            <w:tcW w:type="dxa" w:w="1761"/>
          </w:tcPr>
          <w:p/>
        </w:tc>
        <w:tc>
          <w:tcPr>
            <w:tcW w:type="dxa" w:w="1488"/>
          </w:tcPr>
          <w:p/>
        </w:tc>
        <w:tc>
          <w:tcPr>
            <w:tcW w:type="dxa" w:w="1316"/>
          </w:tcPr>
          <w:p/>
        </w:tc>
        <w:tc>
          <w:tcPr>
            <w:tcW w:type="dxa" w:w="1316"/>
          </w:tcPr>
          <w:p/>
        </w:tc>
        <w:tc>
          <w:tcPr>
            <w:tcW w:type="dxa" w:w="1318"/>
          </w:tcPr>
          <w:p/>
        </w:tc>
      </w:tr>
      <w:tr>
        <w:trPr>
          <w:cantSplit/>
          <w:trHeight w:val="538" w:hRule="atLeast"/>
          <w:trHeight w:val="538" w:hRule="atLeast"/>
          <w:trHeight w:val="538" w:hRule="atLeast"/>
          <w:trHeight w:val="538" w:hRule="atLeast"/>
          <w:trHeight w:val="538" w:hRule="atLeast"/>
          <w:trHeight w:val="538" w:hRule="atLeast"/>
        </w:trPr>
        <w:tc>
          <w:tcPr>
            <w:tcW w:type="dxa" w:w="1123"/>
          </w:tcPr>
          <w:p>
            <w:pPr>
              <w:spacing w:before="0" w:after="0"/>
            </w:pPr>
            <w:r>
              <w:rPr>
                <w:sz w:val="19"/>
              </w:rPr>
              <w:t>Variant B · calm, readable, consistent</w:t>
            </w:r>
          </w:p>
        </w:tc>
        <w:tc>
          <w:tcPr>
            <w:tcW w:type="dxa" w:w="1316"/>
          </w:tcPr>
          <w:p/>
        </w:tc>
        <w:tc>
          <w:tcPr>
            <w:tcW w:type="dxa" w:w="1761"/>
          </w:tcPr>
          <w:p/>
        </w:tc>
        <w:tc>
          <w:tcPr>
            <w:tcW w:type="dxa" w:w="1488"/>
          </w:tcPr>
          <w:p/>
        </w:tc>
        <w:tc>
          <w:tcPr>
            <w:tcW w:type="dxa" w:w="1316"/>
          </w:tcPr>
          <w:p/>
        </w:tc>
        <w:tc>
          <w:tcPr>
            <w:tcW w:type="dxa" w:w="1316"/>
          </w:tcPr>
          <w:p/>
        </w:tc>
        <w:tc>
          <w:tcPr>
            <w:tcW w:type="dxa" w:w="1318"/>
          </w:tcPr>
          <w:p/>
        </w:tc>
      </w:tr>
      <w:tr>
        <w:trPr>
          <w:cantSplit/>
          <w:trHeight w:val="538" w:hRule="atLeast"/>
          <w:trHeight w:val="538" w:hRule="atLeast"/>
          <w:trHeight w:val="538" w:hRule="atLeast"/>
          <w:trHeight w:val="538" w:hRule="atLeast"/>
          <w:trHeight w:val="538" w:hRule="atLeast"/>
          <w:trHeight w:val="538" w:hRule="atLeast"/>
        </w:trPr>
        <w:tc>
          <w:tcPr>
            <w:tcW w:type="dxa" w:w="1123"/>
          </w:tcPr>
          <w:p>
            <w:pPr>
              <w:spacing w:before="0" w:after="0"/>
            </w:pPr>
            <w:r>
              <w:rPr>
                <w:sz w:val="19"/>
              </w:rPr>
              <w:t>Variant C · good base with adaptation modes</w:t>
            </w:r>
          </w:p>
        </w:tc>
        <w:tc>
          <w:tcPr>
            <w:tcW w:type="dxa" w:w="1316"/>
          </w:tcPr>
          <w:p/>
        </w:tc>
        <w:tc>
          <w:tcPr>
            <w:tcW w:type="dxa" w:w="1761"/>
          </w:tcPr>
          <w:p/>
        </w:tc>
        <w:tc>
          <w:tcPr>
            <w:tcW w:type="dxa" w:w="1488"/>
          </w:tcPr>
          <w:p/>
        </w:tc>
        <w:tc>
          <w:tcPr>
            <w:tcW w:type="dxa" w:w="1316"/>
          </w:tcPr>
          <w:p/>
        </w:tc>
        <w:tc>
          <w:tcPr>
            <w:tcW w:type="dxa" w:w="1316"/>
          </w:tcPr>
          <w:p/>
        </w:tc>
        <w:tc>
          <w:tcPr>
            <w:tcW w:type="dxa" w:w="1318"/>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modern, compact, dense</w:t>
      </w:r>
    </w:p>
    <w:p>
      <w:pPr>
        <w:spacing w:before="0" w:after="20"/>
        <w:ind w:left="340" w:hanging="340"/>
      </w:pPr>
      <w:r>
        <w:rPr/>
        <w:t>☐ Variant B · calm, readable, consistent</w:t>
      </w:r>
    </w:p>
    <w:p>
      <w:pPr>
        <w:spacing w:before="0" w:after="120"/>
        <w:ind w:left="340" w:hanging="340"/>
      </w:pPr>
      <w:r>
        <w:rPr/>
        <w:t>☐ Variant C · good base with adaptation modes</w:t>
      </w:r>
    </w:p>
    <w:p>
      <w:pPr>
        <w:spacing w:before="0" w:after="100"/>
      </w:pPr>
      <w:r>
        <w:rPr>
          <w:b/>
        </w:rPr>
        <w:t>Why this variant, under these conditions?</w:t>
      </w:r>
    </w:p>
    <w:p>
      <w:pPr>
        <w:spacing w:before="0" w:after="100"/>
      </w:pPr>
      <w:r>
        <w:rPr/>
        <w:t>Give your reason with the conditions: a very heterogeneous group, modern, inclusive and professional, a limited budget, 12 weeks, legal and reputational requirements, no neurodiverse test data.</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standardisation, adaptability and effort</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standardisation wants (one design for all), what adaptability needs (modes, settings) and what effort allows (12 weeks, budget, tests).</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test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test before and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and the start of the practice project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an inclusive prototype for the service portal LifeGuide · JUDGED · Core · about 15 min</w:t>
      </w:r>
    </w:p>
    <w:p>
      <w:pPr>
        <w:spacing w:before="0" w:after="100"/>
      </w:pPr>
      <w:r>
        <w:rPr>
          <w:b/>
        </w:rPr>
        <w:t>Draws on:</w:t>
      </w:r>
      <w:r>
        <w:rPr/>
        <w:t xml:space="preserve"> A1 · Neurodiversity · A2 · Stimuli and focus · A3 · Predictability · A4 · Readability · A5 · Inclusive patterns, assistive technologies, and testing a prototype.</w:t>
      </w:r>
    </w:p>
    <w:p>
      <w:pPr>
        <w:spacing w:before="0" w:after="100"/>
      </w:pPr>
      <w:r>
        <w:rPr/>
        <w:t>A digital portal for health, counselling and support offers is to be reworked for a very diverse group of users. First feedback shows that people with concentration difficulties, sensory sensitivity and reading hurdles in particular have problems with orientation, stimulus density and comprehensibility. The organisation wants a more inclusive experience and to prepare first usability tests on the basis of a prototype. The observed problems: many simultaneous stimuli and competing information areas on central pages; inconsistent navigation patterns and low predictability; texts that are correct in content but hard to access in language and typography; long forms with little supportive structure; error messages and feedback that help too little in stressful situations; and no options to reduce stimuli or simplify the display. The conditions: a budget of €175,000, 14 weeks for the implementation, no complete relaunch, the platform must stay usable for broad groups, only limited test data from different groups exists, and first prototypes are to be tried soon. You work through six steps; step 5 is the start of the practice project.</w:t>
      </w:r>
    </w:p>
    <w:p>
      <w:pPr>
        <w:keepNext/>
        <w:spacing w:before="80" w:after="40"/>
        <w:jc w:val="center"/>
      </w:pPr>
      <w:r>
        <w:drawing>
          <wp:inline xmlns:a="http://schemas.openxmlformats.org/drawingml/2006/main" xmlns:pic="http://schemas.openxmlformats.org/drawingml/2006/picture">
            <wp:extent cx="5940000" cy="2423050"/>
            <wp:docPr id="3" name="Picture 3"/>
            <wp:cNvGraphicFramePr>
              <a:graphicFrameLocks noChangeAspect="1"/>
            </wp:cNvGraphicFramePr>
            <a:graphic>
              <a:graphicData uri="http://schemas.openxmlformats.org/drawingml/2006/picture">
                <pic:pic>
                  <pic:nvPicPr>
                    <pic:cNvPr id="0" name="d13_b2-1_0-6fa54112b63f.png"/>
                    <pic:cNvPicPr/>
                  </pic:nvPicPr>
                  <pic:blipFill>
                    <a:blip r:embed="rId12"/>
                    <a:stretch>
                      <a:fillRect/>
                    </a:stretch>
                  </pic:blipFill>
                  <pic:spPr>
                    <a:xfrm>
                      <a:off x="0" y="0"/>
                      <a:ext cx="5940000" cy="2423050"/>
                    </a:xfrm>
                    <a:prstGeom prst="rect"/>
                  </pic:spPr>
                </pic:pic>
              </a:graphicData>
            </a:graphic>
          </wp:inline>
        </w:drawing>
      </w:r>
    </w:p>
    <w:p>
      <w:pPr>
        <w:spacing w:before="0" w:after="160"/>
        <w:jc w:val="center"/>
      </w:pPr>
      <w:r>
        <w:rPr>
          <w:i/>
          <w:color w:val="556274"/>
          <w:sz w:val="18"/>
        </w:rPr>
        <w:t>Figure 3 · The product to read, as the lab shows it (lifeguide).</w:t>
      </w:r>
    </w:p>
    <w:p>
      <w:pPr>
        <w:spacing w:before="0" w:after="100"/>
      </w:pPr>
      <w:r>
        <w:rPr>
          <w:b/>
        </w:rPr>
        <w:t>Question 1 of 6 · Analyse the central deficits of the portal with a view to neurodiverse use</w:t>
      </w:r>
    </w:p>
    <w:p>
      <w:pPr>
        <w:spacing w:before="0" w:after="100"/>
      </w:pPr>
      <w:r>
        <w:rPr>
          <w:i/>
        </w:rPr>
        <w:t>How to build the answer:</w:t>
      </w:r>
    </w:p>
    <w:p>
      <w:pPr>
        <w:pStyle w:val="ListBullet"/>
        <w:spacing w:before="0" w:after="40"/>
      </w:pPr>
      <w:r>
        <w:rPr/>
        <w:t>Open LifeGuide as someone looking for support: find a counselling offer, book an appointment, fill in the form with a mistake, and switch on any option to reduce stimuli you can find.</w:t>
      </w:r>
    </w:p>
    <w:p>
      <w:pPr>
        <w:pStyle w:val="ListBullet"/>
        <w:spacing w:before="0" w:after="100"/>
      </w:pPr>
      <w:r>
        <w:rPr/>
        <w:t>Write one deficit per line, and what it does.</w:t>
      </w:r>
    </w:p>
    <w:p>
      <w:pPr>
        <w:spacing w:before="0" w:after="100"/>
      </w:pPr>
      <w:r>
        <w:rPr/>
        <w:t>Write them as a list, one deficit per line, each with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stimulus load, readability, predictability, task structure, error tolerance and adaptability</w:t>
      </w:r>
    </w:p>
    <w:p>
      <w:pPr>
        <w:spacing w:before="0" w:after="100"/>
      </w:pPr>
      <w:r>
        <w:rPr/>
        <w:t>Write the problems that belong to each category in a few words.</w:t>
      </w:r>
    </w:p>
    <w:p>
      <w:pPr>
        <w:spacing w:before="0" w:after="100"/>
      </w:pPr>
      <w:r>
        <w:rPr>
          <w:i/>
        </w:rPr>
        <w:t>How to build the answer:</w:t>
      </w:r>
    </w:p>
    <w:p>
      <w:pPr>
        <w:pStyle w:val="ListBullet"/>
        <w:spacing w:before="0" w:after="40"/>
      </w:pPr>
      <w:r>
        <w:rPr/>
        <w:t>Take your deficits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47"/>
        <w:gridCol w:w="4791"/>
      </w:tblGrid>
      <w:tr>
        <w:trPr>
          <w:cantSplit/>
          <w:tblHeader/>
        </w:trPr>
        <w:tc>
          <w:tcPr>
            <w:tcW w:type="dxa" w:w="4847"/>
            <w:shd w:val="clear" w:color="auto" w:fill="E6ECF4"/>
          </w:tcPr>
          <w:p>
            <w:pPr>
              <w:spacing w:before="0" w:after="0"/>
            </w:pPr>
            <w:r>
              <w:rPr>
                <w:b/>
                <w:sz w:val="20"/>
              </w:rPr>
              <w:t>Category</w:t>
            </w:r>
          </w:p>
        </w:tc>
        <w:tc>
          <w:tcPr>
            <w:tcW w:type="dxa" w:w="4791"/>
            <w:shd w:val="clear" w:color="auto" w:fill="E6ECF4"/>
          </w:tcPr>
          <w:p>
            <w:pPr>
              <w:spacing w:before="0" w:after="0"/>
            </w:pPr>
            <w:r>
              <w:rPr>
                <w:b/>
                <w:sz w:val="20"/>
              </w:rPr>
              <w:t>The problems in this category</w:t>
            </w:r>
          </w:p>
        </w:tc>
      </w:tr>
      <w:tr>
        <w:trPr>
          <w:cantSplit/>
          <w:trHeight w:val="538" w:hRule="atLeast"/>
        </w:trPr>
        <w:tc>
          <w:tcPr>
            <w:tcW w:type="dxa" w:w="4847"/>
          </w:tcPr>
          <w:p>
            <w:pPr>
              <w:spacing w:before="0" w:after="0"/>
            </w:pPr>
            <w:r>
              <w:rPr>
                <w:sz w:val="20"/>
              </w:rPr>
              <w:t>Stimulus load</w:t>
            </w:r>
          </w:p>
        </w:tc>
        <w:tc>
          <w:tcPr>
            <w:tcW w:type="dxa" w:w="4791"/>
          </w:tcPr>
          <w:p/>
        </w:tc>
      </w:tr>
      <w:tr>
        <w:trPr>
          <w:cantSplit/>
          <w:trHeight w:val="538" w:hRule="atLeast"/>
        </w:trPr>
        <w:tc>
          <w:tcPr>
            <w:tcW w:type="dxa" w:w="4847"/>
          </w:tcPr>
          <w:p>
            <w:pPr>
              <w:spacing w:before="0" w:after="0"/>
            </w:pPr>
            <w:r>
              <w:rPr>
                <w:sz w:val="20"/>
              </w:rPr>
              <w:t>Readability</w:t>
            </w:r>
          </w:p>
        </w:tc>
        <w:tc>
          <w:tcPr>
            <w:tcW w:type="dxa" w:w="4791"/>
          </w:tcPr>
          <w:p/>
        </w:tc>
      </w:tr>
      <w:tr>
        <w:trPr>
          <w:cantSplit/>
          <w:trHeight w:val="538" w:hRule="atLeast"/>
        </w:trPr>
        <w:tc>
          <w:tcPr>
            <w:tcW w:type="dxa" w:w="4847"/>
          </w:tcPr>
          <w:p>
            <w:pPr>
              <w:spacing w:before="0" w:after="0"/>
            </w:pPr>
            <w:r>
              <w:rPr>
                <w:sz w:val="20"/>
              </w:rPr>
              <w:t>Predictability</w:t>
            </w:r>
          </w:p>
        </w:tc>
        <w:tc>
          <w:tcPr>
            <w:tcW w:type="dxa" w:w="4791"/>
          </w:tcPr>
          <w:p/>
        </w:tc>
      </w:tr>
      <w:tr>
        <w:trPr>
          <w:cantSplit/>
          <w:trHeight w:val="538" w:hRule="atLeast"/>
        </w:trPr>
        <w:tc>
          <w:tcPr>
            <w:tcW w:type="dxa" w:w="4847"/>
          </w:tcPr>
          <w:p>
            <w:pPr>
              <w:spacing w:before="0" w:after="0"/>
            </w:pPr>
            <w:r>
              <w:rPr>
                <w:sz w:val="20"/>
              </w:rPr>
              <w:t>Task structure</w:t>
            </w:r>
          </w:p>
        </w:tc>
        <w:tc>
          <w:tcPr>
            <w:tcW w:type="dxa" w:w="4791"/>
          </w:tcPr>
          <w:p/>
        </w:tc>
      </w:tr>
      <w:tr>
        <w:trPr>
          <w:cantSplit/>
          <w:trHeight w:val="538" w:hRule="atLeast"/>
        </w:trPr>
        <w:tc>
          <w:tcPr>
            <w:tcW w:type="dxa" w:w="4847"/>
          </w:tcPr>
          <w:p>
            <w:pPr>
              <w:spacing w:before="0" w:after="0"/>
            </w:pPr>
            <w:r>
              <w:rPr>
                <w:sz w:val="20"/>
              </w:rPr>
              <w:t>Error tolerance</w:t>
            </w:r>
          </w:p>
        </w:tc>
        <w:tc>
          <w:tcPr>
            <w:tcW w:type="dxa" w:w="4791"/>
          </w:tcPr>
          <w:p/>
        </w:tc>
      </w:tr>
      <w:tr>
        <w:trPr>
          <w:cantSplit/>
          <w:trHeight w:val="538" w:hRule="atLeast"/>
        </w:trPr>
        <w:tc>
          <w:tcPr>
            <w:tcW w:type="dxa" w:w="4847"/>
          </w:tcPr>
          <w:p>
            <w:pPr>
              <w:spacing w:before="0" w:after="0"/>
            </w:pPr>
            <w:r>
              <w:rPr>
                <w:sz w:val="20"/>
              </w:rPr>
              <w:t>Adaptability</w:t>
            </w:r>
          </w:p>
        </w:tc>
        <w:tc>
          <w:tcPr>
            <w:tcW w:type="dxa" w:w="4791"/>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14 weeks and €175,000, without a relaunch.</w:t>
      </w:r>
    </w:p>
    <w:p>
      <w:pPr>
        <w:pStyle w:val="ListBullet"/>
        <w:spacing w:before="0" w:after="100"/>
      </w:pPr>
      <w:r>
        <w:rPr/>
        <w:t>Put them in order: what lowers mental load and exclusion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gain for inclusion, feasibility, risk and time pressure</w:t>
      </w:r>
    </w:p>
    <w:p>
      <w:pPr>
        <w:spacing w:before="0" w:after="100"/>
      </w:pPr>
      <w:r>
        <w:rPr/>
        <w:t>Use all five criteria and say how they support your selection and its order.</w:t>
      </w:r>
    </w:p>
    <w:p>
      <w:pPr>
        <w:spacing w:before="0" w:after="100"/>
      </w:pPr>
      <w:r>
        <w:rPr>
          <w:i/>
        </w:rPr>
        <w:t>How to build the answer:</w:t>
      </w:r>
    </w:p>
    <w:p>
      <w:pPr>
        <w:pStyle w:val="ListBullet"/>
        <w:spacing w:before="0" w:after="40"/>
      </w:pPr>
      <w:r>
        <w:rPr/>
        <w:t>Say what your first measures change for mental load and exclusion.</w:t>
      </w:r>
    </w:p>
    <w:p>
      <w:pPr>
        <w:pStyle w:val="ListBullet"/>
        <w:spacing w:before="0" w:after="40"/>
      </w:pPr>
      <w:r>
        <w:rPr/>
        <w:t>Say what they gain for inclusion, and what is feasible without a relaunch.</w:t>
      </w:r>
    </w:p>
    <w:p>
      <w:pPr>
        <w:pStyle w:val="ListBullet"/>
        <w:spacing w:before="0" w:after="100"/>
      </w:pPr>
      <w:r>
        <w:rPr/>
        <w:t>Keep the 14 weeks and the limited test data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Sketch an inclusive prototype approach and name which functions or patterns should be tested first</w:t>
      </w:r>
    </w:p>
    <w:p>
      <w:pPr>
        <w:spacing w:before="0" w:after="100"/>
      </w:pPr>
      <w:r>
        <w:rPr/>
        <w:t>Say what the first prototype contains, which functions or patterns you test first, what you watch for, which situations you simulate and how you evaluate.</w:t>
      </w:r>
    </w:p>
    <w:p>
      <w:pPr>
        <w:spacing w:before="0" w:after="100"/>
      </w:pPr>
      <w:r>
        <w:rPr>
          <w:i/>
        </w:rPr>
        <w:t>How to build the answer:</w:t>
      </w:r>
    </w:p>
    <w:p>
      <w:pPr>
        <w:pStyle w:val="ListBullet"/>
        <w:spacing w:before="0" w:after="40"/>
      </w:pPr>
      <w:r>
        <w:rPr/>
        <w:t>Say what the prototype contains: which pages, journeys and forms.</w:t>
      </w:r>
    </w:p>
    <w:p>
      <w:pPr>
        <w:pStyle w:val="ListBullet"/>
        <w:spacing w:before="0" w:after="40"/>
      </w:pPr>
      <w:r>
        <w:rPr/>
        <w:t>Name the functions or patterns you test first.</w:t>
      </w:r>
    </w:p>
    <w:p>
      <w:pPr>
        <w:pStyle w:val="ListBullet"/>
        <w:spacing w:before="0" w:after="100"/>
      </w:pPr>
      <w:r>
        <w:rPr/>
        <w:t>Say what you observe, with whom, in which situations, and how you evaluate the results.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formally accessible, but not usable for every mind</w:t>
      </w:r>
    </w:p>
    <w:p>
      <w:pPr>
        <w:spacing w:before="0" w:after="100"/>
      </w:pPr>
      <w:r>
        <w:rPr>
          <w:i/>
        </w:rPr>
        <w:t>Read once · about 2 min</w:t>
      </w:r>
    </w:p>
    <w:p>
      <w:pPr>
        <w:spacing w:before="0" w:after="100"/>
      </w:pPr>
      <w:r>
        <w:rPr/>
        <w:t>You take the perspective of the Chief Experience Officer of the organisation behind LifeGuide, which runs a website, a portal and an app. Its digital offers are formally accessible, but not yet usable enough for people with different cognitive and sensory needs. Complaints about overload, unclarity and reading difficulties are rising. Inside, people discuss whether extra options are enough or whether the base architecture of the product has to be rethought. The management expects a sound strategy for building neurodiverse requirements, inclusive design patterns, assistive technologies and testing systematically into the UX architecture. You are not to adapt single screens, but to develop a sound decision architecture for neurodiverse usability, inclusive standards, prototyping and test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13"/>
        <w:gridCol w:w="6525"/>
      </w:tblGrid>
      <w:tr>
        <w:trPr>
          <w:cantSplit/>
          <w:tblHeader/>
        </w:trPr>
        <w:tc>
          <w:tcPr>
            <w:tcW w:type="dxa" w:w="3113"/>
            <w:shd w:val="clear" w:color="auto" w:fill="E6ECF4"/>
          </w:tcPr>
          <w:p>
            <w:pPr>
              <w:spacing w:before="0" w:after="0"/>
            </w:pPr>
            <w:r>
              <w:rPr>
                <w:b/>
                <w:sz w:val="20"/>
              </w:rPr>
              <w:t>The framework</w:t>
            </w:r>
          </w:p>
        </w:tc>
        <w:tc>
          <w:tcPr>
            <w:tcW w:type="dxa" w:w="6525"/>
            <w:shd w:val="clear" w:color="auto" w:fill="E6ECF4"/>
          </w:tcPr>
          <w:p>
            <w:pPr>
              <w:spacing w:before="0" w:after="0"/>
            </w:pPr>
            <w:r>
              <w:rPr>
                <w:b/>
                <w:sz w:val="20"/>
              </w:rPr>
              <w:t>How the task runs · one block</w:t>
            </w:r>
          </w:p>
        </w:tc>
      </w:tr>
      <w:tr>
        <w:trPr>
          <w:cantSplit/>
        </w:trPr>
        <w:tc>
          <w:tcPr>
            <w:tcW w:type="dxa" w:w="3113"/>
          </w:tcPr>
          <w:p>
            <w:pPr>
              <w:spacing w:before="0" w:after="0"/>
            </w:pPr>
            <w:r>
              <w:rPr>
                <w:sz w:val="20"/>
              </w:rPr>
              <w:t>• The budget is limited</w:t>
            </w:r>
            <w:r>
              <w:br/>
            </w:r>
            <w:r>
              <w:rPr>
                <w:sz w:val="20"/>
              </w:rPr>
              <w:t>• Several stakeholders pursue different goals</w:t>
            </w:r>
            <w:r>
              <w:br/>
            </w:r>
            <w:r>
              <w:rPr>
                <w:sz w:val="20"/>
              </w:rPr>
              <w:t>• Not all systems can be adapted at the same time</w:t>
            </w:r>
            <w:r>
              <w:br/>
            </w:r>
            <w:r>
              <w:rPr>
                <w:sz w:val="20"/>
              </w:rPr>
              <w:t>• Data from specific user tests is patchy</w:t>
            </w:r>
            <w:r>
              <w:br/>
            </w:r>
            <w:r>
              <w:rPr>
                <w:sz w:val="20"/>
              </w:rPr>
              <w:t>• Legal, reputational and quality requirements are relevant</w:t>
            </w:r>
            <w:r>
              <w:br/>
            </w:r>
            <w:r>
              <w:rPr>
                <w:sz w:val="20"/>
              </w:rPr>
              <w:t>• First improvements must be visible at short notice</w:t>
            </w:r>
            <w:r>
              <w:br/>
            </w:r>
            <w:r>
              <w:rPr>
                <w:sz w:val="20"/>
              </w:rPr>
              <w:t>• Wrong decisions can increase exclusion, support effort and loss of trust</w:t>
            </w:r>
          </w:p>
        </w:tc>
        <w:tc>
          <w:tcPr>
            <w:tcW w:type="dxa" w:w="6525"/>
          </w:tcPr>
          <w:p>
            <w:pPr>
              <w:spacing w:before="0" w:after="0"/>
            </w:pPr>
            <w:r>
              <w:rPr>
                <w:sz w:val="20"/>
              </w:rPr>
              <w:t>• Block 3.1 asks seven questions: a guiding vision for neurodiverse UX,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53"/>
        <w:gridCol w:w="3426"/>
        <w:gridCol w:w="2759"/>
      </w:tblGrid>
      <w:tr>
        <w:trPr>
          <w:cantSplit/>
          <w:tblHeader/>
        </w:trPr>
        <w:tc>
          <w:tcPr>
            <w:tcW w:type="dxa" w:w="3453"/>
            <w:shd w:val="clear" w:color="auto" w:fill="E6ECF4"/>
          </w:tcPr>
          <w:p>
            <w:pPr>
              <w:spacing w:before="0" w:after="0"/>
            </w:pPr>
            <w:r>
              <w:rPr>
                <w:b/>
                <w:sz w:val="20"/>
              </w:rPr>
              <w:t>In the brief</w:t>
            </w:r>
          </w:p>
        </w:tc>
        <w:tc>
          <w:tcPr>
            <w:tcW w:type="dxa" w:w="3426"/>
            <w:shd w:val="clear" w:color="auto" w:fill="E6ECF4"/>
          </w:tcPr>
          <w:p>
            <w:pPr>
              <w:spacing w:before="0" w:after="0"/>
            </w:pPr>
            <w:r>
              <w:rPr>
                <w:b/>
                <w:sz w:val="20"/>
              </w:rPr>
              <w:t>Clear · Case assumption</w:t>
            </w:r>
          </w:p>
        </w:tc>
        <w:tc>
          <w:tcPr>
            <w:tcW w:type="dxa" w:w="2759"/>
            <w:shd w:val="clear" w:color="auto" w:fill="E6ECF4"/>
          </w:tcPr>
          <w:p>
            <w:pPr>
              <w:spacing w:before="0" w:after="0"/>
            </w:pPr>
            <w:r>
              <w:rPr>
                <w:b/>
                <w:sz w:val="20"/>
              </w:rPr>
              <w:t>Open · on purpose</w:t>
            </w:r>
          </w:p>
        </w:tc>
      </w:tr>
      <w:tr>
        <w:trPr>
          <w:cantSplit/>
        </w:trPr>
        <w:tc>
          <w:tcPr>
            <w:tcW w:type="dxa" w:w="3453"/>
          </w:tcPr>
          <w:p>
            <w:pPr>
              <w:spacing w:before="0" w:after="0"/>
            </w:pPr>
            <w:r>
              <w:rPr>
                <w:sz w:val="20"/>
              </w:rPr>
              <w:t>• A website, a portal and an app, formally accessible.</w:t>
            </w:r>
            <w:r>
              <w:br/>
            </w:r>
            <w:r>
              <w:rPr>
                <w:sz w:val="20"/>
              </w:rPr>
              <w:t>• Not usable enough for different cognitive and sensory needs; complaints about overload, unclarity and reading.</w:t>
            </w:r>
            <w:r>
              <w:br/>
            </w:r>
            <w:r>
              <w:rPr>
                <w:sz w:val="20"/>
              </w:rPr>
              <w:t>• An internal debate: extra options, or a new base architecture?</w:t>
            </w:r>
            <w:r>
              <w:br/>
            </w:r>
            <w:r>
              <w:rPr>
                <w:sz w:val="20"/>
              </w:rPr>
              <w:t>• First improvements must show soon; test data is patchy.</w:t>
            </w:r>
          </w:p>
        </w:tc>
        <w:tc>
          <w:tcPr>
            <w:tcW w:type="dxa" w:w="3426"/>
          </w:tcPr>
          <w:p>
            <w:pPr>
              <w:spacing w:before="0" w:after="0"/>
            </w:pPr>
            <w:r>
              <w:rPr>
                <w:sz w:val="20"/>
              </w:rPr>
              <w:t>• The organisation is the one behind LifeGuide in Route 1.</w:t>
            </w:r>
            <w:r>
              <w:br/>
            </w:r>
            <w:r>
              <w:rPr>
                <w:sz w:val="20"/>
              </w:rPr>
              <w:t>• Marketing wants the app to stay lively and branded; the product team proposes an “easy mode” switch as a quick win.</w:t>
            </w:r>
            <w:r>
              <w:br/>
            </w:r>
            <w:r>
              <w:rPr>
                <w:sz w:val="20"/>
              </w:rPr>
              <w:t>• A design system exists, but nobody owns it, and each product changes it.</w:t>
            </w:r>
          </w:p>
        </w:tc>
        <w:tc>
          <w:tcPr>
            <w:tcW w:type="dxa" w:w="2759"/>
          </w:tcPr>
          <w:p>
            <w:pPr>
              <w:spacing w:before="0" w:after="0"/>
            </w:pPr>
            <w:r>
              <w:rPr>
                <w:sz w:val="20"/>
              </w:rPr>
              <w:t>• How large the budget is: “limited” is all the plan says.</w:t>
            </w:r>
            <w:r>
              <w:br/>
            </w:r>
            <w:r>
              <w:rPr>
                <w:sz w:val="20"/>
              </w:rPr>
              <w:t>• Which users struggle most: complaints are not sorted, and many users have no diagnosis.</w:t>
            </w:r>
            <w:r>
              <w:br/>
            </w:r>
            <w:r>
              <w:rPr>
                <w:sz w:val="20"/>
              </w:rPr>
              <w:t>• Whether an “easy mode” would be found and used: never tested.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an organisation with a website, a portal and an app, formally accessible but not usable enough for different cognitive and sensory needs, rising complaints about overload, unclarity and reading difficulties, a debate about extra options against a new base architecture, a limited budget, several stakeholders, not all systems at once, patchy test data, legal, reputational and quality requirements, first improvements soon, and the warning that wrong decisions can increase exclusion, support effort and loss of trust. Those are the plan's facts. That the organisation is the one behind LifeGuide and the facts marked “Clear” are made up for this exercise.</w:t>
            </w:r>
          </w:p>
        </w:tc>
      </w:tr>
    </w:tbl>
    <w:p>
      <w:pPr>
        <w:spacing w:before="0" w:after="80"/>
      </w:pPr>
    </w:p>
    <w:p>
      <w:pPr>
        <w:spacing w:before="0" w:after="100"/>
      </w:pPr>
      <w:r>
        <w:rPr>
          <w:i/>
        </w:rPr>
        <w:t>The memo is addressed to: The management. Subject: A UX architecture for neurodiverse and adaptive use.</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UX architecture for neurodiverse and adaptive use · JUDGED · Core · about 20 min</w:t>
      </w:r>
    </w:p>
    <w:p>
      <w:pPr>
        <w:spacing w:before="0" w:after="100"/>
      </w:pPr>
      <w:r>
        <w:rPr>
          <w:b/>
        </w:rPr>
        <w:t>Draws on:</w:t>
      </w:r>
      <w:r>
        <w:rPr/>
        <w:t xml:space="preserve"> B1 · Neurodiverse UX as better base architecture, not a special case · B2 · One standard or many modes · B3 · Who owns it, how it is tested, and deciding with patchy data.</w:t>
      </w:r>
    </w:p>
    <w:p>
      <w:pPr>
        <w:spacing w:before="0" w:after="100"/>
      </w:pPr>
      <w:r>
        <w:rPr/>
        <w:t>Develop a strategic concept for the organisation. Your desk holds what the management, marketing, the product team, the design system team, user research and the support team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3_b3-1_0-8fade67594f6.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3_b3-1_1-5b2a77c1116c.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3_b3-1_2-3a6d3aa61b99.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3_b3-1_3-1e120e56dff2.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3_b3-1_4-e3e42cd70aae.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3_b3-1_5-9762bf940706.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3_b3-1_6-3b536db220cb.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3_b3-1_7-e83f4b9ce720.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3_b3-1_8-f09512064795.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3_b3-1_9-c9782b588668.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3_b3-1_10-6d17f657c9ee.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3_b3-1_11-528a33eb233d.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3_b3-1_12-7a1ebaf60164.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3_b3-1_13-f4442b7697c8.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(3 of 3).</w:t>
      </w:r>
    </w:p>
    <w:p>
      <w:pPr>
        <w:spacing w:before="0" w:after="100"/>
      </w:pPr>
      <w:r>
        <w:rPr>
          <w:b/>
        </w:rPr>
        <w:t>Question 1 of 7 · A guiding vision for neurodiverse UX: which form of relief, predictability, readability and adaptability should be guaranteed systematically?</w:t>
      </w:r>
    </w:p>
    <w:p>
      <w:pPr>
        <w:spacing w:before="0" w:after="100"/>
      </w:pPr>
      <w:r>
        <w:rPr/>
        <w:t>One or two sentences about the relief, the predictability, the readability and the adaptability every product gives.</w:t>
      </w:r>
    </w:p>
    <w:p>
      <w:pPr>
        <w:spacing w:before="0" w:after="100"/>
      </w:pPr>
      <w:r>
        <w:rPr>
          <w:i/>
        </w:rPr>
        <w:t>How to build the answer:</w:t>
      </w:r>
    </w:p>
    <w:p>
      <w:pPr>
        <w:pStyle w:val="ListBullet"/>
        <w:spacing w:before="0" w:after="40"/>
      </w:pPr>
      <w:r>
        <w:rPr/>
        <w:t>Say what relief every product gives: calm, one thing at a time.</w:t>
      </w:r>
    </w:p>
    <w:p>
      <w:pPr>
        <w:pStyle w:val="ListBullet"/>
        <w:spacing w:before="0" w:after="100"/>
      </w:pPr>
      <w:r>
        <w:rPr/>
        <w:t>Say what predictability and readability mean, and how people can adapt 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base architecture, inclusive design patterns, assistive technologies, adaptation modes and test strategy</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journeys, components or product areas are improved first, and why?</w:t>
      </w:r>
    </w:p>
    <w:p>
      <w:pPr>
        <w:spacing w:before="0" w:after="100"/>
      </w:pPr>
      <w:r>
        <w:rPr/>
        <w:t>Put the journeys, components or product areas in an order and give the reason for the first ones.</w:t>
      </w:r>
    </w:p>
    <w:p>
      <w:pPr>
        <w:spacing w:before="0" w:after="100"/>
      </w:pPr>
      <w:r>
        <w:rPr>
          <w:i/>
        </w:rPr>
        <w:t>How to build the answer:</w:t>
      </w:r>
    </w:p>
    <w:p>
      <w:pPr>
        <w:pStyle w:val="ListBullet"/>
        <w:spacing w:before="0" w:after="40"/>
      </w:pPr>
      <w:r>
        <w:rPr/>
        <w:t>List the candidates: the start pages, the navigation, the forms component, the booking journey, the app's home, the content and texts, the modes.</w:t>
      </w:r>
    </w:p>
    <w:p>
      <w:pPr>
        <w:pStyle w:val="ListBullet"/>
        <w:spacing w:before="0" w:after="40"/>
      </w:pPr>
      <w:r>
        <w:rPr/>
        <w:t>Put first what every product uses and what people in stress meet first.</w:t>
      </w:r>
    </w:p>
    <w:p>
      <w:pPr>
        <w:pStyle w:val="ListBullet"/>
        <w:spacing w:before="0" w:after="100"/>
      </w:pPr>
      <w:r>
        <w:rPr/>
        <w:t>Say why the others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diversity, standardisation and economic viability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the users.</w:t>
      </w:r>
    </w:p>
    <w:p>
      <w:pPr>
        <w:pStyle w:val="ListBullet"/>
        <w:spacing w:before="0" w:after="40"/>
      </w:pPr>
      <w:r>
        <w:rPr/>
        <w:t>Write down what it assumes about one standard for all.</w:t>
      </w:r>
    </w:p>
    <w:p>
      <w:pPr>
        <w:pStyle w:val="ListBullet"/>
        <w:spacing w:before="0" w:after="100"/>
      </w:pPr>
      <w:r>
        <w:rPr/>
        <w:t>Write down what it assumes about cost and benefit.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neurodiverse UX principles, and how are conflicts between brand, technology, product logic and inclusion decided?</w:t>
      </w:r>
    </w:p>
    <w:p>
      <w:pPr>
        <w:spacing w:before="0" w:after="100"/>
      </w:pPr>
      <w:r>
        <w:rPr/>
        <w:t>Name roles, not people: who owns the principles and the patterns, who sets the test strategy, the roles of marketing, the product teams and the design system team, and how a conflict is decided.</w:t>
      </w:r>
    </w:p>
    <w:p>
      <w:pPr>
        <w:spacing w:before="0" w:after="100"/>
      </w:pPr>
      <w:r>
        <w:rPr>
          <w:i/>
        </w:rPr>
        <w:t>How to build the answer:</w:t>
      </w:r>
    </w:p>
    <w:p>
      <w:pPr>
        <w:pStyle w:val="ListBullet"/>
        <w:spacing w:before="0" w:after="40"/>
      </w:pPr>
      <w:r>
        <w:rPr/>
        <w:t>Name who owns the neurodiverse UX principles and the inclusive patterns.</w:t>
      </w:r>
    </w:p>
    <w:p>
      <w:pPr>
        <w:pStyle w:val="ListBullet"/>
        <w:spacing w:before="0" w:after="40"/>
      </w:pPr>
      <w:r>
        <w:rPr/>
        <w:t>Say who sets the test strategy and how it is checked in every release.</w:t>
      </w:r>
    </w:p>
    <w:p>
      <w:pPr>
        <w:pStyle w:val="ListBullet"/>
        <w:spacing w:before="0" w:after="100"/>
      </w:pPr>
      <w:r>
        <w:rPr/>
        <w:t>Say how a conflict between brand, technology, product logic and inclusion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test and usage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69"/>
        <w:gridCol w:w="3391"/>
        <w:gridCol w:w="2278"/>
      </w:tblGrid>
      <w:tr>
        <w:trPr>
          <w:cantSplit/>
          <w:tblHeader/>
        </w:trPr>
        <w:tc>
          <w:tcPr>
            <w:tcW w:type="dxa" w:w="3969"/>
            <w:shd w:val="clear" w:color="auto" w:fill="E6ECF4"/>
          </w:tcPr>
          <w:p>
            <w:pPr>
              <w:spacing w:before="0" w:after="0"/>
            </w:pPr>
            <w:r>
              <w:rPr>
                <w:b/>
                <w:sz w:val="20"/>
              </w:rPr>
              <w:t>Part of the worksheet</w:t>
            </w:r>
          </w:p>
        </w:tc>
        <w:tc>
          <w:tcPr>
            <w:tcW w:type="dxa" w:w="3391"/>
            <w:shd w:val="clear" w:color="auto" w:fill="E6ECF4"/>
          </w:tcPr>
          <w:p>
            <w:pPr>
              <w:spacing w:before="0" w:after="0"/>
            </w:pPr>
            <w:r>
              <w:rPr>
                <w:b/>
                <w:sz w:val="20"/>
              </w:rPr>
              <w:t>Presentation (shown in the Neuro-UX Lab)</w:t>
            </w:r>
          </w:p>
        </w:tc>
        <w:tc>
          <w:tcPr>
            <w:tcW w:type="dxa" w:w="2278"/>
            <w:shd w:val="clear" w:color="auto" w:fill="E6ECF4"/>
          </w:tcPr>
          <w:p>
            <w:pPr>
              <w:spacing w:before="0" w:after="0"/>
            </w:pPr>
            <w:r>
              <w:rPr>
                <w:b/>
                <w:sz w:val="20"/>
              </w:rPr>
              <w:t>Handout</w:t>
            </w:r>
          </w:p>
        </w:tc>
      </w:tr>
      <w:tr>
        <w:trPr>
          <w:cantSplit/>
        </w:trPr>
        <w:tc>
          <w:tcPr>
            <w:tcW w:type="dxa" w:w="3969"/>
          </w:tcPr>
          <w:p>
            <w:pPr>
              <w:spacing w:before="0" w:after="0"/>
            </w:pPr>
            <w:r>
              <w:rPr>
                <w:sz w:val="20"/>
              </w:rPr>
              <w:t>The case: two platforms on the UX team's desk, and LifeGuide</w:t>
            </w:r>
          </w:p>
        </w:tc>
        <w:tc>
          <w:tcPr>
            <w:tcW w:type="dxa" w:w="3391"/>
          </w:tcPr>
          <w:p>
            <w:pPr>
              <w:spacing w:before="0" w:after="0"/>
            </w:pPr>
            <w:r>
              <w:rPr>
                <w:sz w:val="20"/>
              </w:rPr>
              <w:t>The case read aloud or on screen</w:t>
            </w:r>
          </w:p>
        </w:tc>
        <w:tc>
          <w:tcPr>
            <w:tcW w:type="dxa" w:w="2278"/>
          </w:tcPr>
          <w:p>
            <w:pPr>
              <w:spacing w:before="0" w:after="0"/>
            </w:pPr>
            <w:r>
              <w:rPr>
                <w:sz w:val="20"/>
              </w:rPr>
              <w:t>The case text</w:t>
            </w:r>
          </w:p>
        </w:tc>
      </w:tr>
      <w:tr>
        <w:trPr>
          <w:cantSplit/>
        </w:trPr>
        <w:tc>
          <w:tcPr>
            <w:tcW w:type="dxa" w:w="3969"/>
          </w:tcPr>
          <w:p>
            <w:pPr>
              <w:spacing w:before="0" w:after="0"/>
            </w:pPr>
            <w:r>
              <w:rPr>
                <w:sz w:val="20"/>
              </w:rPr>
              <w:t>Block 1.1 · Recognise neurodiverse hurdles in an interface: StudyPath</w:t>
            </w:r>
          </w:p>
        </w:tc>
        <w:tc>
          <w:tcPr>
            <w:tcW w:type="dxa" w:w="3391"/>
          </w:tcPr>
          <w:p>
            <w:pPr>
              <w:spacing w:before="0" w:after="0"/>
            </w:pPr>
            <w:r>
              <w:rPr>
                <w:sz w:val="20"/>
              </w:rPr>
              <w:t>The task wording at the start of the block (no answers are shown)</w:t>
            </w:r>
          </w:p>
        </w:tc>
        <w:tc>
          <w:tcPr>
            <w:tcW w:type="dxa" w:w="2278"/>
          </w:tcPr>
          <w:p>
            <w:pPr>
              <w:spacing w:before="0" w:after="0"/>
            </w:pPr>
            <w:r>
              <w:rPr>
                <w:sz w:val="20"/>
              </w:rPr>
              <w:t>Worksheet block with answer boxes (Core)</w:t>
            </w:r>
          </w:p>
        </w:tc>
      </w:tr>
      <w:tr>
        <w:trPr>
          <w:cantSplit/>
        </w:trPr>
        <w:tc>
          <w:tcPr>
            <w:tcW w:type="dxa" w:w="3969"/>
          </w:tcPr>
          <w:p>
            <w:pPr>
              <w:spacing w:before="0" w:after="0"/>
            </w:pPr>
            <w:r>
              <w:rPr>
                <w:sz w:val="20"/>
              </w:rPr>
              <w:t>Block 1.2 · Rate inclusive design approaches under conflicting goals: JobAccess</w:t>
            </w:r>
          </w:p>
        </w:tc>
        <w:tc>
          <w:tcPr>
            <w:tcW w:type="dxa" w:w="3391"/>
          </w:tcPr>
          <w:p>
            <w:pPr>
              <w:spacing w:before="0" w:after="0"/>
            </w:pPr>
            <w:r>
              <w:rPr>
                <w:sz w:val="20"/>
              </w:rPr>
              <w:t>The task wording at the start of the block (no answers are shown)</w:t>
            </w:r>
          </w:p>
        </w:tc>
        <w:tc>
          <w:tcPr>
            <w:tcW w:type="dxa" w:w="2278"/>
          </w:tcPr>
          <w:p>
            <w:pPr>
              <w:spacing w:before="0" w:after="0"/>
            </w:pPr>
            <w:r>
              <w:rPr>
                <w:sz w:val="20"/>
              </w:rPr>
              <w:t>Worksheet block with answer boxes (Core)</w:t>
            </w:r>
          </w:p>
        </w:tc>
      </w:tr>
      <w:tr>
        <w:trPr>
          <w:cantSplit/>
        </w:trPr>
        <w:tc>
          <w:tcPr>
            <w:tcW w:type="dxa" w:w="3969"/>
          </w:tcPr>
          <w:p>
            <w:pPr>
              <w:spacing w:before="0" w:after="0"/>
            </w:pPr>
            <w:r>
              <w:rPr>
                <w:sz w:val="20"/>
              </w:rPr>
              <w:t>Block 2.1 · Case study: an inclusive prototype for the service portal LifeGuide</w:t>
            </w:r>
          </w:p>
        </w:tc>
        <w:tc>
          <w:tcPr>
            <w:tcW w:type="dxa" w:w="3391"/>
          </w:tcPr>
          <w:p>
            <w:pPr>
              <w:spacing w:before="0" w:after="0"/>
            </w:pPr>
            <w:r>
              <w:rPr>
                <w:sz w:val="20"/>
              </w:rPr>
              <w:t>The task wording at the start of the block (no answers are shown)</w:t>
            </w:r>
          </w:p>
        </w:tc>
        <w:tc>
          <w:tcPr>
            <w:tcW w:type="dxa" w:w="2278"/>
          </w:tcPr>
          <w:p>
            <w:pPr>
              <w:spacing w:before="0" w:after="0"/>
            </w:pPr>
            <w:r>
              <w:rPr>
                <w:sz w:val="20"/>
              </w:rPr>
              <w:t>Worksheet block with answer boxes (Core)</w:t>
            </w:r>
          </w:p>
        </w:tc>
      </w:tr>
      <w:tr>
        <w:trPr>
          <w:cantSplit/>
        </w:trPr>
        <w:tc>
          <w:tcPr>
            <w:tcW w:type="dxa" w:w="3969"/>
          </w:tcPr>
          <w:p>
            <w:pPr>
              <w:spacing w:before="0" w:after="0"/>
            </w:pPr>
            <w:r>
              <w:rPr>
                <w:sz w:val="20"/>
              </w:rPr>
              <w:t>The situation: formally accessible, but not usable for every mind</w:t>
            </w:r>
          </w:p>
        </w:tc>
        <w:tc>
          <w:tcPr>
            <w:tcW w:type="dxa" w:w="3391"/>
          </w:tcPr>
          <w:p>
            <w:pPr>
              <w:spacing w:before="0" w:after="0"/>
            </w:pPr>
            <w:r>
              <w:rPr>
                <w:sz w:val="20"/>
              </w:rPr>
              <w:t>The case read aloud or on screen</w:t>
            </w:r>
          </w:p>
        </w:tc>
        <w:tc>
          <w:tcPr>
            <w:tcW w:type="dxa" w:w="2278"/>
          </w:tcPr>
          <w:p>
            <w:pPr>
              <w:spacing w:before="0" w:after="0"/>
            </w:pPr>
            <w:r>
              <w:rPr>
                <w:sz w:val="20"/>
              </w:rPr>
              <w:t>The case text</w:t>
            </w:r>
          </w:p>
        </w:tc>
      </w:tr>
      <w:tr>
        <w:trPr>
          <w:cantSplit/>
        </w:trPr>
        <w:tc>
          <w:tcPr>
            <w:tcW w:type="dxa" w:w="3969"/>
          </w:tcPr>
          <w:p>
            <w:pPr>
              <w:spacing w:before="0" w:after="0"/>
            </w:pPr>
            <w:r>
              <w:rPr>
                <w:sz w:val="20"/>
              </w:rPr>
              <w:t>Block 3.1 · A strategic UX architecture for neurodiverse and adaptive use</w:t>
            </w:r>
          </w:p>
        </w:tc>
        <w:tc>
          <w:tcPr>
            <w:tcW w:type="dxa" w:w="3391"/>
          </w:tcPr>
          <w:p>
            <w:pPr>
              <w:spacing w:before="0" w:after="0"/>
            </w:pPr>
            <w:r>
              <w:rPr>
                <w:sz w:val="20"/>
              </w:rPr>
              <w:t>The task wording at the start of the block (no answers are shown)</w:t>
            </w:r>
          </w:p>
        </w:tc>
        <w:tc>
          <w:tcPr>
            <w:tcW w:type="dxa" w:w="2278"/>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61"/>
        <w:gridCol w:w="5329"/>
        <w:gridCol w:w="1344"/>
        <w:gridCol w:w="904"/>
      </w:tblGrid>
      <w:tr>
        <w:trPr>
          <w:cantSplit/>
          <w:tblHeader/>
        </w:trPr>
        <w:tc>
          <w:tcPr>
            <w:tcW w:type="dxa" w:w="2061"/>
            <w:shd w:val="clear" w:color="auto" w:fill="E6ECF4"/>
          </w:tcPr>
          <w:p>
            <w:pPr>
              <w:spacing w:before="0" w:after="0"/>
            </w:pPr>
            <w:r>
              <w:rPr>
                <w:b/>
                <w:sz w:val="19"/>
              </w:rPr>
              <w:t>Term</w:t>
            </w:r>
          </w:p>
        </w:tc>
        <w:tc>
          <w:tcPr>
            <w:tcW w:type="dxa" w:w="5329"/>
            <w:shd w:val="clear" w:color="auto" w:fill="E6ECF4"/>
          </w:tcPr>
          <w:p>
            <w:pPr>
              <w:spacing w:before="0" w:after="0"/>
            </w:pPr>
            <w:r>
              <w:rPr>
                <w:b/>
                <w:sz w:val="19"/>
              </w:rPr>
              <w:t>In plain words</w:t>
            </w:r>
          </w:p>
        </w:tc>
        <w:tc>
          <w:tcPr>
            <w:tcW w:type="dxa" w:w="1344"/>
            <w:shd w:val="clear" w:color="auto" w:fill="E6ECF4"/>
          </w:tcPr>
          <w:p>
            <w:pPr>
              <w:spacing w:before="0" w:after="0"/>
            </w:pPr>
            <w:r>
              <w:rPr>
                <w:b/>
                <w:sz w:val="19"/>
              </w:rPr>
              <w:t>Example</w:t>
            </w:r>
          </w:p>
        </w:tc>
        <w:tc>
          <w:tcPr>
            <w:tcW w:type="dxa" w:w="904"/>
            <w:shd w:val="clear" w:color="auto" w:fill="E6ECF4"/>
          </w:tcPr>
          <w:p>
            <w:pPr>
              <w:spacing w:before="0" w:after="0"/>
            </w:pPr>
            <w:r>
              <w:rPr>
                <w:b/>
                <w:sz w:val="19"/>
              </w:rPr>
              <w:t>Comes from</w:t>
            </w:r>
          </w:p>
        </w:tc>
      </w:tr>
      <w:tr>
        <w:trPr>
          <w:cantSplit/>
        </w:trPr>
        <w:tc>
          <w:tcPr>
            <w:tcW w:type="dxa" w:w="2061"/>
          </w:tcPr>
          <w:p>
            <w:pPr>
              <w:spacing w:before="0" w:after="0"/>
            </w:pPr>
            <w:r>
              <w:rPr>
                <w:b/>
                <w:sz w:val="19"/>
              </w:rPr>
              <w:t>Accessibility</w:t>
            </w:r>
          </w:p>
        </w:tc>
        <w:tc>
          <w:tcPr>
            <w:tcW w:type="dxa" w:w="5329"/>
          </w:tcPr>
          <w:p>
            <w:pPr>
              <w:spacing w:before="0" w:after="0"/>
            </w:pPr>
            <w:r>
              <w:rPr>
                <w:sz w:val="19"/>
              </w:rPr>
              <w:t>Designing so that everyone can use a product, also people who see less well, see colours differently, or use a keyboard or a screen reader.</w:t>
            </w:r>
          </w:p>
        </w:tc>
        <w:tc>
          <w:tcPr>
            <w:tcW w:type="dxa" w:w="1344"/>
          </w:tcPr>
          <w:p>
            <w:pPr>
              <w:spacing w:before="0" w:after="0"/>
            </w:pPr>
            <w:r>
              <w:rPr>
                <w:sz w:val="19"/>
              </w:rPr>
              <w:t>—</w:t>
            </w:r>
          </w:p>
        </w:tc>
        <w:tc>
          <w:tcPr>
            <w:tcW w:type="dxa" w:w="904"/>
          </w:tcPr>
          <w:p>
            <w:pPr>
              <w:spacing w:before="0" w:after="0"/>
            </w:pPr>
            <w:r>
              <w:rPr>
                <w:sz w:val="19"/>
              </w:rPr>
              <w:t>Day 3</w:t>
            </w:r>
          </w:p>
        </w:tc>
      </w:tr>
      <w:tr>
        <w:trPr>
          <w:cantSplit/>
        </w:trPr>
        <w:tc>
          <w:tcPr>
            <w:tcW w:type="dxa" w:w="2061"/>
          </w:tcPr>
          <w:p>
            <w:pPr>
              <w:spacing w:before="0" w:after="0"/>
            </w:pPr>
            <w:r>
              <w:rPr>
                <w:b/>
                <w:sz w:val="19"/>
              </w:rPr>
              <w:t>Adaptation mode</w:t>
            </w:r>
          </w:p>
        </w:tc>
        <w:tc>
          <w:tcPr>
            <w:tcW w:type="dxa" w:w="5329"/>
          </w:tcPr>
          <w:p>
            <w:pPr>
              <w:spacing w:before="0" w:after="0"/>
            </w:pPr>
            <w:r>
              <w:rPr>
                <w:sz w:val="19"/>
              </w:rPr>
              <w:t>An optional setting that changes how a product looks or behaves for someone's needs, such as fewer stimuli, a reading mode or a simplified view; it works best on top of a good default.</w:t>
            </w:r>
          </w:p>
        </w:tc>
        <w:tc>
          <w:tcPr>
            <w:tcW w:type="dxa" w:w="1344"/>
          </w:tcPr>
          <w:p>
            <w:pPr>
              <w:spacing w:before="0" w:after="0"/>
            </w:pPr>
            <w:r>
              <w:rPr>
                <w:sz w:val="19"/>
              </w:rPr>
              <w:t>—</w:t>
            </w:r>
          </w:p>
        </w:tc>
        <w:tc>
          <w:tcPr>
            <w:tcW w:type="dxa" w:w="904"/>
          </w:tcPr>
          <w:p>
            <w:pPr>
              <w:spacing w:before="0" w:after="0"/>
            </w:pPr>
            <w:r>
              <w:rPr>
                <w:sz w:val="19"/>
              </w:rPr>
              <w:t>Day 13</w:t>
            </w:r>
          </w:p>
        </w:tc>
      </w:tr>
      <w:tr>
        <w:trPr>
          <w:cantSplit/>
        </w:trPr>
        <w:tc>
          <w:tcPr>
            <w:tcW w:type="dxa" w:w="2061"/>
          </w:tcPr>
          <w:p>
            <w:pPr>
              <w:spacing w:before="0" w:after="0"/>
            </w:pPr>
            <w:r>
              <w:rPr>
                <w:b/>
                <w:sz w:val="19"/>
              </w:rPr>
              <w:t>ADHD</w:t>
            </w:r>
          </w:p>
        </w:tc>
        <w:tc>
          <w:tcPr>
            <w:tcW w:type="dxa" w:w="5329"/>
          </w:tcPr>
          <w:p>
            <w:pPr>
              <w:spacing w:before="0" w:after="0"/>
            </w:pPr>
            <w:r>
              <w:rPr>
                <w:sz w:val="19"/>
              </w:rPr>
              <w:t>Attention deficit hyperactivity disorder: a different way of directing attention and controlling impulses; busy pages, distractions and long unstructured tasks are especially hard.</w:t>
            </w:r>
          </w:p>
        </w:tc>
        <w:tc>
          <w:tcPr>
            <w:tcW w:type="dxa" w:w="1344"/>
          </w:tcPr>
          <w:p>
            <w:pPr>
              <w:spacing w:before="0" w:after="0"/>
            </w:pPr>
            <w:r>
              <w:rPr>
                <w:sz w:val="19"/>
              </w:rPr>
              <w:t>—</w:t>
            </w:r>
          </w:p>
        </w:tc>
        <w:tc>
          <w:tcPr>
            <w:tcW w:type="dxa" w:w="904"/>
          </w:tcPr>
          <w:p>
            <w:pPr>
              <w:spacing w:before="0" w:after="0"/>
            </w:pPr>
            <w:r>
              <w:rPr>
                <w:sz w:val="19"/>
              </w:rPr>
              <w:t>Day 13</w:t>
            </w:r>
          </w:p>
        </w:tc>
      </w:tr>
      <w:tr>
        <w:trPr>
          <w:cantSplit/>
        </w:trPr>
        <w:tc>
          <w:tcPr>
            <w:tcW w:type="dxa" w:w="2061"/>
          </w:tcPr>
          <w:p>
            <w:pPr>
              <w:spacing w:before="0" w:after="0"/>
            </w:pPr>
            <w:r>
              <w:rPr>
                <w:b/>
                <w:sz w:val="19"/>
              </w:rPr>
              <w:t>Assistive technology</w:t>
            </w:r>
          </w:p>
        </w:tc>
        <w:tc>
          <w:tcPr>
            <w:tcW w:type="dxa" w:w="5329"/>
          </w:tcPr>
          <w:p>
            <w:pPr>
              <w:spacing w:before="0" w:after="0"/>
            </w:pPr>
            <w:r>
              <w:rPr>
                <w:sz w:val="19"/>
              </w:rPr>
              <w:t>Tools people use to operate digital products, such as a screen reader that reads the screen aloud, a magnifier, a switch or voice control.</w:t>
            </w:r>
          </w:p>
        </w:tc>
        <w:tc>
          <w:tcPr>
            <w:tcW w:type="dxa" w:w="1344"/>
          </w:tcPr>
          <w:p>
            <w:pPr>
              <w:spacing w:before="0" w:after="0"/>
            </w:pPr>
            <w:r>
              <w:rPr>
                <w:sz w:val="19"/>
              </w:rPr>
              <w:t>—</w:t>
            </w:r>
          </w:p>
        </w:tc>
        <w:tc>
          <w:tcPr>
            <w:tcW w:type="dxa" w:w="904"/>
          </w:tcPr>
          <w:p>
            <w:pPr>
              <w:spacing w:before="0" w:after="0"/>
            </w:pPr>
            <w:r>
              <w:rPr>
                <w:sz w:val="19"/>
              </w:rPr>
              <w:t>Day 12</w:t>
            </w:r>
          </w:p>
        </w:tc>
      </w:tr>
      <w:tr>
        <w:trPr>
          <w:cantSplit/>
        </w:trPr>
        <w:tc>
          <w:tcPr>
            <w:tcW w:type="dxa" w:w="2061"/>
          </w:tcPr>
          <w:p>
            <w:pPr>
              <w:spacing w:before="0" w:after="0"/>
            </w:pPr>
            <w:r>
              <w:rPr>
                <w:b/>
                <w:sz w:val="19"/>
              </w:rPr>
              <w:t>Attention</w:t>
            </w:r>
          </w:p>
        </w:tc>
        <w:tc>
          <w:tcPr>
            <w:tcW w:type="dxa" w:w="5329"/>
          </w:tcPr>
          <w:p>
            <w:pPr>
              <w:spacing w:before="0" w:after="0"/>
            </w:pPr>
            <w:r>
              <w:rPr>
                <w:sz w:val="19"/>
              </w:rPr>
              <w:t>The mind's spotlight. Only a small part of a screen is processed at any moment; attention decides which part.</w:t>
            </w:r>
          </w:p>
        </w:tc>
        <w:tc>
          <w:tcPr>
            <w:tcW w:type="dxa" w:w="1344"/>
          </w:tcPr>
          <w:p>
            <w:pPr>
              <w:spacing w:before="0" w:after="0"/>
            </w:pPr>
            <w:r>
              <w:rPr>
                <w:sz w:val="19"/>
              </w:rPr>
              <w:t>A flashing banner takes attention away from the form you were filling in.</w:t>
            </w:r>
          </w:p>
        </w:tc>
        <w:tc>
          <w:tcPr>
            <w:tcW w:type="dxa" w:w="904"/>
          </w:tcPr>
          <w:p>
            <w:pPr>
              <w:spacing w:before="0" w:after="0"/>
            </w:pPr>
            <w:r>
              <w:rPr>
                <w:sz w:val="19"/>
              </w:rPr>
              <w:t>Day 1</w:t>
            </w:r>
          </w:p>
        </w:tc>
      </w:tr>
      <w:tr>
        <w:trPr>
          <w:cantSplit/>
        </w:trPr>
        <w:tc>
          <w:tcPr>
            <w:tcW w:type="dxa" w:w="2061"/>
          </w:tcPr>
          <w:p>
            <w:pPr>
              <w:spacing w:before="0" w:after="0"/>
            </w:pPr>
            <w:r>
              <w:rPr>
                <w:b/>
                <w:sz w:val="19"/>
              </w:rPr>
              <w:t>Autism</w:t>
            </w:r>
          </w:p>
        </w:tc>
        <w:tc>
          <w:tcPr>
            <w:tcW w:type="dxa" w:w="5329"/>
          </w:tcPr>
          <w:p>
            <w:pPr>
              <w:spacing w:before="0" w:after="0"/>
            </w:pPr>
            <w:r>
              <w:rPr>
                <w:sz w:val="19"/>
              </w:rPr>
              <w:t>A different way of perceiving and processing; inconsistent patterns, ambiguous words and sensory overload are especially hard, predictability helps.</w:t>
            </w:r>
          </w:p>
        </w:tc>
        <w:tc>
          <w:tcPr>
            <w:tcW w:type="dxa" w:w="1344"/>
          </w:tcPr>
          <w:p>
            <w:pPr>
              <w:spacing w:before="0" w:after="0"/>
            </w:pPr>
            <w:r>
              <w:rPr>
                <w:sz w:val="19"/>
              </w:rPr>
              <w:t>—</w:t>
            </w:r>
          </w:p>
        </w:tc>
        <w:tc>
          <w:tcPr>
            <w:tcW w:type="dxa" w:w="904"/>
          </w:tcPr>
          <w:p>
            <w:pPr>
              <w:spacing w:before="0" w:after="0"/>
            </w:pPr>
            <w:r>
              <w:rPr>
                <w:sz w:val="19"/>
              </w:rPr>
              <w:t>Day 13</w:t>
            </w:r>
          </w:p>
        </w:tc>
      </w:tr>
      <w:tr>
        <w:trPr>
          <w:cantSplit/>
        </w:trPr>
        <w:tc>
          <w:tcPr>
            <w:tcW w:type="dxa" w:w="2061"/>
          </w:tcPr>
          <w:p>
            <w:pPr>
              <w:spacing w:before="0" w:after="0"/>
            </w:pPr>
            <w:r>
              <w:rPr>
                <w:b/>
                <w:sz w:val="19"/>
              </w:rPr>
              <w:t>Brand effect</w:t>
            </w:r>
          </w:p>
        </w:tc>
        <w:tc>
          <w:tcPr>
            <w:tcW w:type="dxa" w:w="5329"/>
          </w:tcPr>
          <w:p>
            <w:pPr>
              <w:spacing w:before="0" w:after="0"/>
            </w:pPr>
            <w:r>
              <w:rPr>
                <w:sz w:val="19"/>
              </w:rPr>
              <w:t>How a design makes people recognise the company and what they feel about it, such as modern, serious or friendly.</w:t>
            </w:r>
          </w:p>
        </w:tc>
        <w:tc>
          <w:tcPr>
            <w:tcW w:type="dxa" w:w="1344"/>
          </w:tcPr>
          <w:p>
            <w:pPr>
              <w:spacing w:before="0" w:after="0"/>
            </w:pPr>
            <w:r>
              <w:rPr>
                <w:sz w:val="19"/>
              </w:rPr>
              <w:t>—</w:t>
            </w:r>
          </w:p>
        </w:tc>
        <w:tc>
          <w:tcPr>
            <w:tcW w:type="dxa" w:w="904"/>
          </w:tcPr>
          <w:p>
            <w:pPr>
              <w:spacing w:before="0" w:after="0"/>
            </w:pPr>
            <w:r>
              <w:rPr>
                <w:sz w:val="19"/>
              </w:rPr>
              <w:t>Day 3</w:t>
            </w:r>
          </w:p>
        </w:tc>
      </w:tr>
      <w:tr>
        <w:trPr>
          <w:cantSplit/>
        </w:trPr>
        <w:tc>
          <w:tcPr>
            <w:tcW w:type="dxa" w:w="2061"/>
          </w:tcPr>
          <w:p>
            <w:pPr>
              <w:spacing w:before="0" w:after="0"/>
            </w:pPr>
            <w:r>
              <w:rPr>
                <w:b/>
                <w:sz w:val="19"/>
              </w:rPr>
              <w:t>Case assumption</w:t>
            </w:r>
          </w:p>
        </w:tc>
        <w:tc>
          <w:tcPr>
            <w:tcW w:type="dxa" w:w="5329"/>
          </w:tcPr>
          <w:p>
            <w:pPr>
              <w:spacing w:before="0" w:after="0"/>
            </w:pPr>
            <w:r>
              <w:rPr>
                <w:sz w:val="19"/>
              </w:rPr>
              <w:t>A fact made up for this exercise to fill a gap in the plan's case. It is marked so you know it is not part of the plan.</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Chief Experience Officer</w:t>
            </w:r>
          </w:p>
        </w:tc>
        <w:tc>
          <w:tcPr>
            <w:tcW w:type="dxa" w:w="5329"/>
          </w:tcPr>
          <w:p>
            <w:pPr>
              <w:spacing w:before="0" w:after="0"/>
            </w:pPr>
            <w:r>
              <w:rPr>
                <w:sz w:val="19"/>
              </w:rPr>
              <w:t>The manager who is responsible for the experience customers have across all channels, and who decides where the company invests in it.</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Cognitive load</w:t>
            </w:r>
          </w:p>
        </w:tc>
        <w:tc>
          <w:tcPr>
            <w:tcW w:type="dxa" w:w="5329"/>
          </w:tcPr>
          <w:p>
            <w:pPr>
              <w:spacing w:before="0" w:after="0"/>
            </w:pPr>
            <w:r>
              <w:rPr>
                <w:sz w:val="19"/>
              </w:rPr>
              <w:t>How much a person has to hold in mind and work out at the same time. Every extra signal or choice adds to it; when it is too high, people skip, freeze or leave.</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Component</w:t>
            </w:r>
          </w:p>
        </w:tc>
        <w:tc>
          <w:tcPr>
            <w:tcW w:type="dxa" w:w="5329"/>
          </w:tcPr>
          <w:p>
            <w:pPr>
              <w:spacing w:before="0" w:after="0"/>
            </w:pPr>
            <w:r>
              <w:rPr>
                <w:sz w:val="19"/>
              </w:rPr>
              <w:t>A reusable building block of an interface, such as a button, a form field or a status label, built once and used on many screens.</w:t>
            </w:r>
          </w:p>
        </w:tc>
        <w:tc>
          <w:tcPr>
            <w:tcW w:type="dxa" w:w="1344"/>
          </w:tcPr>
          <w:p>
            <w:pPr>
              <w:spacing w:before="0" w:after="0"/>
            </w:pPr>
            <w:r>
              <w:rPr>
                <w:sz w:val="19"/>
              </w:rPr>
              <w:t>—</w:t>
            </w:r>
          </w:p>
        </w:tc>
        <w:tc>
          <w:tcPr>
            <w:tcW w:type="dxa" w:w="904"/>
          </w:tcPr>
          <w:p>
            <w:pPr>
              <w:spacing w:before="0" w:after="0"/>
            </w:pPr>
            <w:r>
              <w:rPr>
                <w:sz w:val="19"/>
              </w:rPr>
              <w:t>Day 6</w:t>
            </w:r>
          </w:p>
        </w:tc>
      </w:tr>
      <w:tr>
        <w:trPr>
          <w:cantSplit/>
        </w:trPr>
        <w:tc>
          <w:tcPr>
            <w:tcW w:type="dxa" w:w="2061"/>
          </w:tcPr>
          <w:p>
            <w:pPr>
              <w:spacing w:before="0" w:after="0"/>
            </w:pPr>
            <w:r>
              <w:rPr>
                <w:b/>
                <w:sz w:val="19"/>
              </w:rPr>
              <w:t>Consistency</w:t>
            </w:r>
          </w:p>
        </w:tc>
        <w:tc>
          <w:tcPr>
            <w:tcW w:type="dxa" w:w="5329"/>
          </w:tcPr>
          <w:p>
            <w:pPr>
              <w:spacing w:before="0" w:after="0"/>
            </w:pPr>
            <w:r>
              <w:rPr>
                <w:sz w:val="19"/>
              </w:rPr>
              <w:t>The same thing looks, is named and works the same way everywhere, so what people learn on one page holds on the next.</w:t>
            </w:r>
          </w:p>
        </w:tc>
        <w:tc>
          <w:tcPr>
            <w:tcW w:type="dxa" w:w="1344"/>
          </w:tcPr>
          <w:p>
            <w:pPr>
              <w:spacing w:before="0" w:after="0"/>
            </w:pPr>
            <w:r>
              <w:rPr>
                <w:sz w:val="19"/>
              </w:rPr>
              <w:t>—</w:t>
            </w:r>
          </w:p>
        </w:tc>
        <w:tc>
          <w:tcPr>
            <w:tcW w:type="dxa" w:w="904"/>
          </w:tcPr>
          <w:p>
            <w:pPr>
              <w:spacing w:before="0" w:after="0"/>
            </w:pPr>
            <w:r>
              <w:rPr>
                <w:sz w:val="19"/>
              </w:rPr>
              <w:t>Day 2</w:t>
            </w:r>
          </w:p>
        </w:tc>
      </w:tr>
      <w:tr>
        <w:trPr>
          <w:cantSplit/>
        </w:trPr>
        <w:tc>
          <w:tcPr>
            <w:tcW w:type="dxa" w:w="2061"/>
          </w:tcPr>
          <w:p>
            <w:pPr>
              <w:spacing w:before="0" w:after="0"/>
            </w:pPr>
            <w:r>
              <w:rPr>
                <w:b/>
                <w:sz w:val="19"/>
              </w:rPr>
              <w:t>Decision architecture</w:t>
            </w:r>
          </w:p>
        </w:tc>
        <w:tc>
          <w:tcPr>
            <w:tcW w:type="dxa" w:w="5329"/>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Design logic</w:t>
            </w:r>
          </w:p>
        </w:tc>
        <w:tc>
          <w:tcPr>
            <w:tcW w:type="dxa" w:w="5329"/>
          </w:tcPr>
          <w:p>
            <w:pPr>
              <w:spacing w:before="0" w:after="0"/>
            </w:pPr>
            <w:r>
              <w:rPr>
                <w:sz w:val="19"/>
              </w:rPr>
              <w:t>A set of decided rules and shared components, such as which colour means what and which type levels exist, used for every screen so everything stays consistent.</w:t>
            </w:r>
          </w:p>
        </w:tc>
        <w:tc>
          <w:tcPr>
            <w:tcW w:type="dxa" w:w="1344"/>
          </w:tcPr>
          <w:p>
            <w:pPr>
              <w:spacing w:before="0" w:after="0"/>
            </w:pPr>
            <w:r>
              <w:rPr>
                <w:sz w:val="19"/>
              </w:rPr>
              <w:t>—</w:t>
            </w:r>
          </w:p>
        </w:tc>
        <w:tc>
          <w:tcPr>
            <w:tcW w:type="dxa" w:w="904"/>
          </w:tcPr>
          <w:p>
            <w:pPr>
              <w:spacing w:before="0" w:after="0"/>
            </w:pPr>
            <w:r>
              <w:rPr>
                <w:sz w:val="19"/>
              </w:rPr>
              <w:t>Day 3</w:t>
            </w:r>
          </w:p>
        </w:tc>
      </w:tr>
      <w:tr>
        <w:trPr>
          <w:cantSplit/>
        </w:trPr>
        <w:tc>
          <w:tcPr>
            <w:tcW w:type="dxa" w:w="2061"/>
          </w:tcPr>
          <w:p>
            <w:pPr>
              <w:spacing w:before="0" w:after="0"/>
            </w:pPr>
            <w:r>
              <w:rPr>
                <w:b/>
                <w:sz w:val="19"/>
              </w:rPr>
              <w:t>Dyslexia</w:t>
            </w:r>
          </w:p>
        </w:tc>
        <w:tc>
          <w:tcPr>
            <w:tcW w:type="dxa" w:w="5329"/>
          </w:tcPr>
          <w:p>
            <w:pPr>
              <w:spacing w:before="0" w:after="0"/>
            </w:pPr>
            <w:r>
              <w:rPr>
                <w:sz w:val="19"/>
              </w:rPr>
              <w:t>A difference in reading and spelling; dense, justified text, unsuitable typography and complex language are especially hard.</w:t>
            </w:r>
          </w:p>
        </w:tc>
        <w:tc>
          <w:tcPr>
            <w:tcW w:type="dxa" w:w="1344"/>
          </w:tcPr>
          <w:p>
            <w:pPr>
              <w:spacing w:before="0" w:after="0"/>
            </w:pPr>
            <w:r>
              <w:rPr>
                <w:sz w:val="19"/>
              </w:rPr>
              <w:t>—</w:t>
            </w:r>
          </w:p>
        </w:tc>
        <w:tc>
          <w:tcPr>
            <w:tcW w:type="dxa" w:w="904"/>
          </w:tcPr>
          <w:p>
            <w:pPr>
              <w:spacing w:before="0" w:after="0"/>
            </w:pPr>
            <w:r>
              <w:rPr>
                <w:sz w:val="19"/>
              </w:rPr>
              <w:t>Day 13</w:t>
            </w:r>
          </w:p>
        </w:tc>
      </w:tr>
      <w:tr>
        <w:trPr>
          <w:cantSplit/>
        </w:trPr>
        <w:tc>
          <w:tcPr>
            <w:tcW w:type="dxa" w:w="2061"/>
          </w:tcPr>
          <w:p>
            <w:pPr>
              <w:spacing w:before="0" w:after="0"/>
            </w:pPr>
            <w:r>
              <w:rPr>
                <w:b/>
                <w:sz w:val="19"/>
              </w:rPr>
              <w:t>Governance</w:t>
            </w:r>
          </w:p>
        </w:tc>
        <w:tc>
          <w:tcPr>
            <w:tcW w:type="dxa" w:w="5329"/>
          </w:tcPr>
          <w:p>
            <w:pPr>
              <w:spacing w:before="0" w:after="0"/>
            </w:pPr>
            <w:r>
              <w:rPr>
                <w:sz w:val="19"/>
              </w:rPr>
              <w:t>The rules about who may decide what, who is answerable for it and how disagreements are settled.</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Inclusive design</w:t>
            </w:r>
          </w:p>
        </w:tc>
        <w:tc>
          <w:tcPr>
            <w:tcW w:type="dxa" w:w="5329"/>
          </w:tcPr>
          <w:p>
            <w:pPr>
              <w:spacing w:before="0" w:after="0"/>
            </w:pPr>
            <w:r>
              <w:rPr>
                <w:sz w:val="19"/>
              </w:rPr>
              <w:t>Designing with the full range of people from the start, including permanent, temporary and situational limits and different minds.</w:t>
            </w:r>
          </w:p>
        </w:tc>
        <w:tc>
          <w:tcPr>
            <w:tcW w:type="dxa" w:w="1344"/>
          </w:tcPr>
          <w:p>
            <w:pPr>
              <w:spacing w:before="0" w:after="0"/>
            </w:pPr>
            <w:r>
              <w:rPr>
                <w:sz w:val="19"/>
              </w:rPr>
              <w:t>—</w:t>
            </w:r>
          </w:p>
        </w:tc>
        <w:tc>
          <w:tcPr>
            <w:tcW w:type="dxa" w:w="904"/>
          </w:tcPr>
          <w:p>
            <w:pPr>
              <w:spacing w:before="0" w:after="0"/>
            </w:pPr>
            <w:r>
              <w:rPr>
                <w:sz w:val="19"/>
              </w:rPr>
              <w:t>Day 12</w:t>
            </w:r>
          </w:p>
        </w:tc>
      </w:tr>
      <w:tr>
        <w:trPr>
          <w:cantSplit/>
        </w:trPr>
        <w:tc>
          <w:tcPr>
            <w:tcW w:type="dxa" w:w="2061"/>
          </w:tcPr>
          <w:p>
            <w:pPr>
              <w:spacing w:before="0" w:after="0"/>
            </w:pPr>
            <w:r>
              <w:rPr>
                <w:b/>
                <w:sz w:val="19"/>
              </w:rPr>
              <w:t>Inclusive design pattern</w:t>
            </w:r>
          </w:p>
        </w:tc>
        <w:tc>
          <w:tcPr>
            <w:tcW w:type="dxa" w:w="5329"/>
          </w:tcPr>
          <w:p>
            <w:pPr>
              <w:spacing w:before="0" w:after="0"/>
            </w:pPr>
            <w:r>
              <w:rPr>
                <w:sz w:val="19"/>
              </w:rPr>
              <w:t>A reusable solution that helps several groups at once, such as one task per screen, a step indicator or a summary before sending.</w:t>
            </w:r>
          </w:p>
        </w:tc>
        <w:tc>
          <w:tcPr>
            <w:tcW w:type="dxa" w:w="1344"/>
          </w:tcPr>
          <w:p>
            <w:pPr>
              <w:spacing w:before="0" w:after="0"/>
            </w:pPr>
            <w:r>
              <w:rPr>
                <w:sz w:val="19"/>
              </w:rPr>
              <w:t>—</w:t>
            </w:r>
          </w:p>
        </w:tc>
        <w:tc>
          <w:tcPr>
            <w:tcW w:type="dxa" w:w="904"/>
          </w:tcPr>
          <w:p>
            <w:pPr>
              <w:spacing w:before="0" w:after="0"/>
            </w:pPr>
            <w:r>
              <w:rPr>
                <w:sz w:val="19"/>
              </w:rPr>
              <w:t>Day 13</w:t>
            </w:r>
          </w:p>
        </w:tc>
      </w:tr>
      <w:tr>
        <w:trPr>
          <w:cantSplit/>
        </w:trPr>
        <w:tc>
          <w:tcPr>
            <w:tcW w:type="dxa" w:w="2061"/>
          </w:tcPr>
          <w:p>
            <w:pPr>
              <w:spacing w:before="0" w:after="0"/>
            </w:pPr>
            <w:r>
              <w:rPr>
                <w:b/>
                <w:sz w:val="19"/>
              </w:rPr>
              <w:t>Information density</w:t>
            </w:r>
          </w:p>
        </w:tc>
        <w:tc>
          <w:tcPr>
            <w:tcW w:type="dxa" w:w="5329"/>
          </w:tcPr>
          <w:p>
            <w:pPr>
              <w:spacing w:before="0" w:after="0"/>
            </w:pPr>
            <w:r>
              <w:rPr>
                <w:sz w:val="19"/>
              </w:rPr>
              <w:t>How much a screen shows at once. Too much and everything competes; too little and people have to click a lot to reach anything.</w:t>
            </w:r>
          </w:p>
        </w:tc>
        <w:tc>
          <w:tcPr>
            <w:tcW w:type="dxa" w:w="1344"/>
          </w:tcPr>
          <w:p>
            <w:pPr>
              <w:spacing w:before="0" w:after="0"/>
            </w:pPr>
            <w:r>
              <w:rPr>
                <w:sz w:val="19"/>
              </w:rPr>
              <w:t>—</w:t>
            </w:r>
          </w:p>
        </w:tc>
        <w:tc>
          <w:tcPr>
            <w:tcW w:type="dxa" w:w="904"/>
          </w:tcPr>
          <w:p>
            <w:pPr>
              <w:spacing w:before="0" w:after="0"/>
            </w:pPr>
            <w:r>
              <w:rPr>
                <w:sz w:val="19"/>
              </w:rPr>
              <w:t>Day 2</w:t>
            </w:r>
          </w:p>
        </w:tc>
      </w:tr>
      <w:tr>
        <w:trPr>
          <w:cantSplit/>
        </w:trPr>
        <w:tc>
          <w:tcPr>
            <w:tcW w:type="dxa" w:w="2061"/>
          </w:tcPr>
          <w:p>
            <w:pPr>
              <w:spacing w:before="0" w:after="0"/>
            </w:pPr>
            <w:r>
              <w:rPr>
                <w:b/>
                <w:sz w:val="19"/>
              </w:rPr>
              <w:t>Neurodiversity</w:t>
            </w:r>
          </w:p>
        </w:tc>
        <w:tc>
          <w:tcPr>
            <w:tcW w:type="dxa" w:w="5329"/>
          </w:tcPr>
          <w:p>
            <w:pPr>
              <w:spacing w:before="0" w:after="0"/>
            </w:pPr>
            <w:r>
              <w:rPr>
                <w:sz w:val="19"/>
              </w:rPr>
              <w:t>The natural variety of human minds, including ADHD, autism and dyslexia; designs that reduce distraction and use plain, predictable language help many of them.</w:t>
            </w:r>
          </w:p>
        </w:tc>
        <w:tc>
          <w:tcPr>
            <w:tcW w:type="dxa" w:w="1344"/>
          </w:tcPr>
          <w:p>
            <w:pPr>
              <w:spacing w:before="0" w:after="0"/>
            </w:pPr>
            <w:r>
              <w:rPr>
                <w:sz w:val="19"/>
              </w:rPr>
              <w:t>—</w:t>
            </w:r>
          </w:p>
        </w:tc>
        <w:tc>
          <w:tcPr>
            <w:tcW w:type="dxa" w:w="904"/>
          </w:tcPr>
          <w:p>
            <w:pPr>
              <w:spacing w:before="0" w:after="0"/>
            </w:pPr>
            <w:r>
              <w:rPr>
                <w:sz w:val="19"/>
              </w:rPr>
              <w:t>Day 12</w:t>
            </w:r>
          </w:p>
        </w:tc>
      </w:tr>
      <w:tr>
        <w:trPr>
          <w:cantSplit/>
        </w:trPr>
        <w:tc>
          <w:tcPr>
            <w:tcW w:type="dxa" w:w="2061"/>
          </w:tcPr>
          <w:p>
            <w:pPr>
              <w:spacing w:before="0" w:after="0"/>
            </w:pPr>
            <w:r>
              <w:rPr>
                <w:b/>
                <w:sz w:val="19"/>
              </w:rPr>
              <w:t>Orientation</w:t>
            </w:r>
          </w:p>
        </w:tc>
        <w:tc>
          <w:tcPr>
            <w:tcW w:type="dxa" w:w="5329"/>
          </w:tcPr>
          <w:p>
            <w:pPr>
              <w:spacing w:before="0" w:after="0"/>
            </w:pPr>
            <w:r>
              <w:rPr>
                <w:sz w:val="19"/>
              </w:rPr>
              <w:t>Knowing where you are, what you can do here and what happens next.</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Predictability</w:t>
            </w:r>
          </w:p>
        </w:tc>
        <w:tc>
          <w:tcPr>
            <w:tcW w:type="dxa" w:w="5329"/>
          </w:tcPr>
          <w:p>
            <w:pPr>
              <w:spacing w:before="0" w:after="0"/>
            </w:pPr>
            <w:r>
              <w:rPr>
                <w:sz w:val="19"/>
              </w:rPr>
              <w:t>Being able to tell in advance how something will work, because it works like what you have seen before.</w:t>
            </w:r>
          </w:p>
        </w:tc>
        <w:tc>
          <w:tcPr>
            <w:tcW w:type="dxa" w:w="1344"/>
          </w:tcPr>
          <w:p>
            <w:pPr>
              <w:spacing w:before="0" w:after="0"/>
            </w:pPr>
            <w:r>
              <w:rPr>
                <w:sz w:val="19"/>
              </w:rPr>
              <w:t>—</w:t>
            </w:r>
          </w:p>
        </w:tc>
        <w:tc>
          <w:tcPr>
            <w:tcW w:type="dxa" w:w="904"/>
          </w:tcPr>
          <w:p>
            <w:pPr>
              <w:spacing w:before="0" w:after="0"/>
            </w:pPr>
            <w:r>
              <w:rPr>
                <w:sz w:val="19"/>
              </w:rPr>
              <w:t>Day 6</w:t>
            </w:r>
          </w:p>
        </w:tc>
      </w:tr>
      <w:tr>
        <w:trPr>
          <w:cantSplit/>
        </w:trPr>
        <w:tc>
          <w:tcPr>
            <w:tcW w:type="dxa" w:w="2061"/>
          </w:tcPr>
          <w:p>
            <w:pPr>
              <w:spacing w:before="0" w:after="0"/>
            </w:pPr>
            <w:r>
              <w:rPr>
                <w:b/>
                <w:sz w:val="19"/>
              </w:rPr>
              <w:t>Readability</w:t>
            </w:r>
          </w:p>
        </w:tc>
        <w:tc>
          <w:tcPr>
            <w:tcW w:type="dxa" w:w="5329"/>
          </w:tcPr>
          <w:p>
            <w:pPr>
              <w:spacing w:before="0" w:after="0"/>
            </w:pPr>
            <w:r>
              <w:rPr>
                <w:sz w:val="19"/>
              </w:rPr>
              <w:t>How easily a text can be read and understood: its size, contrast, line length, wording and how it is broken into parts.</w:t>
            </w:r>
          </w:p>
        </w:tc>
        <w:tc>
          <w:tcPr>
            <w:tcW w:type="dxa" w:w="1344"/>
          </w:tcPr>
          <w:p>
            <w:pPr>
              <w:spacing w:before="0" w:after="0"/>
            </w:pPr>
            <w:r>
              <w:rPr>
                <w:sz w:val="19"/>
              </w:rPr>
              <w:t>—</w:t>
            </w:r>
          </w:p>
        </w:tc>
        <w:tc>
          <w:tcPr>
            <w:tcW w:type="dxa" w:w="904"/>
          </w:tcPr>
          <w:p>
            <w:pPr>
              <w:spacing w:before="0" w:after="0"/>
            </w:pPr>
            <w:r>
              <w:rPr>
                <w:sz w:val="19"/>
              </w:rPr>
              <w:t>Day 2</w:t>
            </w:r>
          </w:p>
        </w:tc>
      </w:tr>
      <w:tr>
        <w:trPr>
          <w:cantSplit/>
        </w:trPr>
        <w:tc>
          <w:tcPr>
            <w:tcW w:type="dxa" w:w="2061"/>
          </w:tcPr>
          <w:p>
            <w:pPr>
              <w:spacing w:before="0" w:after="0"/>
            </w:pPr>
            <w:r>
              <w:rPr>
                <w:b/>
                <w:sz w:val="19"/>
              </w:rPr>
              <w:t>Stakeholder</w:t>
            </w:r>
          </w:p>
        </w:tc>
        <w:tc>
          <w:tcPr>
            <w:tcW w:type="dxa" w:w="5329"/>
          </w:tcPr>
          <w:p>
            <w:pPr>
              <w:spacing w:before="0" w:after="0"/>
            </w:pPr>
            <w:r>
              <w:rPr>
                <w:sz w:val="19"/>
              </w:rPr>
              <w:t>A person or department with an interest in a decision, such as marketing, compliance, IT or sales.</w:t>
            </w:r>
          </w:p>
        </w:tc>
        <w:tc>
          <w:tcPr>
            <w:tcW w:type="dxa" w:w="1344"/>
          </w:tcPr>
          <w:p>
            <w:pPr>
              <w:spacing w:before="0" w:after="0"/>
            </w:pPr>
            <w:r>
              <w:rPr>
                <w:sz w:val="19"/>
              </w:rPr>
              <w:t>—</w:t>
            </w:r>
          </w:p>
        </w:tc>
        <w:tc>
          <w:tcPr>
            <w:tcW w:type="dxa" w:w="904"/>
          </w:tcPr>
          <w:p>
            <w:pPr>
              <w:spacing w:before="0" w:after="0"/>
            </w:pPr>
            <w:r>
              <w:rPr>
                <w:sz w:val="19"/>
              </w:rPr>
              <w:t>Day 1</w:t>
            </w:r>
          </w:p>
        </w:tc>
      </w:tr>
      <w:tr>
        <w:trPr>
          <w:cantSplit/>
        </w:trPr>
        <w:tc>
          <w:tcPr>
            <w:tcW w:type="dxa" w:w="2061"/>
          </w:tcPr>
          <w:p>
            <w:pPr>
              <w:spacing w:before="0" w:after="0"/>
            </w:pPr>
            <w:r>
              <w:rPr>
                <w:b/>
                <w:sz w:val="19"/>
              </w:rPr>
              <w:t>Status colour</w:t>
            </w:r>
          </w:p>
        </w:tc>
        <w:tc>
          <w:tcPr>
            <w:tcW w:type="dxa" w:w="5329"/>
          </w:tcPr>
          <w:p>
            <w:pPr>
              <w:spacing w:before="0" w:after="0"/>
            </w:pPr>
            <w:r>
              <w:rPr>
                <w:sz w:val="19"/>
              </w:rPr>
              <w:t>A colour that shows the state of something, such as sent, waiting or failed. It needs a word or a symbol next to it, because colour alone is missed or misread.</w:t>
            </w:r>
          </w:p>
        </w:tc>
        <w:tc>
          <w:tcPr>
            <w:tcW w:type="dxa" w:w="1344"/>
          </w:tcPr>
          <w:p>
            <w:pPr>
              <w:spacing w:before="0" w:after="0"/>
            </w:pPr>
            <w:r>
              <w:rPr>
                <w:sz w:val="19"/>
              </w:rPr>
              <w:t>—</w:t>
            </w:r>
          </w:p>
        </w:tc>
        <w:tc>
          <w:tcPr>
            <w:tcW w:type="dxa" w:w="904"/>
          </w:tcPr>
          <w:p>
            <w:pPr>
              <w:spacing w:before="0" w:after="0"/>
            </w:pPr>
            <w:r>
              <w:rPr>
                <w:sz w:val="19"/>
              </w:rPr>
              <w:t>Day 3</w:t>
            </w:r>
          </w:p>
        </w:tc>
      </w:tr>
      <w:tr>
        <w:trPr>
          <w:cantSplit/>
        </w:trPr>
        <w:tc>
          <w:tcPr>
            <w:tcW w:type="dxa" w:w="2061"/>
          </w:tcPr>
          <w:p>
            <w:pPr>
              <w:spacing w:before="0" w:after="0"/>
            </w:pPr>
            <w:r>
              <w:rPr>
                <w:b/>
                <w:sz w:val="19"/>
              </w:rPr>
              <w:t>Stimulus load</w:t>
            </w:r>
          </w:p>
        </w:tc>
        <w:tc>
          <w:tcPr>
            <w:tcW w:type="dxa" w:w="5329"/>
          </w:tcPr>
          <w:p>
            <w:pPr>
              <w:spacing w:before="0" w:after="0"/>
            </w:pPr>
            <w:r>
              <w:rPr>
                <w:sz w:val="19"/>
              </w:rPr>
              <w:t>How much competes for attention at once (colours, banners, movement, notifications); too much tires, distracts or overwhelms.</w:t>
            </w:r>
          </w:p>
        </w:tc>
        <w:tc>
          <w:tcPr>
            <w:tcW w:type="dxa" w:w="1344"/>
          </w:tcPr>
          <w:p>
            <w:pPr>
              <w:spacing w:before="0" w:after="0"/>
            </w:pPr>
            <w:r>
              <w:rPr>
                <w:sz w:val="19"/>
              </w:rPr>
              <w:t>—</w:t>
            </w:r>
          </w:p>
        </w:tc>
        <w:tc>
          <w:tcPr>
            <w:tcW w:type="dxa" w:w="904"/>
          </w:tcPr>
          <w:p>
            <w:pPr>
              <w:spacing w:before="0" w:after="0"/>
            </w:pPr>
            <w:r>
              <w:rPr>
                <w:sz w:val="19"/>
              </w:rPr>
              <w:t>Day 13</w:t>
            </w:r>
          </w:p>
        </w:tc>
      </w:tr>
      <w:tr>
        <w:trPr>
          <w:cantSplit/>
        </w:trPr>
        <w:tc>
          <w:tcPr>
            <w:tcW w:type="dxa" w:w="2061"/>
          </w:tcPr>
          <w:p>
            <w:pPr>
              <w:spacing w:before="0" w:after="0"/>
            </w:pPr>
            <w:r>
              <w:rPr>
                <w:b/>
                <w:sz w:val="19"/>
              </w:rPr>
              <w:t>Stimulus reduction</w:t>
            </w:r>
          </w:p>
        </w:tc>
        <w:tc>
          <w:tcPr>
            <w:tcW w:type="dxa" w:w="5329"/>
          </w:tcPr>
          <w:p>
            <w:pPr>
              <w:spacing w:before="0" w:after="0"/>
            </w:pPr>
            <w:r>
              <w:rPr>
                <w:sz w:val="19"/>
              </w:rPr>
              <w:t>Showing or saying fewer things at once, so the mind can attend to what matters.</w:t>
            </w:r>
          </w:p>
        </w:tc>
        <w:tc>
          <w:tcPr>
            <w:tcW w:type="dxa" w:w="1344"/>
          </w:tcPr>
          <w:p>
            <w:pPr>
              <w:spacing w:before="0" w:after="0"/>
            </w:pPr>
            <w:r>
              <w:rPr>
                <w:sz w:val="19"/>
              </w:rPr>
              <w:t>—</w:t>
            </w:r>
          </w:p>
        </w:tc>
        <w:tc>
          <w:tcPr>
            <w:tcW w:type="dxa" w:w="904"/>
          </w:tcPr>
          <w:p>
            <w:pPr>
              <w:spacing w:before="0" w:after="0"/>
            </w:pPr>
            <w:r>
              <w:rPr>
                <w:sz w:val="19"/>
              </w:rPr>
              <w:t>Day 11</w:t>
            </w:r>
          </w:p>
        </w:tc>
      </w:tr>
      <w:tr>
        <w:trPr>
          <w:cantSplit/>
        </w:trPr>
        <w:tc>
          <w:tcPr>
            <w:tcW w:type="dxa" w:w="2061"/>
          </w:tcPr>
          <w:p>
            <w:pPr>
              <w:spacing w:before="0" w:after="0"/>
            </w:pPr>
            <w:r>
              <w:rPr>
                <w:b/>
                <w:sz w:val="19"/>
              </w:rPr>
              <w:t>Typography</w:t>
            </w:r>
          </w:p>
        </w:tc>
        <w:tc>
          <w:tcPr>
            <w:tcW w:type="dxa" w:w="5329"/>
          </w:tcPr>
          <w:p>
            <w:pPr>
              <w:spacing w:before="0" w:after="0"/>
            </w:pPr>
            <w:r>
              <w:rPr>
                <w:sz w:val="19"/>
              </w:rPr>
              <w:t>How text is set: which typeface, which size, weight, line spacing and line length, and how the text is broken into levels and parts.</w:t>
            </w:r>
          </w:p>
        </w:tc>
        <w:tc>
          <w:tcPr>
            <w:tcW w:type="dxa" w:w="1344"/>
          </w:tcPr>
          <w:p>
            <w:pPr>
              <w:spacing w:before="0" w:after="0"/>
            </w:pPr>
            <w:r>
              <w:rPr>
                <w:sz w:val="19"/>
              </w:rPr>
              <w:t>—</w:t>
            </w:r>
          </w:p>
        </w:tc>
        <w:tc>
          <w:tcPr>
            <w:tcW w:type="dxa" w:w="904"/>
          </w:tcPr>
          <w:p>
            <w:pPr>
              <w:spacing w:before="0" w:after="0"/>
            </w:pPr>
            <w:r>
              <w:rPr>
                <w:sz w:val="19"/>
              </w:rPr>
              <w:t>Day 3</w:t>
            </w:r>
          </w:p>
        </w:tc>
      </w:tr>
      <w:tr>
        <w:trPr>
          <w:cantSplit/>
        </w:trPr>
        <w:tc>
          <w:tcPr>
            <w:tcW w:type="dxa" w:w="2061"/>
          </w:tcPr>
          <w:p>
            <w:pPr>
              <w:spacing w:before="0" w:after="0"/>
            </w:pPr>
            <w:r>
              <w:rPr>
                <w:b/>
                <w:sz w:val="19"/>
              </w:rPr>
              <w:t>UX (user experience)</w:t>
            </w:r>
          </w:p>
        </w:tc>
        <w:tc>
          <w:tcPr>
            <w:tcW w:type="dxa" w:w="5329"/>
          </w:tcPr>
          <w:p>
            <w:pPr>
              <w:spacing w:before="0" w:after="0"/>
            </w:pPr>
            <w:r>
              <w:rPr>
                <w:sz w:val="19"/>
              </w:rPr>
              <w:t>Everything a person goes through when using a product: what they notice, understand, feel and do, from the first look to the last step. The screens are only one part of it.</w:t>
            </w:r>
          </w:p>
        </w:tc>
        <w:tc>
          <w:tcPr>
            <w:tcW w:type="dxa" w:w="1344"/>
          </w:tcPr>
          <w:p>
            <w:pPr>
              <w:spacing w:before="0" w:after="0"/>
            </w:pPr>
            <w:r>
              <w:rPr>
                <w:sz w:val="19"/>
              </w:rPr>
              <w:t>Finding the booking you want at once and feeling sure it went through is a good UX.</w:t>
            </w:r>
          </w:p>
        </w:tc>
        <w:tc>
          <w:tcPr>
            <w:tcW w:type="dxa" w:w="904"/>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13</w:t>
            </w:r>
          </w:p>
        </w:tc>
        <w:tc>
          <w:tcPr>
            <w:tcW w:type="dxa" w:w="7124"/>
          </w:tcPr>
          <w:p>
            <w:pPr>
              <w:spacing w:before="0" w:after="0"/>
            </w:pPr>
            <w:r>
              <w:rPr>
                <w:sz w:val="20"/>
              </w:rPr>
              <w:t>https://aion-ux-lab.vercel.app/day/13/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13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LifeGuide: UX Analysis File and UX Strategy Memo</dc:title>
  <dc:subject>DAY 13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