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16 · MATERI A AND MATERI B · ROUTES 1 AND 2 · LEVELS 1 TO 3</w:t>
      </w:r>
    </w:p>
    <w:p>
      <w:pPr>
        <w:spacing w:before="0" w:after="80" w:line="240" w:lineRule="auto"/>
      </w:pPr>
      <w:r>
        <w:rPr>
          <w:b/>
          <w:sz w:val="52"/>
        </w:rPr>
        <w:t>Immersive prototyping and testing, future strategies and ethical aspects</w:t>
      </w:r>
    </w:p>
    <w:p>
      <w:pPr>
        <w:spacing w:before="0" w:after="200"/>
      </w:pPr>
      <w:r>
        <w:rPr>
          <w:color w:val="556274"/>
          <w:sz w:val="26"/>
        </w:rPr>
        <w:t>Study material with real research, worked examples and the rules you use in the tasks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16 · Module 7 (day 3 of 3): Immersive prototyping and testing, future strategies and ethical aspects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https://aion-ux-lab.vercel.app/day/16/</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a made-up company in each card. The task case is NextWorld UX (see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Today is about turning experiments into decisions. You learn the steps from a concept idea through a prototype and a pilot to a scalable solution, what an immersive prototype must do before it can be tested, which aspects to test (orientation, presence, overload, error robustness, acceptance, transfer to real use), the ethical questions new interaction and neurotechnologies raise, and why a technology has to be responsible, connectable and governable, not only new. Then you use it on three platforms, including real 3D prototypes you can turn, and you look at what a headset maker requires before an app goes to market and what the European Union bans and demands. This document holds everything you need to study Day 16 without the website. Every card says what the idea is in plain words, shows it in a picture, gives the details and ends with the rules you use in the tasks.</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From concept idea to scalable solution: the ladder of immersive prototyping · 12 min · Core</w:t>
            </w:r>
          </w:p>
          <w:p>
            <w:pPr>
              <w:spacing w:before="0" w:after="20"/>
              <w:ind w:left="170"/>
            </w:pPr>
            <w:r>
              <w:rPr>
                <w:sz w:val="20"/>
              </w:rPr>
              <w:t>A2 · Testing immersive systems: orientation, presence, overload, error robustness, acceptance, transfer · 12 min · Core</w:t>
            </w:r>
          </w:p>
          <w:p>
            <w:pPr>
              <w:spacing w:before="0" w:after="20"/>
              <w:ind w:left="170"/>
            </w:pPr>
            <w:r>
              <w:rPr>
                <w:sz w:val="20"/>
              </w:rPr>
              <w:t>A3 · Feasible or responsible: future-proof UX strategy and its ethical questions · 12 min · Core</w:t>
            </w:r>
          </w:p>
          <w:p>
            <w:pPr>
              <w:spacing w:before="0" w:after="20"/>
              <w:ind w:left="170"/>
            </w:pPr>
            <w:r>
              <w:rPr>
                <w:sz w:val="20"/>
              </w:rPr>
              <w:t>A4 · Responsible, connectable, governable: maturity, learning and the UX portfolio · 12 min · Core</w:t>
            </w:r>
          </w:p>
          <w:p>
            <w:pPr>
              <w:spacing w:before="0" w:after="20"/>
              <w:ind w:left="170"/>
            </w:pPr>
            <w:r>
              <w:rPr>
                <w:sz w:val="20"/>
              </w:rPr>
              <w:t>A5 · When not to scale, and weighing a scaling decision · 12 min · Core</w:t>
            </w:r>
          </w:p>
          <w:p>
            <w:pPr>
              <w:spacing w:before="0" w:after="20"/>
              <w:ind w:left="170"/>
            </w:pPr>
            <w:r>
              <w:rPr>
                <w:sz w:val="20"/>
              </w:rPr>
              <w:t>B1 · Future-proof UX as a responsible innovation and decision architecture · 20 min · Core</w:t>
            </w:r>
          </w:p>
          <w:p>
            <w:pPr>
              <w:spacing w:before="0" w:after="20"/>
              <w:ind w:left="170"/>
            </w:pPr>
            <w:r>
              <w:rPr>
                <w:sz w:val="20"/>
              </w:rPr>
              <w:t>B2 · Innovation pressure, ethics, economics, value, maturity, portfolio: the conflicts · 20 min · Core</w:t>
            </w:r>
          </w:p>
          <w:p>
            <w:pPr>
              <w:spacing w:before="0" w:after="20"/>
              <w:ind w:left="170"/>
            </w:pPr>
            <w:r>
              <w:rPr>
                <w:sz w:val="20"/>
              </w:rPr>
              <w:t>B3 · Who decides to scale, pause or stop, and deciding with incomplete data · 20 min · Core</w:t>
            </w:r>
          </w:p>
        </w:tc>
      </w:tr>
    </w:tbl>
    <w:p>
      <w:pPr>
        <w:pStyle w:val="Heading1"/>
        <w:pBdr>
          <w:bottom w:val="single" w:sz="8" w:space="2" w:color="17212E"/>
        </w:pBdr>
      </w:pPr>
      <w:r>
        <w:rPr/>
        <w:t>Day at a glance</w:t>
      </w:r>
    </w:p>
    <w:p>
      <w:pPr>
        <w:spacing w:before="0" w:after="100"/>
      </w:pPr>
      <w:r>
        <w:rPr/>
        <w:t xml:space="preserve">Day 16 has ten teaching units (UE). This document is the study material; it is used in UE1 (Materi A) and UE8 (Materi B).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3"/>
        <w:gridCol w:w="3268"/>
        <w:gridCol w:w="1516"/>
        <w:gridCol w:w="1823"/>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3"/>
            <w:shd w:val="clear" w:color="auto" w:fill="E6ECF4"/>
          </w:tcPr>
          <w:p>
            <w:pPr>
              <w:spacing w:before="0" w:after="0"/>
            </w:pPr>
            <w:r>
              <w:rPr>
                <w:b/>
                <w:sz w:val="19"/>
              </w:rPr>
              <w:t>Plan item</w:t>
            </w:r>
          </w:p>
        </w:tc>
        <w:tc>
          <w:tcPr>
            <w:tcW w:type="dxa" w:w="3268"/>
            <w:shd w:val="clear" w:color="auto" w:fill="E6ECF4"/>
          </w:tcPr>
          <w:p>
            <w:pPr>
              <w:spacing w:before="0" w:after="0"/>
            </w:pPr>
            <w:r>
              <w:rPr>
                <w:b/>
                <w:sz w:val="19"/>
              </w:rPr>
              <w:t>What happens</w:t>
            </w:r>
          </w:p>
        </w:tc>
        <w:tc>
          <w:tcPr>
            <w:tcW w:type="dxa" w:w="1516"/>
            <w:shd w:val="clear" w:color="auto" w:fill="E6ECF4"/>
          </w:tcPr>
          <w:p>
            <w:pPr>
              <w:spacing w:before="0" w:after="0"/>
            </w:pPr>
            <w:r>
              <w:rPr>
                <w:b/>
                <w:sz w:val="19"/>
              </w:rPr>
              <w:t>Material</w:t>
            </w:r>
          </w:p>
        </w:tc>
        <w:tc>
          <w:tcPr>
            <w:tcW w:type="dxa" w:w="1823"/>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3"/>
          </w:tcPr>
          <w:p>
            <w:pPr>
              <w:spacing w:before="0" w:after="0"/>
            </w:pPr>
            <w:r>
              <w:rPr>
                <w:sz w:val="19"/>
              </w:rPr>
              <w:t>Knowledge transfer · Level 1</w:t>
            </w:r>
          </w:p>
        </w:tc>
        <w:tc>
          <w:tcPr>
            <w:tcW w:type="dxa" w:w="3268"/>
          </w:tcPr>
          <w:p>
            <w:pPr>
              <w:spacing w:before="0" w:after="0"/>
            </w:pPr>
            <w:r>
              <w:rPr>
                <w:sz w:val="19"/>
              </w:rPr>
              <w:t>The trainer presents the cards of Materi A (A1, A2, A3, A4, A5, about 60 min of cards) in the Neuro-UX Lab; participants follow in the handout.</w:t>
            </w:r>
          </w:p>
        </w:tc>
        <w:tc>
          <w:tcPr>
            <w:tcW w:type="dxa" w:w="1516"/>
          </w:tcPr>
          <w:p>
            <w:pPr>
              <w:spacing w:before="0" w:after="0"/>
            </w:pPr>
            <w:r>
              <w:rPr>
                <w:sz w:val="19"/>
              </w:rPr>
              <w:t>Materi A (Route 1)</w:t>
            </w:r>
          </w:p>
        </w:tc>
        <w:tc>
          <w:tcPr>
            <w:tcW w:type="dxa" w:w="1823"/>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3"/>
          </w:tcPr>
          <w:p>
            <w:pPr>
              <w:spacing w:before="0" w:after="0"/>
            </w:pPr>
            <w:r>
              <w:rPr>
                <w:sz w:val="19"/>
              </w:rPr>
              <w:t>Level 1 · Task 1</w:t>
            </w:r>
          </w:p>
        </w:tc>
        <w:tc>
          <w:tcPr>
            <w:tcW w:type="dxa" w:w="3268"/>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6"/>
          </w:tcPr>
          <w:p>
            <w:pPr>
              <w:spacing w:before="0" w:after="0"/>
            </w:pPr>
            <w:r>
              <w:rPr>
                <w:sz w:val="19"/>
              </w:rPr>
              <w:t>Task 1 · Part 1 · Block 1.1</w:t>
            </w:r>
          </w:p>
        </w:tc>
        <w:tc>
          <w:tcPr>
            <w:tcW w:type="dxa" w:w="1823"/>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3"/>
          </w:tcPr>
          <w:p>
            <w:pPr>
              <w:spacing w:before="0" w:after="0"/>
            </w:pPr>
            <w:r>
              <w:rPr>
                <w:sz w:val="19"/>
              </w:rPr>
              <w:t>Level 1 · Task 2</w:t>
            </w:r>
          </w:p>
        </w:tc>
        <w:tc>
          <w:tcPr>
            <w:tcW w:type="dxa" w:w="3268"/>
          </w:tcPr>
          <w:p>
            <w:pPr>
              <w:spacing w:before="0" w:after="0"/>
            </w:pPr>
            <w:r>
              <w:rPr>
                <w:sz w:val="19"/>
              </w:rPr>
              <w:t>Three options are rated on the same criteria and one is chosen under the stated conditions: Block 1.2 (Core, about 8 min).</w:t>
            </w:r>
          </w:p>
        </w:tc>
        <w:tc>
          <w:tcPr>
            <w:tcW w:type="dxa" w:w="1516"/>
          </w:tcPr>
          <w:p>
            <w:pPr>
              <w:spacing w:before="0" w:after="0"/>
            </w:pPr>
            <w:r>
              <w:rPr>
                <w:sz w:val="19"/>
              </w:rPr>
              <w:t>Task 1 · Part 1 · Block 1.2</w:t>
            </w:r>
          </w:p>
        </w:tc>
        <w:tc>
          <w:tcPr>
            <w:tcW w:type="dxa" w:w="1823"/>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3"/>
          </w:tcPr>
          <w:p>
            <w:pPr>
              <w:spacing w:before="0" w:after="0"/>
            </w:pPr>
            <w:r>
              <w:rPr>
                <w:sz w:val="19"/>
              </w:rPr>
              <w:t>Coaching · transition from Level 1 to Level 2</w:t>
            </w:r>
          </w:p>
        </w:tc>
        <w:tc>
          <w:tcPr>
            <w:tcW w:type="dxa" w:w="3268"/>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6"/>
          </w:tcPr>
          <w:p>
            <w:pPr>
              <w:spacing w:before="0" w:after="0"/>
            </w:pPr>
            <w:r>
              <w:rPr>
                <w:sz w:val="19"/>
              </w:rPr>
              <w:t>Trainer document, section Coaching</w:t>
            </w:r>
          </w:p>
        </w:tc>
        <w:tc>
          <w:tcPr>
            <w:tcW w:type="dxa" w:w="1823"/>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3"/>
          </w:tcPr>
          <w:p>
            <w:pPr>
              <w:spacing w:before="0" w:after="0"/>
            </w:pPr>
            <w:r>
              <w:rPr>
                <w:sz w:val="19"/>
              </w:rPr>
              <w:t>Level 2 · Case study NextWorld UX (</w:t>
            </w:r>
            <w:r>
              <w:rPr>
                <w:b/>
                <w:sz w:val="19"/>
              </w:rPr>
              <w:t>2 UE</w:t>
            </w:r>
            <w:r>
              <w:rPr>
                <w:sz w:val="19"/>
              </w:rPr>
              <w:t>) incl. model solution</w:t>
            </w:r>
          </w:p>
        </w:tc>
        <w:tc>
          <w:tcPr>
            <w:tcW w:type="dxa" w:w="3268"/>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6"/>
          </w:tcPr>
          <w:p>
            <w:pPr>
              <w:spacing w:before="0" w:after="0"/>
            </w:pPr>
            <w:r>
              <w:rPr>
                <w:sz w:val="19"/>
              </w:rPr>
              <w:t>Task 1 · Part 2 · Block 2.1</w:t>
            </w:r>
            <w:r>
              <w:br/>
            </w:r>
            <w:r>
              <w:rPr>
                <w:sz w:val="19"/>
              </w:rPr>
              <w:t>Trainer document, section Case study</w:t>
            </w:r>
          </w:p>
        </w:tc>
        <w:tc>
          <w:tcPr>
            <w:tcW w:type="dxa" w:w="1823"/>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3"/>
          </w:tcPr>
          <w:p>
            <w:pPr>
              <w:spacing w:before="0" w:after="0"/>
            </w:pPr>
            <w:r>
              <w:rPr>
                <w:sz w:val="19"/>
              </w:rPr>
              <w:t>Level 2 + 3 · Feedback round with a management perspective</w:t>
            </w:r>
          </w:p>
        </w:tc>
        <w:tc>
          <w:tcPr>
            <w:tcW w:type="dxa" w:w="3268"/>
          </w:tcPr>
          <w:p>
            <w:pPr>
              <w:spacing w:before="0" w:after="0"/>
            </w:pPr>
            <w:r>
              <w:rPr>
                <w:sz w:val="19"/>
              </w:rPr>
              <w:t>Groups present their reasoning, not only their result. The trainer asks the day's Level 3 input questions and leads the discussion.</w:t>
            </w:r>
          </w:p>
        </w:tc>
        <w:tc>
          <w:tcPr>
            <w:tcW w:type="dxa" w:w="1516"/>
          </w:tcPr>
          <w:p>
            <w:pPr>
              <w:spacing w:before="0" w:after="0"/>
            </w:pPr>
            <w:r>
              <w:rPr>
                <w:sz w:val="19"/>
              </w:rPr>
              <w:t>Trainer document, section Feedback round</w:t>
            </w:r>
          </w:p>
        </w:tc>
        <w:tc>
          <w:tcPr>
            <w:tcW w:type="dxa" w:w="1823"/>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3"/>
          </w:tcPr>
          <w:p>
            <w:pPr>
              <w:spacing w:before="0" w:after="0"/>
            </w:pPr>
            <w:r>
              <w:rPr>
                <w:sz w:val="19"/>
              </w:rPr>
              <w:t>Level 3 · Transfer project, Chief Experience Officer (</w:t>
            </w:r>
            <w:r>
              <w:rPr>
                <w:b/>
                <w:sz w:val="19"/>
              </w:rPr>
              <w:t>3 UE</w:t>
            </w:r>
            <w:r>
              <w:rPr>
                <w:sz w:val="19"/>
              </w:rPr>
              <w:t>: UE8–10)</w:t>
            </w:r>
          </w:p>
        </w:tc>
        <w:tc>
          <w:tcPr>
            <w:tcW w:type="dxa" w:w="3268"/>
          </w:tcPr>
          <w:p>
            <w:pPr>
              <w:spacing w:before="0" w:after="0"/>
            </w:pPr>
            <w:r>
              <w:rPr>
                <w:sz w:val="19"/>
              </w:rPr>
              <w:t>The trainer presents Materi B (B1, B2, B3; use the "In plain words" and "How to decide" boxes, the rest is handout) and sets the role and the situation.</w:t>
            </w:r>
          </w:p>
        </w:tc>
        <w:tc>
          <w:tcPr>
            <w:tcW w:type="dxa" w:w="1516"/>
          </w:tcPr>
          <w:p>
            <w:pPr>
              <w:spacing w:before="0" w:after="0"/>
            </w:pPr>
            <w:r>
              <w:rPr>
                <w:sz w:val="19"/>
              </w:rPr>
              <w:t>Materi B (Route 2)</w:t>
            </w:r>
          </w:p>
        </w:tc>
        <w:tc>
          <w:tcPr>
            <w:tcW w:type="dxa" w:w="1823"/>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3"/>
          </w:tcPr>
          <w:p>
            <w:pPr>
              <w:spacing w:before="0" w:after="0"/>
            </w:pPr>
            <w:r>
              <w:rPr>
                <w:sz w:val="19"/>
              </w:rPr>
              <w:t>Level 3 · Transfer project</w:t>
            </w:r>
          </w:p>
        </w:tc>
        <w:tc>
          <w:tcPr>
            <w:tcW w:type="dxa" w:w="3268"/>
          </w:tcPr>
          <w:p>
            <w:pPr>
              <w:spacing w:before="0" w:after="0"/>
            </w:pPr>
            <w:r>
              <w:rPr>
                <w:sz w:val="19"/>
              </w:rPr>
              <w:t>Individual work or in pairs on Block 3.1 (Core, about 20 min): the strategy memo.</w:t>
            </w:r>
          </w:p>
        </w:tc>
        <w:tc>
          <w:tcPr>
            <w:tcW w:type="dxa" w:w="1516"/>
          </w:tcPr>
          <w:p>
            <w:pPr>
              <w:spacing w:before="0" w:after="0"/>
            </w:pPr>
            <w:r>
              <w:rPr>
                <w:sz w:val="19"/>
              </w:rPr>
              <w:t>Task 2 · Block 3.1</w:t>
            </w:r>
          </w:p>
        </w:tc>
        <w:tc>
          <w:tcPr>
            <w:tcW w:type="dxa" w:w="1823"/>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3"/>
          </w:tcPr>
          <w:p>
            <w:pPr>
              <w:spacing w:before="0" w:after="0"/>
            </w:pPr>
            <w:r>
              <w:rPr>
                <w:sz w:val="19"/>
              </w:rPr>
              <w:t>Level 3 · Transfer project</w:t>
            </w:r>
          </w:p>
        </w:tc>
        <w:tc>
          <w:tcPr>
            <w:tcW w:type="dxa" w:w="3268"/>
          </w:tcPr>
          <w:p>
            <w:pPr>
              <w:spacing w:before="0" w:after="0"/>
            </w:pPr>
            <w:r>
              <w:rPr>
                <w:sz w:val="19"/>
              </w:rPr>
              <w:t>Participants present their decision and what they give up, including the one decision made under uncertainty; the trainer debriefs with the model solution.</w:t>
            </w:r>
          </w:p>
        </w:tc>
        <w:tc>
          <w:tcPr>
            <w:tcW w:type="dxa" w:w="1516"/>
          </w:tcPr>
          <w:p>
            <w:pPr>
              <w:spacing w:before="0" w:after="0"/>
            </w:pPr>
            <w:r>
              <w:rPr>
                <w:sz w:val="19"/>
              </w:rPr>
              <w:t>Task 2 · Block 3.1</w:t>
            </w:r>
            <w:r>
              <w:br/>
            </w:r>
            <w:r>
              <w:rPr>
                <w:sz w:val="19"/>
              </w:rPr>
              <w:t>Trainer document, section Transfer project</w:t>
            </w:r>
          </w:p>
        </w:tc>
        <w:tc>
          <w:tcPr>
            <w:tcW w:type="dxa" w:w="1823"/>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03"/>
        <w:gridCol w:w="1024"/>
        <w:gridCol w:w="1465"/>
        <w:gridCol w:w="2332"/>
        <w:gridCol w:w="2314"/>
      </w:tblGrid>
      <w:tr>
        <w:trPr>
          <w:cantSplit/>
          <w:tblHeader/>
        </w:trPr>
        <w:tc>
          <w:tcPr>
            <w:tcW w:type="dxa" w:w="2503"/>
            <w:shd w:val="clear" w:color="auto" w:fill="E6ECF4"/>
          </w:tcPr>
          <w:p>
            <w:pPr>
              <w:spacing w:before="0" w:after="0"/>
            </w:pPr>
            <w:r>
              <w:rPr>
                <w:b/>
                <w:sz w:val="19"/>
              </w:rPr>
              <w:t>Component</w:t>
            </w:r>
          </w:p>
        </w:tc>
        <w:tc>
          <w:tcPr>
            <w:tcW w:type="dxa" w:w="1024"/>
            <w:shd w:val="clear" w:color="auto" w:fill="E6ECF4"/>
          </w:tcPr>
          <w:p>
            <w:pPr>
              <w:spacing w:before="0" w:after="0"/>
            </w:pPr>
            <w:r>
              <w:rPr>
                <w:b/>
                <w:sz w:val="19"/>
              </w:rPr>
              <w:t>UE</w:t>
            </w:r>
          </w:p>
        </w:tc>
        <w:tc>
          <w:tcPr>
            <w:tcW w:type="dxa" w:w="1465"/>
            <w:shd w:val="clear" w:color="auto" w:fill="E6ECF4"/>
          </w:tcPr>
          <w:p>
            <w:pPr>
              <w:spacing w:before="0" w:after="0"/>
            </w:pPr>
            <w:r>
              <w:rPr>
                <w:b/>
                <w:sz w:val="19"/>
              </w:rPr>
              <w:t>Duration</w:t>
            </w:r>
          </w:p>
        </w:tc>
        <w:tc>
          <w:tcPr>
            <w:tcW w:type="dxa" w:w="2332"/>
            <w:shd w:val="clear" w:color="auto" w:fill="E6ECF4"/>
          </w:tcPr>
          <w:p>
            <w:pPr>
              <w:spacing w:before="0" w:after="0"/>
            </w:pPr>
            <w:r>
              <w:rPr>
                <w:b/>
                <w:sz w:val="19"/>
              </w:rPr>
              <w:t>Participants work in</w:t>
            </w:r>
          </w:p>
        </w:tc>
        <w:tc>
          <w:tcPr>
            <w:tcW w:type="dxa" w:w="2314"/>
            <w:shd w:val="clear" w:color="auto" w:fill="E6ECF4"/>
          </w:tcPr>
          <w:p>
            <w:pPr>
              <w:spacing w:before="0" w:after="0"/>
            </w:pPr>
            <w:r>
              <w:rPr>
                <w:b/>
                <w:sz w:val="19"/>
              </w:rPr>
              <w:t>Model solution in</w:t>
            </w:r>
          </w:p>
        </w:tc>
      </w:tr>
      <w:tr>
        <w:trPr>
          <w:cantSplit/>
        </w:trPr>
        <w:tc>
          <w:tcPr>
            <w:tcW w:type="dxa" w:w="2503"/>
          </w:tcPr>
          <w:p>
            <w:pPr>
              <w:spacing w:before="0" w:after="0"/>
            </w:pPr>
            <w:r>
              <w:rPr>
                <w:b/>
                <w:sz w:val="19"/>
              </w:rPr>
              <w:t>Level 2 case study</w:t>
            </w:r>
            <w:r>
              <w:rPr>
                <w:sz w:val="19"/>
              </w:rPr>
              <w:t xml:space="preserve"> (NextWorld UX)</w:t>
            </w:r>
          </w:p>
        </w:tc>
        <w:tc>
          <w:tcPr>
            <w:tcW w:type="dxa" w:w="1024"/>
          </w:tcPr>
          <w:p>
            <w:pPr>
              <w:spacing w:before="0" w:after="0"/>
            </w:pPr>
            <w:r>
              <w:rPr>
                <w:sz w:val="19"/>
              </w:rPr>
              <w:t>UE5–6</w:t>
            </w:r>
          </w:p>
        </w:tc>
        <w:tc>
          <w:tcPr>
            <w:tcW w:type="dxa" w:w="1465"/>
          </w:tcPr>
          <w:p>
            <w:pPr>
              <w:spacing w:before="0" w:after="0"/>
            </w:pPr>
            <w:r>
              <w:rPr>
                <w:b/>
                <w:sz w:val="19"/>
              </w:rPr>
              <w:t>2 UE</w:t>
            </w:r>
            <w:r>
              <w:rPr>
                <w:sz w:val="19"/>
              </w:rPr>
              <w:t xml:space="preserve"> · 90 min</w:t>
            </w:r>
          </w:p>
        </w:tc>
        <w:tc>
          <w:tcPr>
            <w:tcW w:type="dxa" w:w="2332"/>
          </w:tcPr>
          <w:p>
            <w:pPr>
              <w:spacing w:before="0" w:after="0"/>
            </w:pPr>
            <w:r>
              <w:rPr>
                <w:sz w:val="19"/>
              </w:rPr>
              <w:t>Task 1 · Part 2 (Block 2.1)</w:t>
            </w:r>
          </w:p>
        </w:tc>
        <w:tc>
          <w:tcPr>
            <w:tcW w:type="dxa" w:w="2314"/>
          </w:tcPr>
          <w:p>
            <w:pPr>
              <w:spacing w:before="0" w:after="0"/>
            </w:pPr>
            <w:r>
              <w:rPr>
                <w:sz w:val="19"/>
              </w:rPr>
              <w:t>Trainer document, section Case study</w:t>
            </w:r>
          </w:p>
        </w:tc>
      </w:tr>
      <w:tr>
        <w:trPr>
          <w:cantSplit/>
        </w:trPr>
        <w:tc>
          <w:tcPr>
            <w:tcW w:type="dxa" w:w="2503"/>
          </w:tcPr>
          <w:p>
            <w:pPr>
              <w:spacing w:before="0" w:after="0"/>
            </w:pPr>
            <w:r>
              <w:rPr>
                <w:b/>
                <w:sz w:val="19"/>
              </w:rPr>
              <w:t>Level 3 transfer project</w:t>
            </w:r>
            <w:r>
              <w:rPr>
                <w:sz w:val="19"/>
              </w:rPr>
              <w:t xml:space="preserve"> (Chief Experience Officer)</w:t>
            </w:r>
          </w:p>
        </w:tc>
        <w:tc>
          <w:tcPr>
            <w:tcW w:type="dxa" w:w="1024"/>
          </w:tcPr>
          <w:p>
            <w:pPr>
              <w:spacing w:before="0" w:after="0"/>
            </w:pPr>
            <w:r>
              <w:rPr>
                <w:sz w:val="19"/>
              </w:rPr>
              <w:t>UE8–10</w:t>
            </w:r>
          </w:p>
        </w:tc>
        <w:tc>
          <w:tcPr>
            <w:tcW w:type="dxa" w:w="1465"/>
          </w:tcPr>
          <w:p>
            <w:pPr>
              <w:spacing w:before="0" w:after="0"/>
            </w:pPr>
            <w:r>
              <w:rPr>
                <w:b/>
                <w:sz w:val="19"/>
              </w:rPr>
              <w:t>3 UE</w:t>
            </w:r>
            <w:r>
              <w:rPr>
                <w:sz w:val="19"/>
              </w:rPr>
              <w:t xml:space="preserve"> · 135 min</w:t>
            </w:r>
          </w:p>
        </w:tc>
        <w:tc>
          <w:tcPr>
            <w:tcW w:type="dxa" w:w="2332"/>
          </w:tcPr>
          <w:p>
            <w:pPr>
              <w:spacing w:before="0" w:after="0"/>
            </w:pPr>
            <w:r>
              <w:rPr>
                <w:sz w:val="19"/>
              </w:rPr>
              <w:t>Materi B and Task 2 (Block 3.1)</w:t>
            </w:r>
          </w:p>
        </w:tc>
        <w:tc>
          <w:tcPr>
            <w:tcW w:type="dxa" w:w="2314"/>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Levels 1 and 2: judge an immersive innovation project strategically, organisationally and ethically, rate three strategy options under uncertainty, then analyse a company's immersive prototypes, develop four measures for a responsible scaling decision, justify them and decide on the first 16 weeks. The cards give you the ideas and the rules you use in Task 1.</w:t>
            </w:r>
          </w:p>
        </w:tc>
      </w:tr>
    </w:tbl>
    <w:p>
      <w:pPr>
        <w:spacing w:before="0" w:after="80"/>
      </w:pPr>
    </w:p>
    <w:p>
      <w:pPr>
        <w:pStyle w:val="Heading2"/>
      </w:pPr>
      <w:r>
        <w:rPr/>
        <w:t>A1 · From concept idea to scalable solution: the ladder of immersive prototyping · 12 min · Core</w:t>
      </w:r>
    </w:p>
    <w:p>
      <w:pPr>
        <w:pBdr>
          <w:left w:val="single" w:sz="18" w:space="6" w:color="1750A8"/>
        </w:pBdr>
        <w:spacing w:before="40" w:after="120"/>
        <w:ind w:left="170"/>
      </w:pPr>
      <w:r>
        <w:rPr>
          <w:i/>
          <w:color w:val="556274"/>
          <w:sz w:val="22"/>
        </w:rPr>
        <w:t>An immersive idea climbs a ladder: a concept idea says what could be, a prototype makes one question testable, a pilot shows whether it works for real users in one place, a scalable solution keeps working for many with support and an owner. Each rung proves something different, with a gate before the next. A prototype must fit the context of use, make the interaction clear, be technically robust, resilient and testable.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An immersive idea climbs a ladder. A concept idea describes what could be. A prototype makes one question testable, for example “can guests find their room with AR arrows?”. A pilot puts a working version in front of real users in one place for a limited time. A scalable solution keeps working for many people, places and devices, with support and maintenance. Each rung proves something different, and each needs a gate before the next. An immersive prototype must fit the context of use, make the interaction clear, be technically robust, cope with stress (resilience) and be testable.</w:t>
            </w:r>
          </w:p>
          <w:p>
            <w:pPr>
              <w:spacing w:before="0" w:after="100"/>
            </w:pPr>
            <w:r>
              <w:rPr>
                <w:b/>
              </w:rPr>
              <w:t>Why it matters.</w:t>
            </w:r>
            <w:r>
              <w:rPr/>
              <w:t xml:space="preserve"> Block 1.1 asks where RealityFlow's prototyping is not clarified enough, Block 1.2 compares strategies that climb at different speeds, and Block 2.1 asks which of NextWorld UX's prototypes is ready to scale. This card gives you the rungs and what each must prove.</w:t>
            </w:r>
          </w:p>
          <w:p>
            <w:pPr>
              <w:spacing w:before="0" w:after="100"/>
            </w:pPr>
            <w:r>
              <w:rPr>
                <w:b/>
              </w:rPr>
              <w:t>How to read the picture.</w:t>
            </w:r>
            <w:r>
              <w:rPr/>
              <w:t xml:space="preserve"> Fernwood's AR wayfinding on four rungs: a sketch, a prototype, a pilot in one hotel, and forty hotels. Below, the five requirements a prototype must meet.</w:t>
            </w:r>
          </w:p>
        </w:tc>
      </w:tr>
    </w:tbl>
    <w:p>
      <w:pPr>
        <w:spacing w:before="0" w:after="80"/>
      </w:pPr>
    </w:p>
    <w:p>
      <w:pPr>
        <w:keepNext/>
        <w:spacing w:before="80" w:after="40"/>
        <w:jc w:val="center"/>
      </w:pPr>
      <w:r>
        <w:drawing>
          <wp:inline xmlns:a="http://schemas.openxmlformats.org/drawingml/2006/main" xmlns:pic="http://schemas.openxmlformats.org/drawingml/2006/picture">
            <wp:extent cx="4965506" cy="5580000"/>
            <wp:docPr id="1" name="Picture 1"/>
            <wp:cNvGraphicFramePr>
              <a:graphicFrameLocks noChangeAspect="1"/>
            </wp:cNvGraphicFramePr>
            <a:graphic>
              <a:graphicData uri="http://schemas.openxmlformats.org/drawingml/2006/picture">
                <pic:pic>
                  <pic:nvPicPr>
                    <pic:cNvPr id="0" name="d16_A1_0-5783460bdd26.png"/>
                    <pic:cNvPicPr/>
                  </pic:nvPicPr>
                  <pic:blipFill>
                    <a:blip r:embed="rId10"/>
                    <a:stretch>
                      <a:fillRect/>
                    </a:stretch>
                  </pic:blipFill>
                  <pic:spPr>
                    <a:xfrm>
                      <a:off x="0" y="0"/>
                      <a:ext cx="4965506" cy="5580000"/>
                    </a:xfrm>
                    <a:prstGeom prst="rect"/>
                  </pic:spPr>
                </pic:pic>
              </a:graphicData>
            </a:graphic>
          </wp:inline>
        </w:drawing>
      </w:r>
    </w:p>
    <w:p>
      <w:pPr>
        <w:spacing w:before="0" w:after="160"/>
        <w:jc w:val="center"/>
      </w:pPr>
      <w:r>
        <w:rPr>
          <w:i/>
          <w:color w:val="556274"/>
          <w:sz w:val="18"/>
        </w:rPr>
        <w:t>Figure 1 · Fernwood's “Find your room” built four times: concept, prototype, pilot, scaled. Shown here in its starting state; in the Neuro-UX Lab every version and every stress test can be used.</w:t>
      </w:r>
    </w:p>
    <w:p>
      <w:pPr>
        <w:keepNext/>
        <w:spacing w:before="80" w:after="40"/>
        <w:jc w:val="center"/>
      </w:pPr>
      <w:r>
        <w:drawing>
          <wp:inline xmlns:a="http://schemas.openxmlformats.org/drawingml/2006/main" xmlns:pic="http://schemas.openxmlformats.org/drawingml/2006/picture">
            <wp:extent cx="5940000" cy="1327904"/>
            <wp:docPr id="2" name="Picture 2"/>
            <wp:cNvGraphicFramePr>
              <a:graphicFrameLocks noChangeAspect="1"/>
            </wp:cNvGraphicFramePr>
            <a:graphic>
              <a:graphicData uri="http://schemas.openxmlformats.org/drawingml/2006/picture">
                <pic:pic>
                  <pic:nvPicPr>
                    <pic:cNvPr id="0" name="d16_A1_1-a2f3dc7b9fad.png"/>
                    <pic:cNvPicPr/>
                  </pic:nvPicPr>
                  <pic:blipFill>
                    <a:blip r:embed="rId11"/>
                    <a:stretch>
                      <a:fillRect/>
                    </a:stretch>
                  </pic:blipFill>
                  <pic:spPr>
                    <a:xfrm>
                      <a:off x="0" y="0"/>
                      <a:ext cx="5940000" cy="1327904"/>
                    </a:xfrm>
                    <a:prstGeom prst="rect"/>
                  </pic:spPr>
                </pic:pic>
              </a:graphicData>
            </a:graphic>
          </wp:inline>
        </w:drawing>
      </w:r>
    </w:p>
    <w:p>
      <w:pPr>
        <w:spacing w:before="0" w:after="160"/>
        <w:jc w:val="center"/>
      </w:pPr>
      <w:r>
        <w:rPr>
          <w:i/>
          <w:color w:val="556274"/>
          <w:sz w:val="18"/>
        </w:rPr>
        <w:t>Figure 2 · The gates between the rungs, and what each must answer.</w:t>
      </w:r>
    </w:p>
    <w:p>
      <w:pPr>
        <w:spacing w:before="0" w:after="100"/>
      </w:pPr>
      <w:r>
        <w:rPr>
          <w:b/>
        </w:rPr>
        <w:t>What an immersive prototype must have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48"/>
        <w:gridCol w:w="3328"/>
        <w:gridCol w:w="3962"/>
      </w:tblGrid>
      <w:tr>
        <w:trPr>
          <w:cantSplit/>
          <w:tblHeader/>
        </w:trPr>
        <w:tc>
          <w:tcPr>
            <w:tcW w:type="dxa" w:w="2348"/>
            <w:shd w:val="clear" w:color="auto" w:fill="E6ECF4"/>
          </w:tcPr>
          <w:p>
            <w:pPr>
              <w:spacing w:before="0" w:after="0"/>
            </w:pPr>
            <w:r>
              <w:rPr>
                <w:b/>
                <w:sz w:val="20"/>
              </w:rPr>
              <w:t>Requirement</w:t>
            </w:r>
          </w:p>
        </w:tc>
        <w:tc>
          <w:tcPr>
            <w:tcW w:type="dxa" w:w="3328"/>
            <w:shd w:val="clear" w:color="auto" w:fill="E6ECF4"/>
          </w:tcPr>
          <w:p>
            <w:pPr>
              <w:spacing w:before="0" w:after="0"/>
            </w:pPr>
            <w:r>
              <w:rPr>
                <w:b/>
                <w:sz w:val="20"/>
              </w:rPr>
              <w:t>The question</w:t>
            </w:r>
          </w:p>
        </w:tc>
        <w:tc>
          <w:tcPr>
            <w:tcW w:type="dxa" w:w="3962"/>
            <w:shd w:val="clear" w:color="auto" w:fill="E6ECF4"/>
          </w:tcPr>
          <w:p>
            <w:pPr>
              <w:spacing w:before="0" w:after="0"/>
            </w:pPr>
            <w:r>
              <w:rPr>
                <w:b/>
                <w:sz w:val="20"/>
              </w:rPr>
              <w:t>Example (Fernwood)</w:t>
            </w:r>
          </w:p>
        </w:tc>
      </w:tr>
      <w:tr>
        <w:trPr>
          <w:cantSplit/>
        </w:trPr>
        <w:tc>
          <w:tcPr>
            <w:tcW w:type="dxa" w:w="2348"/>
          </w:tcPr>
          <w:p>
            <w:pPr>
              <w:spacing w:before="0" w:after="0"/>
            </w:pPr>
            <w:r>
              <w:rPr>
                <w:sz w:val="20"/>
              </w:rPr>
              <w:t>Context of use</w:t>
            </w:r>
          </w:p>
        </w:tc>
        <w:tc>
          <w:tcPr>
            <w:tcW w:type="dxa" w:w="3328"/>
          </w:tcPr>
          <w:p>
            <w:pPr>
              <w:spacing w:before="0" w:after="0"/>
            </w:pPr>
            <w:r>
              <w:rPr>
                <w:sz w:val="20"/>
              </w:rPr>
              <w:t>Where, when and by whom will it be used?</w:t>
            </w:r>
          </w:p>
        </w:tc>
        <w:tc>
          <w:tcPr>
            <w:tcW w:type="dxa" w:w="3962"/>
          </w:tcPr>
          <w:p>
            <w:pPr>
              <w:spacing w:before="0" w:after="0"/>
            </w:pPr>
            <w:r>
              <w:rPr>
                <w:sz w:val="20"/>
              </w:rPr>
              <w:t>Late arrivals with luggage, tired, in a new wing.</w:t>
            </w:r>
          </w:p>
        </w:tc>
      </w:tr>
      <w:tr>
        <w:trPr>
          <w:cantSplit/>
        </w:trPr>
        <w:tc>
          <w:tcPr>
            <w:tcW w:type="dxa" w:w="2348"/>
          </w:tcPr>
          <w:p>
            <w:pPr>
              <w:spacing w:before="0" w:after="0"/>
            </w:pPr>
            <w:r>
              <w:rPr>
                <w:sz w:val="20"/>
              </w:rPr>
              <w:t>Clarity of interaction</w:t>
            </w:r>
          </w:p>
        </w:tc>
        <w:tc>
          <w:tcPr>
            <w:tcW w:type="dxa" w:w="3328"/>
          </w:tcPr>
          <w:p>
            <w:pPr>
              <w:spacing w:before="0" w:after="0"/>
            </w:pPr>
            <w:r>
              <w:rPr>
                <w:sz w:val="20"/>
              </w:rPr>
              <w:t>Is it obvious what to do?</w:t>
            </w:r>
          </w:p>
        </w:tc>
        <w:tc>
          <w:tcPr>
            <w:tcW w:type="dxa" w:w="3962"/>
          </w:tcPr>
          <w:p>
            <w:pPr>
              <w:spacing w:before="0" w:after="0"/>
            </w:pPr>
            <w:r>
              <w:rPr>
                <w:sz w:val="20"/>
              </w:rPr>
              <w:t>One arrow, one room number, nothing else.</w:t>
            </w:r>
          </w:p>
        </w:tc>
      </w:tr>
      <w:tr>
        <w:trPr>
          <w:cantSplit/>
        </w:trPr>
        <w:tc>
          <w:tcPr>
            <w:tcW w:type="dxa" w:w="2348"/>
          </w:tcPr>
          <w:p>
            <w:pPr>
              <w:spacing w:before="0" w:after="0"/>
            </w:pPr>
            <w:r>
              <w:rPr>
                <w:sz w:val="20"/>
              </w:rPr>
              <w:t>Technical robustness</w:t>
            </w:r>
          </w:p>
        </w:tc>
        <w:tc>
          <w:tcPr>
            <w:tcW w:type="dxa" w:w="3328"/>
          </w:tcPr>
          <w:p>
            <w:pPr>
              <w:spacing w:before="0" w:after="0"/>
            </w:pPr>
            <w:r>
              <w:rPr>
                <w:sz w:val="20"/>
              </w:rPr>
              <w:t>Does it work on the devices guests have?</w:t>
            </w:r>
          </w:p>
        </w:tc>
        <w:tc>
          <w:tcPr>
            <w:tcW w:type="dxa" w:w="3962"/>
          </w:tcPr>
          <w:p>
            <w:pPr>
              <w:spacing w:before="0" w:after="0"/>
            </w:pPr>
            <w:r>
              <w:rPr>
                <w:sz w:val="20"/>
              </w:rPr>
              <w:t>Old phones, low battery, weak signal.</w:t>
            </w:r>
          </w:p>
        </w:tc>
      </w:tr>
      <w:tr>
        <w:trPr>
          <w:cantSplit/>
        </w:trPr>
        <w:tc>
          <w:tcPr>
            <w:tcW w:type="dxa" w:w="2348"/>
          </w:tcPr>
          <w:p>
            <w:pPr>
              <w:spacing w:before="0" w:after="0"/>
            </w:pPr>
            <w:r>
              <w:rPr>
                <w:sz w:val="20"/>
              </w:rPr>
              <w:t>Resilience</w:t>
            </w:r>
          </w:p>
        </w:tc>
        <w:tc>
          <w:tcPr>
            <w:tcW w:type="dxa" w:w="3328"/>
          </w:tcPr>
          <w:p>
            <w:pPr>
              <w:spacing w:before="0" w:after="0"/>
            </w:pPr>
            <w:r>
              <w:rPr>
                <w:sz w:val="20"/>
              </w:rPr>
              <w:t>Does it cope with stress and failure?</w:t>
            </w:r>
          </w:p>
        </w:tc>
        <w:tc>
          <w:tcPr>
            <w:tcW w:type="dxa" w:w="3962"/>
          </w:tcPr>
          <w:p>
            <w:pPr>
              <w:spacing w:before="0" w:after="0"/>
            </w:pPr>
            <w:r>
              <w:rPr>
                <w:sz w:val="20"/>
              </w:rPr>
              <w:t>A fallback route when tracking is lost.</w:t>
            </w:r>
          </w:p>
        </w:tc>
      </w:tr>
      <w:tr>
        <w:trPr>
          <w:cantSplit/>
        </w:trPr>
        <w:tc>
          <w:tcPr>
            <w:tcW w:type="dxa" w:w="2348"/>
          </w:tcPr>
          <w:p>
            <w:pPr>
              <w:spacing w:before="0" w:after="0"/>
            </w:pPr>
            <w:r>
              <w:rPr>
                <w:sz w:val="20"/>
              </w:rPr>
              <w:t>Testability</w:t>
            </w:r>
          </w:p>
        </w:tc>
        <w:tc>
          <w:tcPr>
            <w:tcW w:type="dxa" w:w="3328"/>
          </w:tcPr>
          <w:p>
            <w:pPr>
              <w:spacing w:before="0" w:after="0"/>
            </w:pPr>
            <w:r>
              <w:rPr>
                <w:sz w:val="20"/>
              </w:rPr>
              <w:t>Can a test show something?</w:t>
            </w:r>
          </w:p>
        </w:tc>
        <w:tc>
          <w:tcPr>
            <w:tcW w:type="dxa" w:w="3962"/>
          </w:tcPr>
          <w:p>
            <w:pPr>
              <w:spacing w:before="0" w:after="0"/>
            </w:pPr>
            <w:r>
              <w:rPr>
                <w:sz w:val="20"/>
              </w:rPr>
              <w:t>A task, a measure: found the room without asking staff.</w:t>
            </w:r>
          </w:p>
        </w:tc>
      </w:tr>
    </w:tbl>
    <w:p>
      <w:pPr>
        <w:spacing w:before="0" w:after="80"/>
      </w:pPr>
    </w:p>
    <w:p>
      <w:pPr>
        <w:spacing w:before="0" w:after="100"/>
      </w:pPr>
      <w:r>
        <w:rPr>
          <w:b/>
        </w:rPr>
        <w:t>The ladder in real practice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90"/>
        <w:gridCol w:w="5083"/>
        <w:gridCol w:w="2765"/>
      </w:tblGrid>
      <w:tr>
        <w:trPr>
          <w:cantSplit/>
          <w:tblHeader/>
        </w:trPr>
        <w:tc>
          <w:tcPr>
            <w:tcW w:type="dxa" w:w="1790"/>
            <w:shd w:val="clear" w:color="auto" w:fill="E6ECF4"/>
          </w:tcPr>
          <w:p>
            <w:pPr>
              <w:spacing w:before="0" w:after="0"/>
            </w:pPr>
            <w:r>
              <w:rPr>
                <w:b/>
                <w:sz w:val="20"/>
              </w:rPr>
              <w:t>Rung or tool</w:t>
            </w:r>
          </w:p>
        </w:tc>
        <w:tc>
          <w:tcPr>
            <w:tcW w:type="dxa" w:w="5083"/>
            <w:shd w:val="clear" w:color="auto" w:fill="E6ECF4"/>
          </w:tcPr>
          <w:p>
            <w:pPr>
              <w:spacing w:before="0" w:after="0"/>
            </w:pPr>
            <w:r>
              <w:rPr>
                <w:b/>
                <w:sz w:val="20"/>
              </w:rPr>
              <w:t>Real source or example</w:t>
            </w:r>
          </w:p>
        </w:tc>
        <w:tc>
          <w:tcPr>
            <w:tcW w:type="dxa" w:w="2765"/>
            <w:shd w:val="clear" w:color="auto" w:fill="E6ECF4"/>
          </w:tcPr>
          <w:p>
            <w:pPr>
              <w:spacing w:before="0" w:after="0"/>
            </w:pPr>
            <w:r>
              <w:rPr>
                <w:b/>
                <w:sz w:val="20"/>
              </w:rPr>
              <w:t>What it means for a decision</w:t>
            </w:r>
          </w:p>
        </w:tc>
      </w:tr>
      <w:tr>
        <w:trPr>
          <w:cantSplit/>
        </w:trPr>
        <w:tc>
          <w:tcPr>
            <w:tcW w:type="dxa" w:w="1790"/>
          </w:tcPr>
          <w:p>
            <w:pPr>
              <w:spacing w:before="0" w:after="0"/>
            </w:pPr>
            <w:r>
              <w:rPr>
                <w:sz w:val="20"/>
              </w:rPr>
              <w:t>What a prototype answers</w:t>
            </w:r>
          </w:p>
        </w:tc>
        <w:tc>
          <w:tcPr>
            <w:tcW w:type="dxa" w:w="5083"/>
          </w:tcPr>
          <w:p>
            <w:pPr>
              <w:spacing w:before="0" w:after="0"/>
            </w:pPr>
            <w:r>
              <w:rPr>
                <w:sz w:val="20"/>
              </w:rPr>
              <w:t>A prototype can answer questions about the role of a product, its look and feel, and its implementation (Houde and Hill 1997).</w:t>
            </w:r>
          </w:p>
        </w:tc>
        <w:tc>
          <w:tcPr>
            <w:tcW w:type="dxa" w:w="2765"/>
          </w:tcPr>
          <w:p>
            <w:pPr>
              <w:spacing w:before="0" w:after="0"/>
            </w:pPr>
            <w:r>
              <w:rPr>
                <w:sz w:val="20"/>
              </w:rPr>
              <w:t>Say which question each rung answers, and do not read more into it.</w:t>
            </w:r>
          </w:p>
        </w:tc>
      </w:tr>
      <w:tr>
        <w:trPr>
          <w:cantSplit/>
        </w:trPr>
        <w:tc>
          <w:tcPr>
            <w:tcW w:type="dxa" w:w="1790"/>
          </w:tcPr>
          <w:p>
            <w:pPr>
              <w:spacing w:before="0" w:after="0"/>
            </w:pPr>
            <w:r>
              <w:rPr>
                <w:sz w:val="20"/>
              </w:rPr>
              <w:t>Experience prototyping</w:t>
            </w:r>
          </w:p>
        </w:tc>
        <w:tc>
          <w:tcPr>
            <w:tcW w:type="dxa" w:w="5083"/>
          </w:tcPr>
          <w:p>
            <w:pPr>
              <w:spacing w:before="0" w:after="0"/>
            </w:pPr>
            <w:r>
              <w:rPr>
                <w:sz w:val="20"/>
              </w:rPr>
              <w:t>Experience prototypes let people live through a situation rather than only look at a design (Buchenau and Fulton Suri 2000).</w:t>
            </w:r>
          </w:p>
        </w:tc>
        <w:tc>
          <w:tcPr>
            <w:tcW w:type="dxa" w:w="2765"/>
          </w:tcPr>
          <w:p>
            <w:pPr>
              <w:spacing w:before="0" w:after="0"/>
            </w:pPr>
            <w:r>
              <w:rPr>
                <w:sz w:val="20"/>
              </w:rPr>
              <w:t>For immersive systems test the experience in the place of use, not a screenshot.</w:t>
            </w:r>
          </w:p>
        </w:tc>
      </w:tr>
      <w:tr>
        <w:trPr>
          <w:cantSplit/>
        </w:trPr>
        <w:tc>
          <w:tcPr>
            <w:tcW w:type="dxa" w:w="1790"/>
          </w:tcPr>
          <w:p>
            <w:pPr>
              <w:spacing w:before="0" w:after="0"/>
            </w:pPr>
            <w:r>
              <w:rPr>
                <w:sz w:val="20"/>
              </w:rPr>
              <w:t>Gates</w:t>
            </w:r>
          </w:p>
        </w:tc>
        <w:tc>
          <w:tcPr>
            <w:tcW w:type="dxa" w:w="5083"/>
          </w:tcPr>
          <w:p>
            <w:pPr>
              <w:spacing w:before="0" w:after="0"/>
            </w:pPr>
            <w:r>
              <w:rPr>
                <w:sz w:val="20"/>
              </w:rPr>
              <w:t>A stage-gate system separates stages by gates where a project must meet criteria to continue, change or stop (Cooper 1990). UK government services pass discovery, alpha, beta and live, each with an assessment (GOV.UK Service Standard).</w:t>
            </w:r>
          </w:p>
        </w:tc>
        <w:tc>
          <w:tcPr>
            <w:tcW w:type="dxa" w:w="2765"/>
          </w:tcPr>
          <w:p>
            <w:pPr>
              <w:spacing w:before="0" w:after="0"/>
            </w:pPr>
            <w:r>
              <w:rPr>
                <w:sz w:val="20"/>
              </w:rPr>
              <w:t>Write the gate criteria before the pilot starts.</w:t>
            </w:r>
          </w:p>
        </w:tc>
      </w:tr>
      <w:tr>
        <w:trPr>
          <w:cantSplit/>
        </w:trPr>
        <w:tc>
          <w:tcPr>
            <w:tcW w:type="dxa" w:w="1790"/>
          </w:tcPr>
          <w:p>
            <w:pPr>
              <w:spacing w:before="0" w:after="0"/>
            </w:pPr>
            <w:r>
              <w:rPr>
                <w:sz w:val="20"/>
              </w:rPr>
              <w:t>A real case on the ladder</w:t>
            </w:r>
          </w:p>
        </w:tc>
        <w:tc>
          <w:tcPr>
            <w:tcW w:type="dxa" w:w="5083"/>
          </w:tcPr>
          <w:p>
            <w:pPr>
              <w:spacing w:before="0" w:after="0"/>
            </w:pPr>
            <w:r>
              <w:rPr>
                <w:sz w:val="20"/>
              </w:rPr>
              <w:t>Google ran an Explorer programme for Glass from 2013, ended the sale of the consumer version in January 2015, sold an enterprise edition from 2017 and stopped selling it in March 2023 (press reports, as reported).</w:t>
            </w:r>
          </w:p>
        </w:tc>
        <w:tc>
          <w:tcPr>
            <w:tcW w:type="dxa" w:w="2765"/>
          </w:tcPr>
          <w:p>
            <w:pPr>
              <w:spacing w:before="0" w:after="0"/>
            </w:pPr>
            <w:r>
              <w:rPr>
                <w:sz w:val="20"/>
              </w:rPr>
              <w:t>A product can leave a rung or step back to another: the ladder is not a one-way road.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Fernwood, Leila, Sam, Rafael and Greta are made up for this example; the corridor and the reports are drawn for the lesson. What prototypes prototype follows Houde and Hill (1997) and Buchenau and Fulton Suri (2000); gates between stages follow Cooper (1990).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Say which rung a project is really on, whatever its slides say.</w:t>
            </w:r>
          </w:p>
          <w:p>
            <w:pPr>
              <w:pStyle w:val="ListBullet"/>
              <w:spacing w:before="0" w:after="40"/>
            </w:pPr>
            <w:r>
              <w:rPr/>
              <w:t>Name the one question a prototype must answer.</w:t>
            </w:r>
          </w:p>
          <w:p>
            <w:pPr>
              <w:pStyle w:val="ListBullet"/>
              <w:spacing w:before="0" w:after="40"/>
            </w:pPr>
            <w:r>
              <w:rPr/>
              <w:t>Check the five requirements: context of use, clear interaction, robustness, resilience, testability.</w:t>
            </w:r>
          </w:p>
          <w:p>
            <w:pPr>
              <w:pStyle w:val="ListBullet"/>
              <w:spacing w:before="0" w:after="40"/>
            </w:pPr>
            <w:r>
              <w:rPr/>
              <w:t>Set the gate criteria before the rung is climbed.</w:t>
            </w:r>
          </w:p>
          <w:p>
            <w:pPr>
              <w:pStyle w:val="ListBullet"/>
              <w:spacing w:before="0" w:after="100"/>
            </w:pPr>
            <w:r>
              <w:rPr/>
              <w:t>Count the cost of the last rung: maps, support, updates, an owner.</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The go/no-go meeting is the moment a ladder is either climbed or abandoned. It works only if the criteria were written before the rung, by people who will not be judged by the answer. Otherwise every prototype passes, because everyone in the room wants it to.</w:t>
            </w:r>
          </w:p>
        </w:tc>
      </w:tr>
    </w:tbl>
    <w:p>
      <w:pPr>
        <w:spacing w:before="0" w:after="80"/>
      </w:pPr>
    </w:p>
    <w:p>
      <w:pPr>
        <w:spacing w:before="80" w:after="160"/>
      </w:pPr>
      <w:r>
        <w:rPr>
          <w:b/>
          <w:color w:val="556274"/>
          <w:sz w:val="18"/>
        </w:rPr>
        <w:t xml:space="preserve">Sources · </w:t>
      </w:r>
      <w:r>
        <w:rPr>
          <w:color w:val="556274"/>
          <w:sz w:val="18"/>
        </w:rPr>
        <w:t>Houde &amp; Hill 1997 · Buchenau &amp; Fulton Suri 2000 · Cooper 1990 · GOV.UK Service Standard</w:t>
      </w:r>
    </w:p>
    <w:p>
      <w:pPr>
        <w:pStyle w:val="Heading2"/>
      </w:pPr>
      <w:r>
        <w:rPr/>
        <w:t>A2 · Testing immersive systems: orientation, presence, overload, error robustness, acceptance, transfer · 12 min · Core</w:t>
      </w:r>
    </w:p>
    <w:p>
      <w:pPr>
        <w:pBdr>
          <w:left w:val="single" w:sz="18" w:space="6" w:color="1750A8"/>
        </w:pBdr>
        <w:spacing w:before="40" w:after="120"/>
        <w:ind w:left="170"/>
      </w:pPr>
      <w:r>
        <w:rPr>
          <w:i/>
          <w:color w:val="556274"/>
          <w:sz w:val="22"/>
        </w:rPr>
        <w:t>Immersive systems need six kinds of test: orientation (do people know where they are), presence (do they feel there, and does it help), overload (is it too much), error robustness (what happens when something fails), acceptance (will all kinds of people use it again) and transfer (does it work in real use). Transfer is the most underestimated and the most decisive for scaling.</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Immersive systems need tests that a screen never needed. Orientation: do people know where they are and where to go? Presence: do they feel there, and is that helpful? Overload: is it too much to take in? Error robustness: what happens when the signal drops or someone makes a mistake? Acceptance: will people use it again, all kinds of people? Transfer: does what works in the test work in real use, with noise, time pressure and other people? Transfer is the most underestimated, and the most decisive for scaling.</w:t>
            </w:r>
          </w:p>
          <w:p>
            <w:pPr>
              <w:spacing w:before="0" w:after="100"/>
            </w:pPr>
            <w:r>
              <w:rPr>
                <w:b/>
              </w:rPr>
              <w:t>Why it matters.</w:t>
            </w:r>
            <w:r>
              <w:rPr/>
              <w:t xml:space="preserve"> Block 1.1 asks where RealityFlow's testing is unclear, and Block 2.1 asks why NextWorld UX's feedback cannot be compared and what makes a prototype ready to scale. This card gives you the six aspects and a way to test each.</w:t>
            </w:r>
          </w:p>
          <w:p>
            <w:pPr>
              <w:spacing w:before="0" w:after="100"/>
            </w:pPr>
            <w:r>
              <w:rPr>
                <w:b/>
              </w:rPr>
              <w:t>How to read the picture.</w:t>
            </w:r>
            <w:r>
              <w:rPr/>
              <w:t xml:space="preserve"> Fernwood's AR arrow under test. Below, the six test aspects with how to test each.</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382994"/>
            <wp:docPr id="3" name="Picture 3"/>
            <wp:cNvGraphicFramePr>
              <a:graphicFrameLocks noChangeAspect="1"/>
            </wp:cNvGraphicFramePr>
            <a:graphic>
              <a:graphicData uri="http://schemas.openxmlformats.org/drawingml/2006/picture">
                <pic:pic>
                  <pic:nvPicPr>
                    <pic:cNvPr id="0" name="d16_A2_0-7dacc5c7b00c.png"/>
                    <pic:cNvPicPr/>
                  </pic:nvPicPr>
                  <pic:blipFill>
                    <a:blip r:embed="rId12"/>
                    <a:stretch>
                      <a:fillRect/>
                    </a:stretch>
                  </pic:blipFill>
                  <pic:spPr>
                    <a:xfrm>
                      <a:off x="0" y="0"/>
                      <a:ext cx="5940000" cy="3382994"/>
                    </a:xfrm>
                    <a:prstGeom prst="rect"/>
                  </pic:spPr>
                </pic:pic>
              </a:graphicData>
            </a:graphic>
          </wp:inline>
        </w:drawing>
      </w:r>
    </w:p>
    <w:p>
      <w:pPr>
        <w:spacing w:before="0" w:after="160"/>
        <w:jc w:val="center"/>
      </w:pPr>
      <w:r>
        <w:rPr>
          <w:i/>
          <w:color w:val="556274"/>
          <w:sz w:val="18"/>
        </w:rPr>
        <w:t>Figure 3 · Fernwood's AR arrow under a stress test: crowd, signal and light · Exploratory.</w:t>
      </w:r>
    </w:p>
    <w:p>
      <w:pPr>
        <w:spacing w:before="0" w:after="100"/>
      </w:pPr>
      <w:r>
        <w:rPr>
          <w:b/>
        </w:rPr>
        <w:t>Six test aspects and how to test them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75"/>
        <w:gridCol w:w="4567"/>
        <w:gridCol w:w="3096"/>
      </w:tblGrid>
      <w:tr>
        <w:trPr>
          <w:cantSplit/>
          <w:tblHeader/>
        </w:trPr>
        <w:tc>
          <w:tcPr>
            <w:tcW w:type="dxa" w:w="1975"/>
            <w:shd w:val="clear" w:color="auto" w:fill="E6ECF4"/>
          </w:tcPr>
          <w:p>
            <w:pPr>
              <w:spacing w:before="0" w:after="0"/>
            </w:pPr>
            <w:r>
              <w:rPr>
                <w:b/>
                <w:sz w:val="20"/>
              </w:rPr>
              <w:t>Aspect</w:t>
            </w:r>
          </w:p>
        </w:tc>
        <w:tc>
          <w:tcPr>
            <w:tcW w:type="dxa" w:w="4567"/>
            <w:shd w:val="clear" w:color="auto" w:fill="E6ECF4"/>
          </w:tcPr>
          <w:p>
            <w:pPr>
              <w:spacing w:before="0" w:after="0"/>
            </w:pPr>
            <w:r>
              <w:rPr>
                <w:b/>
                <w:sz w:val="20"/>
              </w:rPr>
              <w:t>How to test it</w:t>
            </w:r>
          </w:p>
        </w:tc>
        <w:tc>
          <w:tcPr>
            <w:tcW w:type="dxa" w:w="3096"/>
            <w:shd w:val="clear" w:color="auto" w:fill="E6ECF4"/>
          </w:tcPr>
          <w:p>
            <w:pPr>
              <w:spacing w:before="0" w:after="0"/>
            </w:pPr>
            <w:r>
              <w:rPr>
                <w:b/>
                <w:sz w:val="20"/>
              </w:rPr>
              <w:t>Example (Fernwood)</w:t>
            </w:r>
          </w:p>
        </w:tc>
      </w:tr>
      <w:tr>
        <w:trPr>
          <w:cantSplit/>
        </w:trPr>
        <w:tc>
          <w:tcPr>
            <w:tcW w:type="dxa" w:w="1975"/>
          </w:tcPr>
          <w:p>
            <w:pPr>
              <w:spacing w:before="0" w:after="0"/>
            </w:pPr>
            <w:r>
              <w:rPr>
                <w:sz w:val="20"/>
              </w:rPr>
              <w:t>Orientation</w:t>
            </w:r>
          </w:p>
        </w:tc>
        <w:tc>
          <w:tcPr>
            <w:tcW w:type="dxa" w:w="4567"/>
          </w:tcPr>
          <w:p>
            <w:pPr>
              <w:spacing w:before="0" w:after="0"/>
            </w:pPr>
            <w:r>
              <w:rPr>
                <w:sz w:val="20"/>
              </w:rPr>
              <w:t>Give a task; watch where people hesitate or turn back.</w:t>
            </w:r>
          </w:p>
        </w:tc>
        <w:tc>
          <w:tcPr>
            <w:tcW w:type="dxa" w:w="3096"/>
          </w:tcPr>
          <w:p>
            <w:pPr>
              <w:spacing w:before="0" w:after="0"/>
            </w:pPr>
            <w:r>
              <w:rPr>
                <w:sz w:val="20"/>
              </w:rPr>
              <w:t>Find room 216 from the lift.</w:t>
            </w:r>
          </w:p>
        </w:tc>
      </w:tr>
      <w:tr>
        <w:trPr>
          <w:cantSplit/>
        </w:trPr>
        <w:tc>
          <w:tcPr>
            <w:tcW w:type="dxa" w:w="1975"/>
          </w:tcPr>
          <w:p>
            <w:pPr>
              <w:spacing w:before="0" w:after="0"/>
            </w:pPr>
            <w:r>
              <w:rPr>
                <w:sz w:val="20"/>
              </w:rPr>
              <w:t>Presence</w:t>
            </w:r>
          </w:p>
        </w:tc>
        <w:tc>
          <w:tcPr>
            <w:tcW w:type="dxa" w:w="4567"/>
          </w:tcPr>
          <w:p>
            <w:pPr>
              <w:spacing w:before="0" w:after="0"/>
            </w:pPr>
            <w:r>
              <w:rPr>
                <w:sz w:val="20"/>
              </w:rPr>
              <w:t>Ask a short presence questionnaire after the session.</w:t>
            </w:r>
          </w:p>
        </w:tc>
        <w:tc>
          <w:tcPr>
            <w:tcW w:type="dxa" w:w="3096"/>
          </w:tcPr>
          <w:p>
            <w:pPr>
              <w:spacing w:before="0" w:after="0"/>
            </w:pPr>
            <w:r>
              <w:rPr>
                <w:sz w:val="20"/>
              </w:rPr>
              <w:t>Did the VR room feel like a real room?</w:t>
            </w:r>
          </w:p>
        </w:tc>
      </w:tr>
      <w:tr>
        <w:trPr>
          <w:cantSplit/>
        </w:trPr>
        <w:tc>
          <w:tcPr>
            <w:tcW w:type="dxa" w:w="1975"/>
          </w:tcPr>
          <w:p>
            <w:pPr>
              <w:spacing w:before="0" w:after="0"/>
            </w:pPr>
            <w:r>
              <w:rPr>
                <w:sz w:val="20"/>
              </w:rPr>
              <w:t>Overload</w:t>
            </w:r>
          </w:p>
        </w:tc>
        <w:tc>
          <w:tcPr>
            <w:tcW w:type="dxa" w:w="4567"/>
          </w:tcPr>
          <w:p>
            <w:pPr>
              <w:spacing w:before="0" w:after="0"/>
            </w:pPr>
            <w:r>
              <w:rPr>
                <w:sz w:val="20"/>
              </w:rPr>
              <w:t>Count what competes for attention; ask how demanding it was.</w:t>
            </w:r>
          </w:p>
        </w:tc>
        <w:tc>
          <w:tcPr>
            <w:tcW w:type="dxa" w:w="3096"/>
          </w:tcPr>
          <w:p>
            <w:pPr>
              <w:spacing w:before="0" w:after="0"/>
            </w:pPr>
            <w:r>
              <w:rPr>
                <w:sz w:val="20"/>
              </w:rPr>
              <w:t>Arrow, number, offers, sounds.</w:t>
            </w:r>
          </w:p>
        </w:tc>
      </w:tr>
      <w:tr>
        <w:trPr>
          <w:cantSplit/>
        </w:trPr>
        <w:tc>
          <w:tcPr>
            <w:tcW w:type="dxa" w:w="1975"/>
          </w:tcPr>
          <w:p>
            <w:pPr>
              <w:spacing w:before="0" w:after="0"/>
            </w:pPr>
            <w:r>
              <w:rPr>
                <w:sz w:val="20"/>
              </w:rPr>
              <w:t>Error robustness</w:t>
            </w:r>
          </w:p>
        </w:tc>
        <w:tc>
          <w:tcPr>
            <w:tcW w:type="dxa" w:w="4567"/>
          </w:tcPr>
          <w:p>
            <w:pPr>
              <w:spacing w:before="0" w:after="0"/>
            </w:pPr>
            <w:r>
              <w:rPr>
                <w:sz w:val="20"/>
              </w:rPr>
              <w:t>Cause failures on purpose: lost signal, a wrong turn.</w:t>
            </w:r>
          </w:p>
        </w:tc>
        <w:tc>
          <w:tcPr>
            <w:tcW w:type="dxa" w:w="3096"/>
          </w:tcPr>
          <w:p>
            <w:pPr>
              <w:spacing w:before="0" w:after="0"/>
            </w:pPr>
            <w:r>
              <w:rPr>
                <w:sz w:val="20"/>
              </w:rPr>
              <w:t>Tracking lost in the lift lobby.</w:t>
            </w:r>
          </w:p>
        </w:tc>
      </w:tr>
      <w:tr>
        <w:trPr>
          <w:cantSplit/>
        </w:trPr>
        <w:tc>
          <w:tcPr>
            <w:tcW w:type="dxa" w:w="1975"/>
          </w:tcPr>
          <w:p>
            <w:pPr>
              <w:spacing w:before="0" w:after="0"/>
            </w:pPr>
            <w:r>
              <w:rPr>
                <w:sz w:val="20"/>
              </w:rPr>
              <w:t>Acceptance</w:t>
            </w:r>
          </w:p>
        </w:tc>
        <w:tc>
          <w:tcPr>
            <w:tcW w:type="dxa" w:w="4567"/>
          </w:tcPr>
          <w:p>
            <w:pPr>
              <w:spacing w:before="0" w:after="0"/>
            </w:pPr>
            <w:r>
              <w:rPr>
                <w:sz w:val="20"/>
              </w:rPr>
              <w:t>Ask again after the second and third use; include sceptics.</w:t>
            </w:r>
          </w:p>
        </w:tc>
        <w:tc>
          <w:tcPr>
            <w:tcW w:type="dxa" w:w="3096"/>
          </w:tcPr>
          <w:p>
            <w:pPr>
              <w:spacing w:before="0" w:after="0"/>
            </w:pPr>
            <w:r>
              <w:rPr>
                <w:sz w:val="20"/>
              </w:rPr>
              <w:t>Would Sam use it on his next stay?</w:t>
            </w:r>
          </w:p>
        </w:tc>
      </w:tr>
      <w:tr>
        <w:trPr>
          <w:cantSplit/>
        </w:trPr>
        <w:tc>
          <w:tcPr>
            <w:tcW w:type="dxa" w:w="1975"/>
          </w:tcPr>
          <w:p>
            <w:pPr>
              <w:spacing w:before="0" w:after="0"/>
            </w:pPr>
            <w:r>
              <w:rPr>
                <w:sz w:val="20"/>
              </w:rPr>
              <w:t>Transfer</w:t>
            </w:r>
          </w:p>
        </w:tc>
        <w:tc>
          <w:tcPr>
            <w:tcW w:type="dxa" w:w="4567"/>
          </w:tcPr>
          <w:p>
            <w:pPr>
              <w:spacing w:before="0" w:after="0"/>
            </w:pPr>
            <w:r>
              <w:rPr>
                <w:sz w:val="20"/>
              </w:rPr>
              <w:t>Test in the real place and moment, not the lab.</w:t>
            </w:r>
          </w:p>
        </w:tc>
        <w:tc>
          <w:tcPr>
            <w:tcW w:type="dxa" w:w="3096"/>
          </w:tcPr>
          <w:p>
            <w:pPr>
              <w:spacing w:before="0" w:after="0"/>
            </w:pPr>
            <w:r>
              <w:rPr>
                <w:sz w:val="20"/>
              </w:rPr>
              <w:t>Friday night, crowd, night lighting.</w:t>
            </w:r>
          </w:p>
        </w:tc>
      </w:tr>
    </w:tbl>
    <w:p>
      <w:pPr>
        <w:spacing w:before="0" w:after="80"/>
      </w:pPr>
    </w:p>
    <w:p>
      <w:pPr>
        <w:spacing w:before="0" w:after="100"/>
      </w:pPr>
      <w:r>
        <w:rPr>
          <w:b/>
        </w:rPr>
        <w:t>Testing immersive systems: instruments and rules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430"/>
        <w:gridCol w:w="5184"/>
        <w:gridCol w:w="3024"/>
      </w:tblGrid>
      <w:tr>
        <w:trPr>
          <w:cantSplit/>
          <w:tblHeader/>
        </w:trPr>
        <w:tc>
          <w:tcPr>
            <w:tcW w:type="dxa" w:w="1430"/>
            <w:shd w:val="clear" w:color="auto" w:fill="E6ECF4"/>
          </w:tcPr>
          <w:p>
            <w:pPr>
              <w:spacing w:before="0" w:after="0"/>
            </w:pPr>
            <w:r>
              <w:rPr>
                <w:b/>
                <w:sz w:val="20"/>
              </w:rPr>
              <w:t>Aspect</w:t>
            </w:r>
          </w:p>
        </w:tc>
        <w:tc>
          <w:tcPr>
            <w:tcW w:type="dxa" w:w="5184"/>
            <w:shd w:val="clear" w:color="auto" w:fill="E6ECF4"/>
          </w:tcPr>
          <w:p>
            <w:pPr>
              <w:spacing w:before="0" w:after="0"/>
            </w:pPr>
            <w:r>
              <w:rPr>
                <w:b/>
                <w:sz w:val="20"/>
              </w:rPr>
              <w:t>Real instrument or rule</w:t>
            </w:r>
          </w:p>
        </w:tc>
        <w:tc>
          <w:tcPr>
            <w:tcW w:type="dxa" w:w="3024"/>
            <w:shd w:val="clear" w:color="auto" w:fill="E6ECF4"/>
          </w:tcPr>
          <w:p>
            <w:pPr>
              <w:spacing w:before="0" w:after="0"/>
            </w:pPr>
            <w:r>
              <w:rPr>
                <w:b/>
                <w:sz w:val="20"/>
              </w:rPr>
              <w:t>What it means for a test</w:t>
            </w:r>
          </w:p>
        </w:tc>
      </w:tr>
      <w:tr>
        <w:trPr>
          <w:cantSplit/>
        </w:trPr>
        <w:tc>
          <w:tcPr>
            <w:tcW w:type="dxa" w:w="1430"/>
          </w:tcPr>
          <w:p>
            <w:pPr>
              <w:spacing w:before="0" w:after="0"/>
            </w:pPr>
            <w:r>
              <w:rPr>
                <w:sz w:val="20"/>
              </w:rPr>
              <w:t>Overload and sickness</w:t>
            </w:r>
          </w:p>
        </w:tc>
        <w:tc>
          <w:tcPr>
            <w:tcW w:type="dxa" w:w="5184"/>
          </w:tcPr>
          <w:p>
            <w:pPr>
              <w:spacing w:before="0" w:after="0"/>
            </w:pPr>
            <w:r>
              <w:rPr>
                <w:sz w:val="20"/>
              </w:rPr>
              <w:t>The Simulator Sickness Questionnaire asks about 16 symptoms on a four-step scale and scores nausea, oculomotor strain and disorientation (Kennedy et al. 1993).</w:t>
            </w:r>
          </w:p>
        </w:tc>
        <w:tc>
          <w:tcPr>
            <w:tcW w:type="dxa" w:w="3024"/>
          </w:tcPr>
          <w:p>
            <w:pPr>
              <w:spacing w:before="0" w:after="0"/>
            </w:pPr>
            <w:r>
              <w:rPr>
                <w:sz w:val="20"/>
              </w:rPr>
              <w:t>Use a standard instrument before and after a session, not an ad hoc question.</w:t>
            </w:r>
          </w:p>
        </w:tc>
      </w:tr>
      <w:tr>
        <w:trPr>
          <w:cantSplit/>
        </w:trPr>
        <w:tc>
          <w:tcPr>
            <w:tcW w:type="dxa" w:w="1430"/>
          </w:tcPr>
          <w:p>
            <w:pPr>
              <w:spacing w:before="0" w:after="0"/>
            </w:pPr>
            <w:r>
              <w:rPr>
                <w:sz w:val="20"/>
              </w:rPr>
              <w:t>Presence</w:t>
            </w:r>
          </w:p>
        </w:tc>
        <w:tc>
          <w:tcPr>
            <w:tcW w:type="dxa" w:w="5184"/>
          </w:tcPr>
          <w:p>
            <w:pPr>
              <w:spacing w:before="0" w:after="0"/>
            </w:pPr>
            <w:r>
              <w:rPr>
                <w:sz w:val="20"/>
              </w:rPr>
              <w:t>The Presence Questionnaire gives a structured way to ask how present people felt (Witmer and Singer 1998).</w:t>
            </w:r>
          </w:p>
        </w:tc>
        <w:tc>
          <w:tcPr>
            <w:tcW w:type="dxa" w:w="3024"/>
          </w:tcPr>
          <w:p>
            <w:pPr>
              <w:spacing w:before="0" w:after="0"/>
            </w:pPr>
            <w:r>
              <w:rPr>
                <w:sz w:val="20"/>
              </w:rPr>
              <w:t>Ask after the session, and relate it to the task, not only to the feeling.</w:t>
            </w:r>
          </w:p>
        </w:tc>
      </w:tr>
      <w:tr>
        <w:trPr>
          <w:cantSplit/>
        </w:trPr>
        <w:tc>
          <w:tcPr>
            <w:tcW w:type="dxa" w:w="1430"/>
          </w:tcPr>
          <w:p>
            <w:pPr>
              <w:spacing w:before="0" w:after="0"/>
            </w:pPr>
            <w:r>
              <w:rPr>
                <w:sz w:val="20"/>
              </w:rPr>
              <w:t>Comfort on a platform</w:t>
            </w:r>
          </w:p>
        </w:tc>
        <w:tc>
          <w:tcPr>
            <w:tcW w:type="dxa" w:w="5184"/>
          </w:tcPr>
          <w:p>
            <w:pPr>
              <w:spacing w:before="0" w:after="0"/>
            </w:pPr>
            <w:r>
              <w:rPr>
                <w:sz w:val="20"/>
              </w:rPr>
              <w:t>Meta's store policies ask apps to rate their comfort on one scale and to show content ratings and warnings before release (Meta Horizon Store policies).</w:t>
            </w:r>
          </w:p>
        </w:tc>
        <w:tc>
          <w:tcPr>
            <w:tcW w:type="dxa" w:w="3024"/>
          </w:tcPr>
          <w:p>
            <w:pPr>
              <w:spacing w:before="0" w:after="0"/>
            </w:pPr>
            <w:r>
              <w:rPr>
                <w:sz w:val="20"/>
              </w:rPr>
              <w:t>Plan for the rating the platform will require.</w:t>
            </w:r>
          </w:p>
        </w:tc>
      </w:tr>
      <w:tr>
        <w:trPr>
          <w:cantSplit/>
        </w:trPr>
        <w:tc>
          <w:tcPr>
            <w:tcW w:type="dxa" w:w="1430"/>
          </w:tcPr>
          <w:p>
            <w:pPr>
              <w:spacing w:before="0" w:after="0"/>
            </w:pPr>
            <w:r>
              <w:rPr>
                <w:sz w:val="20"/>
              </w:rPr>
              <w:t>Transfer</w:t>
            </w:r>
          </w:p>
        </w:tc>
        <w:tc>
          <w:tcPr>
            <w:tcW w:type="dxa" w:w="5184"/>
          </w:tcPr>
          <w:p>
            <w:pPr>
              <w:spacing w:before="0" w:after="0"/>
            </w:pPr>
            <w:r>
              <w:rPr>
                <w:sz w:val="20"/>
              </w:rPr>
              <w:t>XR training was about as effective as non-simulated training in a meta-analysis (Kaplan et al. 2021).</w:t>
            </w:r>
          </w:p>
        </w:tc>
        <w:tc>
          <w:tcPr>
            <w:tcW w:type="dxa" w:w="3024"/>
          </w:tcPr>
          <w:p>
            <w:pPr>
              <w:spacing w:before="0" w:after="0"/>
            </w:pPr>
            <w:r>
              <w:rPr>
                <w:sz w:val="20"/>
              </w:rPr>
              <w:t>Test in the real place and moment: the lab result is not the transfer.</w:t>
            </w:r>
          </w:p>
        </w:tc>
      </w:tr>
      <w:tr>
        <w:trPr>
          <w:cantSplit/>
        </w:trPr>
        <w:tc>
          <w:tcPr>
            <w:tcW w:type="dxa" w:w="1430"/>
          </w:tcPr>
          <w:p>
            <w:pPr>
              <w:spacing w:before="0" w:after="0"/>
            </w:pPr>
            <w:r>
              <w:rPr>
                <w:sz w:val="20"/>
              </w:rPr>
              <w:t>Data</w:t>
            </w:r>
          </w:p>
        </w:tc>
        <w:tc>
          <w:tcPr>
            <w:tcW w:type="dxa" w:w="5184"/>
          </w:tcPr>
          <w:p>
            <w:pPr>
              <w:spacing w:before="0" w:after="0"/>
            </w:pPr>
            <w:r>
              <w:rPr>
                <w:sz w:val="20"/>
              </w:rPr>
              <w:t>Motion tracking data identified people with above 95% accuracy in a study of over 500 participants (Miller et al. 2020, as reported).</w:t>
            </w:r>
          </w:p>
        </w:tc>
        <w:tc>
          <w:tcPr>
            <w:tcW w:type="dxa" w:w="3024"/>
          </w:tcPr>
          <w:p>
            <w:pPr>
              <w:spacing w:before="0" w:after="0"/>
            </w:pPr>
            <w:r>
              <w:rPr>
                <w:sz w:val="20"/>
              </w:rPr>
              <w:t>Decide what a test records, and for how long it is kept.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Fernwood, Leila, Sam, Rafael and Greta are made up for this example; the corridor and the reports are drawn for the lesson. Asking about presence follows Witmer and Singer (1998); asking about simulator sickness follows Kennedy et al. (1993); rating comfort on one scale before release follows Meta's store policies.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Test in the worst realistic moment: crowds, dark, no signal, time pressure.</w:t>
            </w:r>
          </w:p>
          <w:p>
            <w:pPr>
              <w:pStyle w:val="ListBullet"/>
              <w:spacing w:before="0" w:after="40"/>
            </w:pPr>
            <w:r>
              <w:rPr/>
              <w:t>Ask about presence and discomfort with standard questions after each session.</w:t>
            </w:r>
          </w:p>
          <w:p>
            <w:pPr>
              <w:pStyle w:val="ListBullet"/>
              <w:spacing w:before="0" w:after="40"/>
            </w:pPr>
            <w:r>
              <w:rPr/>
              <w:t>Break things on purpose and watch what people do.</w:t>
            </w:r>
          </w:p>
          <w:p>
            <w:pPr>
              <w:pStyle w:val="ListBullet"/>
              <w:spacing w:before="0" w:after="40"/>
            </w:pPr>
            <w:r>
              <w:rPr/>
              <w:t>Test with the people least like the team: older, newer, tired, sceptical.</w:t>
            </w:r>
          </w:p>
          <w:p>
            <w:pPr>
              <w:pStyle w:val="ListBullet"/>
              <w:spacing w:before="0" w:after="100"/>
            </w:pPr>
            <w:r>
              <w:rPr/>
              <w:t>Make every test comparable: the same tasks and measures across prototypes.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Grade the evidence, not only the result. A finding from five colleagues in a quiet room is a hint; the same finding from thirty real guests on busy nights is evidence. Write the grade next to every result, so that a hint is never presented as proof.</w:t>
            </w:r>
          </w:p>
        </w:tc>
      </w:tr>
    </w:tbl>
    <w:p>
      <w:pPr>
        <w:spacing w:before="0" w:after="80"/>
      </w:pPr>
    </w:p>
    <w:p>
      <w:pPr>
        <w:spacing w:before="80" w:after="160"/>
      </w:pPr>
      <w:r>
        <w:rPr>
          <w:b/>
          <w:color w:val="556274"/>
          <w:sz w:val="18"/>
        </w:rPr>
        <w:t xml:space="preserve">Sources · </w:t>
      </w:r>
      <w:r>
        <w:rPr>
          <w:color w:val="556274"/>
          <w:sz w:val="18"/>
        </w:rPr>
        <w:t>Witmer &amp; Singer 1998 · Kennedy et al. 1993 · Meta Horizon Store policies · Kaplan et al. 2021 · Miller et al. 2020</w:t>
      </w:r>
    </w:p>
    <w:p>
      <w:pPr>
        <w:pStyle w:val="Heading2"/>
      </w:pPr>
      <w:r>
        <w:rPr/>
        <w:t>A3 · Feasible or responsible: future-proof UX strategy and its ethical questions · 12 min · Core</w:t>
      </w:r>
    </w:p>
    <w:p>
      <w:pPr>
        <w:pBdr>
          <w:left w:val="single" w:sz="18" w:space="6" w:color="1750A8"/>
        </w:pBdr>
        <w:spacing w:before="40" w:after="120"/>
        <w:ind w:left="170"/>
      </w:pPr>
      <w:r>
        <w:rPr>
          <w:i/>
          <w:color w:val="556274"/>
          <w:sz w:val="22"/>
        </w:rPr>
        <w:t>Feasibility asks “can we build it?”; a responsible UX strategy asks “should we, for whom, and how?”. New interaction and neurotechnologies raise seven ethical questions: data protection, voluntariness, potential for manipulation, cognitive overload, transparency, accessibility and inclusion. They are cheapest to answer at the concept stage and most expensive after scaling.</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Technological feasibility asks “can we build it?”. A responsible UX strategy asks “should we, for whom, and how?”. New interaction and neurotechnologies raise seven ethical questions: data protection (what is recorded), voluntariness (can people say no), potential for manipulation (does it steer people for us), cognitive overload (is it too much), transparency (do people know what happens), accessibility (can everyone use it) and inclusion (who is left out). They are cheapest to answer at the concept stage and most expensive after scaling.</w:t>
            </w:r>
          </w:p>
          <w:p>
            <w:pPr>
              <w:spacing w:before="0" w:after="100"/>
            </w:pPr>
            <w:r>
              <w:rPr>
                <w:b/>
              </w:rPr>
              <w:t>Why it matters.</w:t>
            </w:r>
            <w:r>
              <w:rPr/>
              <w:t xml:space="preserve"> Block 1.1 asks where RealityFlow's ethics are unclear, Block 1.2 rates the ethics of three strategies, and Block 2.1 asks to build ethics into the scaling logic. This card gives you the questions by name.</w:t>
            </w:r>
          </w:p>
          <w:p>
            <w:pPr>
              <w:spacing w:before="0" w:after="100"/>
            </w:pPr>
            <w:r>
              <w:rPr>
                <w:b/>
              </w:rPr>
              <w:t>How to read the picture.</w:t>
            </w:r>
            <w:r>
              <w:rPr/>
              <w:t xml:space="preserve"> Left Fernwood asking “can we build it?”, right “should we, and how?”. Below, the seven ethical questions asked of three Fernwood ideas.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968144"/>
            <wp:docPr id="4" name="Picture 4"/>
            <wp:cNvGraphicFramePr>
              <a:graphicFrameLocks noChangeAspect="1"/>
            </wp:cNvGraphicFramePr>
            <a:graphic>
              <a:graphicData uri="http://schemas.openxmlformats.org/drawingml/2006/picture">
                <pic:pic>
                  <pic:nvPicPr>
                    <pic:cNvPr id="0" name="d16_A3_0-0295629edde8.png"/>
                    <pic:cNvPicPr/>
                  </pic:nvPicPr>
                  <pic:blipFill>
                    <a:blip r:embed="rId13"/>
                    <a:stretch>
                      <a:fillRect/>
                    </a:stretch>
                  </pic:blipFill>
                  <pic:spPr>
                    <a:xfrm>
                      <a:off x="0" y="0"/>
                      <a:ext cx="5940000" cy="1968144"/>
                    </a:xfrm>
                    <a:prstGeom prst="rect"/>
                  </pic:spPr>
                </pic:pic>
              </a:graphicData>
            </a:graphic>
          </wp:inline>
        </w:drawing>
      </w:r>
    </w:p>
    <w:p>
      <w:pPr>
        <w:spacing w:before="0" w:after="160"/>
        <w:jc w:val="center"/>
      </w:pPr>
      <w:r>
        <w:rPr>
          <w:i/>
          <w:color w:val="556274"/>
          <w:sz w:val="18"/>
        </w:rPr>
        <w:t>Figure 4 · Fernwood asking “can we build it?” or “should we, and how?”.</w:t>
      </w:r>
    </w:p>
    <w:p>
      <w:pPr>
        <w:keepNext/>
        <w:spacing w:before="80" w:after="40"/>
        <w:jc w:val="center"/>
      </w:pPr>
      <w:r>
        <w:drawing>
          <wp:inline xmlns:a="http://schemas.openxmlformats.org/drawingml/2006/main" xmlns:pic="http://schemas.openxmlformats.org/drawingml/2006/picture">
            <wp:extent cx="5940000" cy="2501676"/>
            <wp:docPr id="5" name="Picture 5"/>
            <wp:cNvGraphicFramePr>
              <a:graphicFrameLocks noChangeAspect="1"/>
            </wp:cNvGraphicFramePr>
            <a:graphic>
              <a:graphicData uri="http://schemas.openxmlformats.org/drawingml/2006/picture">
                <pic:pic>
                  <pic:nvPicPr>
                    <pic:cNvPr id="0" name="d16_A3_1-5db947774e93.png"/>
                    <pic:cNvPicPr/>
                  </pic:nvPicPr>
                  <pic:blipFill>
                    <a:blip r:embed="rId14"/>
                    <a:stretch>
                      <a:fillRect/>
                    </a:stretch>
                  </pic:blipFill>
                  <pic:spPr>
                    <a:xfrm>
                      <a:off x="0" y="0"/>
                      <a:ext cx="5940000" cy="2501676"/>
                    </a:xfrm>
                    <a:prstGeom prst="rect"/>
                  </pic:spPr>
                </pic:pic>
              </a:graphicData>
            </a:graphic>
          </wp:inline>
        </w:drawing>
      </w:r>
    </w:p>
    <w:p>
      <w:pPr>
        <w:spacing w:before="0" w:after="160"/>
        <w:jc w:val="center"/>
      </w:pPr>
      <w:r>
        <w:rPr>
          <w:i/>
          <w:color w:val="556274"/>
          <w:sz w:val="18"/>
        </w:rPr>
        <w:t>Figure 5 · Seven ethical questions asked of three Fernwood ideas.</w:t>
      </w:r>
    </w:p>
    <w:p>
      <w:pPr>
        <w:spacing w:before="0" w:after="100"/>
      </w:pPr>
      <w:r>
        <w:rPr>
          <w:b/>
        </w:rPr>
        <w:t>Feasible or responsible: a framework and the rules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95"/>
        <w:gridCol w:w="4602"/>
        <w:gridCol w:w="3141"/>
      </w:tblGrid>
      <w:tr>
        <w:trPr>
          <w:cantSplit/>
          <w:tblHeader/>
        </w:trPr>
        <w:tc>
          <w:tcPr>
            <w:tcW w:type="dxa" w:w="1895"/>
            <w:shd w:val="clear" w:color="auto" w:fill="E6ECF4"/>
          </w:tcPr>
          <w:p>
            <w:pPr>
              <w:spacing w:before="0" w:after="0"/>
            </w:pPr>
            <w:r>
              <w:rPr>
                <w:b/>
                <w:sz w:val="20"/>
              </w:rPr>
              <w:t>Source</w:t>
            </w:r>
          </w:p>
        </w:tc>
        <w:tc>
          <w:tcPr>
            <w:tcW w:type="dxa" w:w="4602"/>
            <w:shd w:val="clear" w:color="auto" w:fill="E6ECF4"/>
          </w:tcPr>
          <w:p>
            <w:pPr>
              <w:spacing w:before="0" w:after="0"/>
            </w:pPr>
            <w:r>
              <w:rPr>
                <w:b/>
                <w:sz w:val="20"/>
              </w:rPr>
              <w:t>Real framework or rule</w:t>
            </w:r>
          </w:p>
        </w:tc>
        <w:tc>
          <w:tcPr>
            <w:tcW w:type="dxa" w:w="3141"/>
            <w:shd w:val="clear" w:color="auto" w:fill="E6ECF4"/>
          </w:tcPr>
          <w:p>
            <w:pPr>
              <w:spacing w:before="0" w:after="0"/>
            </w:pPr>
            <w:r>
              <w:rPr>
                <w:b/>
                <w:sz w:val="20"/>
              </w:rPr>
              <w:t>What it means for a strategy</w:t>
            </w:r>
          </w:p>
        </w:tc>
      </w:tr>
      <w:tr>
        <w:trPr>
          <w:cantSplit/>
        </w:trPr>
        <w:tc>
          <w:tcPr>
            <w:tcW w:type="dxa" w:w="1895"/>
          </w:tcPr>
          <w:p>
            <w:pPr>
              <w:spacing w:before="0" w:after="0"/>
            </w:pPr>
            <w:r>
              <w:rPr>
                <w:sz w:val="20"/>
              </w:rPr>
              <w:t>Responsible innovation</w:t>
            </w:r>
          </w:p>
        </w:tc>
        <w:tc>
          <w:tcPr>
            <w:tcW w:type="dxa" w:w="4602"/>
          </w:tcPr>
          <w:p>
            <w:pPr>
              <w:spacing w:before="0" w:after="0"/>
            </w:pPr>
            <w:r>
              <w:rPr>
                <w:sz w:val="20"/>
              </w:rPr>
              <w:t>Stilgoe, Owen and Macnaghten name four dimensions: anticipation, reflexivity, inclusion and responsiveness (Stilgoe et al. 2013).</w:t>
            </w:r>
          </w:p>
        </w:tc>
        <w:tc>
          <w:tcPr>
            <w:tcW w:type="dxa" w:w="3141"/>
          </w:tcPr>
          <w:p>
            <w:pPr>
              <w:spacing w:before="0" w:after="0"/>
            </w:pPr>
            <w:r>
              <w:rPr>
                <w:sz w:val="20"/>
              </w:rPr>
              <w:t>Ask the four questions at every gate: what could follow, what are we assuming, who is missing, what will we change?</w:t>
            </w:r>
          </w:p>
        </w:tc>
      </w:tr>
      <w:tr>
        <w:trPr>
          <w:cantSplit/>
        </w:trPr>
        <w:tc>
          <w:tcPr>
            <w:tcW w:type="dxa" w:w="1895"/>
          </w:tcPr>
          <w:p>
            <w:pPr>
              <w:spacing w:before="0" w:after="0"/>
            </w:pPr>
            <w:r>
              <w:rPr>
                <w:sz w:val="20"/>
              </w:rPr>
              <w:t>Banned practice</w:t>
            </w:r>
          </w:p>
        </w:tc>
        <w:tc>
          <w:tcPr>
            <w:tcW w:type="dxa" w:w="4602"/>
          </w:tcPr>
          <w:p>
            <w:pPr>
              <w:spacing w:before="0" w:after="0"/>
            </w:pPr>
            <w:r>
              <w:rPr>
                <w:sz w:val="20"/>
              </w:rPr>
              <w:t>The EU AI Act prohibits emotion recognition in workplaces and educational institutions, with exceptions for medical and safety reasons (Article 5(1)(f)).</w:t>
            </w:r>
          </w:p>
        </w:tc>
        <w:tc>
          <w:tcPr>
            <w:tcW w:type="dxa" w:w="3141"/>
          </w:tcPr>
          <w:p>
            <w:pPr>
              <w:spacing w:before="0" w:after="0"/>
            </w:pPr>
            <w:r>
              <w:rPr>
                <w:sz w:val="20"/>
              </w:rPr>
              <w:t>Some applications are not allowed at all: check before you build.</w:t>
            </w:r>
          </w:p>
        </w:tc>
      </w:tr>
      <w:tr>
        <w:trPr>
          <w:cantSplit/>
        </w:trPr>
        <w:tc>
          <w:tcPr>
            <w:tcW w:type="dxa" w:w="1895"/>
          </w:tcPr>
          <w:p>
            <w:pPr>
              <w:spacing w:before="0" w:after="0"/>
            </w:pPr>
            <w:r>
              <w:rPr>
                <w:sz w:val="20"/>
              </w:rPr>
              <w:t>Transparency</w:t>
            </w:r>
          </w:p>
        </w:tc>
        <w:tc>
          <w:tcPr>
            <w:tcW w:type="dxa" w:w="4602"/>
          </w:tcPr>
          <w:p>
            <w:pPr>
              <w:spacing w:before="0" w:after="0"/>
            </w:pPr>
            <w:r>
              <w:rPr>
                <w:sz w:val="20"/>
              </w:rPr>
              <w:t>People have to be told that they are interacting with an AI system, unless that is obvious (EU AI Act, Article 50).</w:t>
            </w:r>
          </w:p>
        </w:tc>
        <w:tc>
          <w:tcPr>
            <w:tcW w:type="dxa" w:w="3141"/>
          </w:tcPr>
          <w:p>
            <w:pPr>
              <w:spacing w:before="0" w:after="0"/>
            </w:pPr>
            <w:r>
              <w:rPr>
                <w:sz w:val="20"/>
              </w:rPr>
              <w:t>Label AI in immersive scenes, including AI characters.</w:t>
            </w:r>
          </w:p>
        </w:tc>
      </w:tr>
      <w:tr>
        <w:trPr>
          <w:cantSplit/>
        </w:trPr>
        <w:tc>
          <w:tcPr>
            <w:tcW w:type="dxa" w:w="1895"/>
          </w:tcPr>
          <w:p>
            <w:pPr>
              <w:spacing w:before="0" w:after="0"/>
            </w:pPr>
            <w:r>
              <w:rPr>
                <w:sz w:val="20"/>
              </w:rPr>
              <w:t>Social acceptance</w:t>
            </w:r>
          </w:p>
        </w:tc>
        <w:tc>
          <w:tcPr>
            <w:tcW w:type="dxa" w:w="4602"/>
          </w:tcPr>
          <w:p>
            <w:pPr>
              <w:spacing w:before="0" w:after="0"/>
            </w:pPr>
            <w:r>
              <w:rPr>
                <w:sz w:val="20"/>
              </w:rPr>
              <w:t>Glass met a public backlash, with signs in businesses and the name “Glassholes”, in the account of press reports (as reported).</w:t>
            </w:r>
          </w:p>
        </w:tc>
        <w:tc>
          <w:tcPr>
            <w:tcW w:type="dxa" w:w="3141"/>
          </w:tcPr>
          <w:p>
            <w:pPr>
              <w:spacing w:before="0" w:after="0"/>
            </w:pPr>
            <w:r>
              <w:rPr>
                <w:sz w:val="20"/>
              </w:rPr>
              <w:t>Include the people around the user in the inclusion question.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Fernwood, Leila, Sam, Rafael and Greta are made up for this example; the corridor and the reports are drawn for the lesson. Anticipation, reflection, inclusion and responsiveness follow Stilgoe, Owen and Macnaghten (2013); the EU bans emotion recognition at work and in education and harmful manipulation (European Commission, AI Act).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Ask all seven questions of every idea before the first prototype.</w:t>
            </w:r>
          </w:p>
          <w:p>
            <w:pPr>
              <w:pStyle w:val="ListBullet"/>
              <w:spacing w:before="0" w:after="40"/>
            </w:pPr>
            <w:r>
              <w:rPr/>
              <w:t>Write down what is recorded, inferred and kept, and for how long.</w:t>
            </w:r>
          </w:p>
          <w:p>
            <w:pPr>
              <w:pStyle w:val="ListBullet"/>
              <w:spacing w:before="0" w:after="40"/>
            </w:pPr>
            <w:r>
              <w:rPr/>
              <w:t>Check that saying no is possible and costs nothing.</w:t>
            </w:r>
          </w:p>
          <w:p>
            <w:pPr>
              <w:pStyle w:val="ListBullet"/>
              <w:spacing w:before="0" w:after="40"/>
            </w:pPr>
            <w:r>
              <w:rPr/>
              <w:t>Ask whose interest any steering serves.</w:t>
            </w:r>
          </w:p>
          <w:p>
            <w:pPr>
              <w:pStyle w:val="ListBullet"/>
              <w:spacing w:before="0" w:after="100"/>
            </w:pPr>
            <w:r>
              <w:rPr/>
              <w:t>Name who cannot use it, and what they get instead.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The biggest blind spots sit between feasibility and responsibility: a team that can build something rarely asks whether it should, and the people who would ask are rarely in the room when it is built. Invite them to the concept stage, not the launch.</w:t>
            </w:r>
          </w:p>
        </w:tc>
      </w:tr>
    </w:tbl>
    <w:p>
      <w:pPr>
        <w:spacing w:before="0" w:after="80"/>
      </w:pPr>
    </w:p>
    <w:p>
      <w:pPr>
        <w:spacing w:before="80" w:after="160"/>
      </w:pPr>
      <w:r>
        <w:rPr>
          <w:b/>
          <w:color w:val="556274"/>
          <w:sz w:val="18"/>
        </w:rPr>
        <w:t xml:space="preserve">Sources · </w:t>
      </w:r>
      <w:r>
        <w:rPr>
          <w:color w:val="556274"/>
          <w:sz w:val="18"/>
        </w:rPr>
        <w:t>Stilgoe, Owen &amp; Macnaghten 2013 · European Commission, AI Act · EU AI Act 2024</w:t>
      </w:r>
    </w:p>
    <w:p>
      <w:pPr>
        <w:pStyle w:val="Heading2"/>
      </w:pPr>
      <w:r>
        <w:rPr/>
        <w:t>A4 · Responsible, connectable, governable: maturity, learning and the UX portfolio · 12 min · Core</w:t>
      </w:r>
    </w:p>
    <w:p>
      <w:pPr>
        <w:pBdr>
          <w:left w:val="single" w:sz="18" w:space="6" w:color="1750A8"/>
        </w:pBdr>
        <w:spacing w:before="40" w:after="120"/>
        <w:ind w:left="170"/>
      </w:pPr>
      <w:r>
        <w:rPr>
          <w:i/>
          <w:color w:val="556274"/>
          <w:sz w:val="22"/>
        </w:rPr>
        <w:t>A new technology must be responsible (no avoidable harm), connectable (fits the products, processes and systems already run) and governable (someone can decide, measure and stop it). How far a company can go depends on the technology's maturity and on its own ability to learn. Together they shape the UX portfolio: scale, test further, pause, stop.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new technology must be not only innovative but responsible (it does no avoidable harm), connectable (it fits the products, processes and systems the company already runs) and governable (someone can decide about it, measure it and stop it). How far a company can go depends on the maturity of the technology and on its own ability to learn: an organisation that tests, compares and decides well can hold more bold bets. Together they shape the UX portfolio: what is scaled, what is tested further, what is paused, what is stopped.</w:t>
            </w:r>
          </w:p>
          <w:p>
            <w:pPr>
              <w:spacing w:before="0" w:after="100"/>
            </w:pPr>
            <w:r>
              <w:rPr>
                <w:b/>
              </w:rPr>
              <w:t>Why it matters.</w:t>
            </w:r>
            <w:r>
              <w:rPr/>
              <w:t xml:space="preserve"> Block 1.1 asks about RealityFlow's scalability and organisational capability, Block 1.2 rates capacity to innovate and steerability, and Block 2.1 asks to focus NextWorld UX's portfolio. This card gives you the three tests and the four moves of a portfolio.</w:t>
            </w:r>
          </w:p>
          <w:p>
            <w:pPr>
              <w:spacing w:before="0" w:after="100"/>
            </w:pPr>
            <w:r>
              <w:rPr>
                <w:b/>
              </w:rPr>
              <w:t>How to read the picture.</w:t>
            </w:r>
            <w:r>
              <w:rPr/>
              <w:t xml:space="preserve"> Fernwood's five initiatives on a portfolio board. Below, how experiments grow into a steerable future architecture.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086707"/>
            <wp:docPr id="6" name="Picture 6"/>
            <wp:cNvGraphicFramePr>
              <a:graphicFrameLocks noChangeAspect="1"/>
            </wp:cNvGraphicFramePr>
            <a:graphic>
              <a:graphicData uri="http://schemas.openxmlformats.org/drawingml/2006/picture">
                <pic:pic>
                  <pic:nvPicPr>
                    <pic:cNvPr id="0" name="d16_A4_0-951443b990b6.png"/>
                    <pic:cNvPicPr/>
                  </pic:nvPicPr>
                  <pic:blipFill>
                    <a:blip r:embed="rId15"/>
                    <a:stretch>
                      <a:fillRect/>
                    </a:stretch>
                  </pic:blipFill>
                  <pic:spPr>
                    <a:xfrm>
                      <a:off x="0" y="0"/>
                      <a:ext cx="5940000" cy="2086707"/>
                    </a:xfrm>
                    <a:prstGeom prst="rect"/>
                  </pic:spPr>
                </pic:pic>
              </a:graphicData>
            </a:graphic>
          </wp:inline>
        </w:drawing>
      </w:r>
    </w:p>
    <w:p>
      <w:pPr>
        <w:spacing w:before="0" w:after="160"/>
        <w:jc w:val="center"/>
      </w:pPr>
      <w:r>
        <w:rPr>
          <w:i/>
          <w:color w:val="556274"/>
          <w:sz w:val="18"/>
        </w:rPr>
        <w:t>Figure 6 · Fernwood's five initiatives on a portfolio board.</w:t>
      </w:r>
    </w:p>
    <w:p>
      <w:pPr>
        <w:keepNext/>
        <w:spacing w:before="80" w:after="40"/>
        <w:jc w:val="center"/>
      </w:pPr>
      <w:r>
        <w:drawing>
          <wp:inline xmlns:a="http://schemas.openxmlformats.org/drawingml/2006/main" xmlns:pic="http://schemas.openxmlformats.org/drawingml/2006/picture">
            <wp:extent cx="5940000" cy="1363473"/>
            <wp:docPr id="7" name="Picture 7"/>
            <wp:cNvGraphicFramePr>
              <a:graphicFrameLocks noChangeAspect="1"/>
            </wp:cNvGraphicFramePr>
            <a:graphic>
              <a:graphicData uri="http://schemas.openxmlformats.org/drawingml/2006/picture">
                <pic:pic>
                  <pic:nvPicPr>
                    <pic:cNvPr id="0" name="d16_A4_1-000c9626e708.png"/>
                    <pic:cNvPicPr/>
                  </pic:nvPicPr>
                  <pic:blipFill>
                    <a:blip r:embed="rId16"/>
                    <a:stretch>
                      <a:fillRect/>
                    </a:stretch>
                  </pic:blipFill>
                  <pic:spPr>
                    <a:xfrm>
                      <a:off x="0" y="0"/>
                      <a:ext cx="5940000" cy="1363473"/>
                    </a:xfrm>
                    <a:prstGeom prst="rect"/>
                  </pic:spPr>
                </pic:pic>
              </a:graphicData>
            </a:graphic>
          </wp:inline>
        </w:drawing>
      </w:r>
    </w:p>
    <w:p>
      <w:pPr>
        <w:spacing w:before="0" w:after="160"/>
        <w:jc w:val="center"/>
      </w:pPr>
      <w:r>
        <w:rPr>
          <w:i/>
          <w:color w:val="556274"/>
          <w:sz w:val="18"/>
        </w:rPr>
        <w:t>Figure 7 · How a steerable future architecture grows out of experiments, pilots and research.</w:t>
      </w:r>
    </w:p>
    <w:p>
      <w:pPr>
        <w:spacing w:before="0" w:after="100"/>
      </w:pPr>
      <w:r>
        <w:rPr>
          <w:b/>
        </w:rPr>
        <w:t>Maturity, learning and the portfolio: real practice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30"/>
        <w:gridCol w:w="4705"/>
        <w:gridCol w:w="3203"/>
      </w:tblGrid>
      <w:tr>
        <w:trPr>
          <w:cantSplit/>
          <w:tblHeader/>
        </w:trPr>
        <w:tc>
          <w:tcPr>
            <w:tcW w:type="dxa" w:w="1730"/>
            <w:shd w:val="clear" w:color="auto" w:fill="E6ECF4"/>
          </w:tcPr>
          <w:p>
            <w:pPr>
              <w:spacing w:before="0" w:after="0"/>
            </w:pPr>
            <w:r>
              <w:rPr>
                <w:b/>
                <w:sz w:val="20"/>
              </w:rPr>
              <w:t>Idea</w:t>
            </w:r>
          </w:p>
        </w:tc>
        <w:tc>
          <w:tcPr>
            <w:tcW w:type="dxa" w:w="4705"/>
            <w:shd w:val="clear" w:color="auto" w:fill="E6ECF4"/>
          </w:tcPr>
          <w:p>
            <w:pPr>
              <w:spacing w:before="0" w:after="0"/>
            </w:pPr>
            <w:r>
              <w:rPr>
                <w:b/>
                <w:sz w:val="20"/>
              </w:rPr>
              <w:t>Real source</w:t>
            </w:r>
          </w:p>
        </w:tc>
        <w:tc>
          <w:tcPr>
            <w:tcW w:type="dxa" w:w="3203"/>
            <w:shd w:val="clear" w:color="auto" w:fill="E6ECF4"/>
          </w:tcPr>
          <w:p>
            <w:pPr>
              <w:spacing w:before="0" w:after="0"/>
            </w:pPr>
            <w:r>
              <w:rPr>
                <w:b/>
                <w:sz w:val="20"/>
              </w:rPr>
              <w:t>What it means for a portfolio</w:t>
            </w:r>
          </w:p>
        </w:tc>
      </w:tr>
      <w:tr>
        <w:trPr>
          <w:cantSplit/>
        </w:trPr>
        <w:tc>
          <w:tcPr>
            <w:tcW w:type="dxa" w:w="1730"/>
          </w:tcPr>
          <w:p>
            <w:pPr>
              <w:spacing w:before="0" w:after="0"/>
            </w:pPr>
            <w:r>
              <w:rPr>
                <w:sz w:val="20"/>
              </w:rPr>
              <w:t>Stages and gates</w:t>
            </w:r>
          </w:p>
        </w:tc>
        <w:tc>
          <w:tcPr>
            <w:tcW w:type="dxa" w:w="4705"/>
          </w:tcPr>
          <w:p>
            <w:pPr>
              <w:spacing w:before="0" w:after="0"/>
            </w:pPr>
            <w:r>
              <w:rPr>
                <w:sz w:val="20"/>
              </w:rPr>
              <w:t>Cooper's stage-gate system manages new products through stages with gates (Cooper 1990).</w:t>
            </w:r>
          </w:p>
        </w:tc>
        <w:tc>
          <w:tcPr>
            <w:tcW w:type="dxa" w:w="3203"/>
          </w:tcPr>
          <w:p>
            <w:pPr>
              <w:spacing w:before="0" w:after="0"/>
            </w:pPr>
            <w:r>
              <w:rPr>
                <w:sz w:val="20"/>
              </w:rPr>
              <w:t>Run every immersive line through the same gates, so lines can be compared.</w:t>
            </w:r>
          </w:p>
        </w:tc>
      </w:tr>
      <w:tr>
        <w:trPr>
          <w:cantSplit/>
        </w:trPr>
        <w:tc>
          <w:tcPr>
            <w:tcW w:type="dxa" w:w="1730"/>
          </w:tcPr>
          <w:p>
            <w:pPr>
              <w:spacing w:before="0" w:after="0"/>
            </w:pPr>
            <w:r>
              <w:rPr>
                <w:sz w:val="20"/>
              </w:rPr>
              <w:t>Learning</w:t>
            </w:r>
          </w:p>
        </w:tc>
        <w:tc>
          <w:tcPr>
            <w:tcW w:type="dxa" w:w="4705"/>
          </w:tcPr>
          <w:p>
            <w:pPr>
              <w:spacing w:before="0" w:after="0"/>
            </w:pPr>
            <w:r>
              <w:rPr>
                <w:sz w:val="20"/>
              </w:rPr>
              <w:t>Organisations learn when they question the assumptions behind their actions, not only the actions (Argyris and Schön 1978).</w:t>
            </w:r>
          </w:p>
        </w:tc>
        <w:tc>
          <w:tcPr>
            <w:tcW w:type="dxa" w:w="3203"/>
          </w:tcPr>
          <w:p>
            <w:pPr>
              <w:spacing w:before="0" w:after="0"/>
            </w:pPr>
            <w:r>
              <w:rPr>
                <w:sz w:val="20"/>
              </w:rPr>
              <w:t>At each gate ask what the pilot taught about the assumptions, not only about the product.</w:t>
            </w:r>
          </w:p>
        </w:tc>
      </w:tr>
      <w:tr>
        <w:trPr>
          <w:cantSplit/>
        </w:trPr>
        <w:tc>
          <w:tcPr>
            <w:tcW w:type="dxa" w:w="1730"/>
          </w:tcPr>
          <w:p>
            <w:pPr>
              <w:spacing w:before="0" w:after="0"/>
            </w:pPr>
            <w:r>
              <w:rPr>
                <w:sz w:val="20"/>
              </w:rPr>
              <w:t>Phased government practice</w:t>
            </w:r>
          </w:p>
        </w:tc>
        <w:tc>
          <w:tcPr>
            <w:tcW w:type="dxa" w:w="4705"/>
          </w:tcPr>
          <w:p>
            <w:pPr>
              <w:spacing w:before="0" w:after="0"/>
            </w:pPr>
            <w:r>
              <w:rPr>
                <w:sz w:val="20"/>
              </w:rPr>
              <w:t>UK government services move through discovery, alpha, beta and live, and the Service Standard is applied at each (GOV.UK Service Standard; GOV.UK Service Manual).</w:t>
            </w:r>
          </w:p>
        </w:tc>
        <w:tc>
          <w:tcPr>
            <w:tcW w:type="dxa" w:w="3203"/>
          </w:tcPr>
          <w:p>
            <w:pPr>
              <w:spacing w:before="0" w:after="0"/>
            </w:pPr>
            <w:r>
              <w:rPr>
                <w:sz w:val="20"/>
              </w:rPr>
              <w:t>Limit the number of lines in each phase.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Fernwood, Leila, Sam, Rafael and Greta are made up for this example; the corridor and the reports are drawn for the lesson. Learning by questioning one's own assumptions follows Argyris and Schön (1978); deciding at gates follows Cooper (1990).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Ask three questions of every initiative: responsible, connectable, governable?</w:t>
            </w:r>
          </w:p>
          <w:p>
            <w:pPr>
              <w:pStyle w:val="ListBullet"/>
              <w:spacing w:before="0" w:after="40"/>
            </w:pPr>
            <w:r>
              <w:rPr/>
              <w:t>Place it by maturity: concept, prototype, pilot, scalable.</w:t>
            </w:r>
          </w:p>
          <w:p>
            <w:pPr>
              <w:pStyle w:val="ListBullet"/>
              <w:spacing w:before="0" w:after="40"/>
            </w:pPr>
            <w:r>
              <w:rPr/>
              <w:t>Make one of four moves: scale, test further, pause, stop.</w:t>
            </w:r>
          </w:p>
          <w:p>
            <w:pPr>
              <w:pStyle w:val="ListBullet"/>
              <w:spacing w:before="0" w:after="40"/>
            </w:pPr>
            <w:r>
              <w:rPr/>
              <w:t>Review the portfolio regularly, not only when something goes wrong.</w:t>
            </w:r>
          </w:p>
          <w:p>
            <w:pPr>
              <w:pStyle w:val="ListBullet"/>
              <w:spacing w:before="0" w:after="100"/>
            </w:pPr>
            <w:r>
              <w:rPr/>
              <w:t>Ask what the organisation learned, not only what it built.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Keep a quarter log: every three months, one line per initiative saying what was decided and why. After a year the log shows whether the company learns from its experiments, or only starts new ones.</w:t>
            </w:r>
          </w:p>
        </w:tc>
      </w:tr>
    </w:tbl>
    <w:p>
      <w:pPr>
        <w:spacing w:before="0" w:after="80"/>
      </w:pPr>
    </w:p>
    <w:p>
      <w:pPr>
        <w:spacing w:before="80" w:after="160"/>
      </w:pPr>
      <w:r>
        <w:rPr>
          <w:b/>
          <w:color w:val="556274"/>
          <w:sz w:val="18"/>
        </w:rPr>
        <w:t xml:space="preserve">Sources · </w:t>
      </w:r>
      <w:r>
        <w:rPr>
          <w:color w:val="556274"/>
          <w:sz w:val="18"/>
        </w:rPr>
        <w:t>Argyris &amp; Schön 1978 · Cooper 1990 · GOV.UK Service Standard · GOV.UK Service Manual</w:t>
      </w:r>
    </w:p>
    <w:p>
      <w:pPr>
        <w:pStyle w:val="Heading2"/>
      </w:pPr>
      <w:r>
        <w:rPr/>
        <w:t>A5 · When not to scale, and weighing a scaling decision · 12 min · Core</w:t>
      </w:r>
    </w:p>
    <w:p>
      <w:pPr>
        <w:pBdr>
          <w:left w:val="single" w:sz="18" w:space="6" w:color="1750A8"/>
        </w:pBdr>
        <w:spacing w:before="40" w:after="120"/>
        <w:ind w:left="170"/>
      </w:pPr>
      <w:r>
        <w:rPr>
          <w:i/>
          <w:color w:val="556274"/>
          <w:sz w:val="22"/>
        </w:rPr>
        <w:t>Not scaling can be the best decision. Signs: it impresses but is rarely used again; it works only for some; it has not been tested in real use; its ethics are not settled; the organisation cannot support it; it does not fit the strategy. Weigh measures on effect on users, feasibility, risk, time pressure and strategic viability, with a reason for every rating.</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Not scaling can be the best decision. Signs that a technology should not be scaled yet: it impresses but is rarely used again; it works only for some users; it has not been tested in real use; its ethics are not settled; the organisation cannot support it; or it does not fit the strategy. To put measures in order, weigh each on effect on users, feasibility, risk, time pressure and strategic viability, with a reason for every rating.</w:t>
            </w:r>
          </w:p>
          <w:p>
            <w:pPr>
              <w:spacing w:before="0" w:after="100"/>
            </w:pPr>
            <w:r>
              <w:rPr>
                <w:b/>
              </w:rPr>
              <w:t>Why it matters.</w:t>
            </w:r>
            <w:r>
              <w:rPr/>
              <w:t xml:space="preserve"> Block 1.1 asks for the biggest strategic risks, and Block 2.1 asks for four measures for a responsible scaling decision, justified on effect on users, feasibility, risk, time pressure and strategic viability. The example uses Fernwood and its own measures, so the answer for the task cases is not given.</w:t>
            </w:r>
          </w:p>
          <w:p>
            <w:pPr>
              <w:spacing w:before="0" w:after="100"/>
            </w:pPr>
            <w:r>
              <w:rPr>
                <w:b/>
              </w:rPr>
              <w:t>How to read the picture.</w:t>
            </w:r>
            <w:r>
              <w:rPr/>
              <w:t xml:space="preserve"> Six signs that Fernwood should not scale yet, as a checklist you can try on its AR minibar. Then three measures rated on five criteria.</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691377"/>
            <wp:docPr id="8" name="Picture 8"/>
            <wp:cNvGraphicFramePr>
              <a:graphicFrameLocks noChangeAspect="1"/>
            </wp:cNvGraphicFramePr>
            <a:graphic>
              <a:graphicData uri="http://schemas.openxmlformats.org/drawingml/2006/picture">
                <pic:pic>
                  <pic:nvPicPr>
                    <pic:cNvPr id="0" name="d16_A5_0-ed8c8f9ea86a.png"/>
                    <pic:cNvPicPr/>
                  </pic:nvPicPr>
                  <pic:blipFill>
                    <a:blip r:embed="rId17"/>
                    <a:stretch>
                      <a:fillRect/>
                    </a:stretch>
                  </pic:blipFill>
                  <pic:spPr>
                    <a:xfrm>
                      <a:off x="0" y="0"/>
                      <a:ext cx="5940000" cy="2691377"/>
                    </a:xfrm>
                    <a:prstGeom prst="rect"/>
                  </pic:spPr>
                </pic:pic>
              </a:graphicData>
            </a:graphic>
          </wp:inline>
        </w:drawing>
      </w:r>
    </w:p>
    <w:p>
      <w:pPr>
        <w:spacing w:before="0" w:after="160"/>
        <w:jc w:val="center"/>
      </w:pPr>
      <w:r>
        <w:rPr>
          <w:i/>
          <w:color w:val="556274"/>
          <w:sz w:val="18"/>
        </w:rPr>
        <w:t>Figure 8 · Six signs that Fernwood should not scale yet, tried on the AR minibar menu.</w:t>
      </w:r>
    </w:p>
    <w:p>
      <w:pPr>
        <w:keepNext/>
        <w:spacing w:before="80" w:after="40"/>
        <w:jc w:val="center"/>
      </w:pPr>
      <w:r>
        <w:drawing>
          <wp:inline xmlns:a="http://schemas.openxmlformats.org/drawingml/2006/main" xmlns:pic="http://schemas.openxmlformats.org/drawingml/2006/picture">
            <wp:extent cx="5940000" cy="3505509"/>
            <wp:docPr id="9" name="Picture 9"/>
            <wp:cNvGraphicFramePr>
              <a:graphicFrameLocks noChangeAspect="1"/>
            </wp:cNvGraphicFramePr>
            <a:graphic>
              <a:graphicData uri="http://schemas.openxmlformats.org/drawingml/2006/picture">
                <pic:pic>
                  <pic:nvPicPr>
                    <pic:cNvPr id="0" name="d16_A5_1-e5014d35d2cf.png"/>
                    <pic:cNvPicPr/>
                  </pic:nvPicPr>
                  <pic:blipFill>
                    <a:blip r:embed="rId18"/>
                    <a:stretch>
                      <a:fillRect/>
                    </a:stretch>
                  </pic:blipFill>
                  <pic:spPr>
                    <a:xfrm>
                      <a:off x="0" y="0"/>
                      <a:ext cx="5940000" cy="3505509"/>
                    </a:xfrm>
                    <a:prstGeom prst="rect"/>
                  </pic:spPr>
                </pic:pic>
              </a:graphicData>
            </a:graphic>
          </wp:inline>
        </w:drawing>
      </w:r>
    </w:p>
    <w:p>
      <w:pPr>
        <w:spacing w:before="0" w:after="160"/>
        <w:jc w:val="center"/>
      </w:pPr>
      <w:r>
        <w:rPr>
          <w:i/>
          <w:color w:val="556274"/>
          <w:sz w:val="18"/>
        </w:rPr>
        <w:t>Figure 9 · Fernwood weighs three measures on effect on users, feasibility, risk, time pressure and strategic viability.</w:t>
      </w:r>
    </w:p>
    <w:p>
      <w:pPr>
        <w:spacing w:before="0" w:after="100"/>
      </w:pPr>
      <w:r>
        <w:rPr>
          <w:b/>
        </w:rPr>
        <w:t>When not to scale: findings and a case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21"/>
        <w:gridCol w:w="5090"/>
        <w:gridCol w:w="2727"/>
      </w:tblGrid>
      <w:tr>
        <w:trPr>
          <w:cantSplit/>
          <w:tblHeader/>
        </w:trPr>
        <w:tc>
          <w:tcPr>
            <w:tcW w:type="dxa" w:w="1821"/>
            <w:shd w:val="clear" w:color="auto" w:fill="E6ECF4"/>
          </w:tcPr>
          <w:p>
            <w:pPr>
              <w:spacing w:before="0" w:after="0"/>
            </w:pPr>
            <w:r>
              <w:rPr>
                <w:b/>
                <w:sz w:val="20"/>
              </w:rPr>
              <w:t>Reason not to scale</w:t>
            </w:r>
          </w:p>
        </w:tc>
        <w:tc>
          <w:tcPr>
            <w:tcW w:type="dxa" w:w="5090"/>
            <w:shd w:val="clear" w:color="auto" w:fill="E6ECF4"/>
          </w:tcPr>
          <w:p>
            <w:pPr>
              <w:spacing w:before="0" w:after="0"/>
            </w:pPr>
            <w:r>
              <w:rPr>
                <w:b/>
                <w:sz w:val="20"/>
              </w:rPr>
              <w:t>Real evidence</w:t>
            </w:r>
          </w:p>
        </w:tc>
        <w:tc>
          <w:tcPr>
            <w:tcW w:type="dxa" w:w="2727"/>
            <w:shd w:val="clear" w:color="auto" w:fill="E6ECF4"/>
          </w:tcPr>
          <w:p>
            <w:pPr>
              <w:spacing w:before="0" w:after="0"/>
            </w:pPr>
            <w:r>
              <w:rPr>
                <w:b/>
                <w:sz w:val="20"/>
              </w:rPr>
              <w:t>What it means for a decision</w:t>
            </w:r>
          </w:p>
        </w:tc>
      </w:tr>
      <w:tr>
        <w:trPr>
          <w:cantSplit/>
        </w:trPr>
        <w:tc>
          <w:tcPr>
            <w:tcW w:type="dxa" w:w="1821"/>
          </w:tcPr>
          <w:p>
            <w:pPr>
              <w:spacing w:before="0" w:after="0"/>
            </w:pPr>
            <w:r>
              <w:rPr>
                <w:sz w:val="20"/>
              </w:rPr>
              <w:t>No advantage over the plain way</w:t>
            </w:r>
          </w:p>
        </w:tc>
        <w:tc>
          <w:tcPr>
            <w:tcW w:type="dxa" w:w="5090"/>
          </w:tcPr>
          <w:p>
            <w:pPr>
              <w:spacing w:before="0" w:after="0"/>
            </w:pPr>
            <w:r>
              <w:rPr>
                <w:sz w:val="20"/>
              </w:rPr>
              <w:t>Training in extended reality was equally effective as non-simulated training (Kaplan et al. 2021).</w:t>
            </w:r>
          </w:p>
        </w:tc>
        <w:tc>
          <w:tcPr>
            <w:tcW w:type="dxa" w:w="2727"/>
          </w:tcPr>
          <w:p>
            <w:pPr>
              <w:spacing w:before="0" w:after="0"/>
            </w:pPr>
            <w:r>
              <w:rPr>
                <w:sz w:val="20"/>
              </w:rPr>
              <w:t>If the plain way is as good, the case for scaling is cost, access or safety, not effect.</w:t>
            </w:r>
          </w:p>
        </w:tc>
      </w:tr>
      <w:tr>
        <w:trPr>
          <w:cantSplit/>
        </w:trPr>
        <w:tc>
          <w:tcPr>
            <w:tcW w:type="dxa" w:w="1821"/>
          </w:tcPr>
          <w:p>
            <w:pPr>
              <w:spacing w:before="0" w:after="0"/>
            </w:pPr>
            <w:r>
              <w:rPr>
                <w:sz w:val="20"/>
              </w:rPr>
              <w:t>A harm that grows with scale</w:t>
            </w:r>
          </w:p>
        </w:tc>
        <w:tc>
          <w:tcPr>
            <w:tcW w:type="dxa" w:w="5090"/>
          </w:tcPr>
          <w:p>
            <w:pPr>
              <w:spacing w:before="0" w:after="0"/>
            </w:pPr>
            <w:r>
              <w:rPr>
                <w:sz w:val="20"/>
              </w:rPr>
              <w:t>Motion tracking data can identify people (Miller et al. 2020, as reported), and sickness symptoms affect a large share of users (Rebenitsch and Owen 2016, as reported).</w:t>
            </w:r>
          </w:p>
        </w:tc>
        <w:tc>
          <w:tcPr>
            <w:tcW w:type="dxa" w:w="2727"/>
          </w:tcPr>
          <w:p>
            <w:pPr>
              <w:spacing w:before="0" w:after="0"/>
            </w:pPr>
            <w:r>
              <w:rPr>
                <w:sz w:val="20"/>
              </w:rPr>
              <w:t>Ask what would be regretted if it went wrong at scale.</w:t>
            </w:r>
          </w:p>
        </w:tc>
      </w:tr>
      <w:tr>
        <w:trPr>
          <w:cantSplit/>
        </w:trPr>
        <w:tc>
          <w:tcPr>
            <w:tcW w:type="dxa" w:w="1821"/>
          </w:tcPr>
          <w:p>
            <w:pPr>
              <w:spacing w:before="0" w:after="0"/>
            </w:pPr>
            <w:r>
              <w:rPr>
                <w:sz w:val="20"/>
              </w:rPr>
              <w:t>A product can be stopped</w:t>
            </w:r>
          </w:p>
        </w:tc>
        <w:tc>
          <w:tcPr>
            <w:tcW w:type="dxa" w:w="5090"/>
          </w:tcPr>
          <w:p>
            <w:pPr>
              <w:spacing w:before="0" w:after="0"/>
            </w:pPr>
            <w:r>
              <w:rPr>
                <w:sz w:val="20"/>
              </w:rPr>
              <w:t>Google stopped selling Glass to consumers in January 2015 and the enterprise edition in March 2023 (press reports, as reported); government practice includes the decision to stop (GOV.UK Service Manual).</w:t>
            </w:r>
          </w:p>
        </w:tc>
        <w:tc>
          <w:tcPr>
            <w:tcW w:type="dxa" w:w="2727"/>
          </w:tcPr>
          <w:p>
            <w:pPr>
              <w:spacing w:before="0" w:after="0"/>
            </w:pPr>
            <w:r>
              <w:rPr>
                <w:sz w:val="20"/>
              </w:rPr>
              <w:t>Name the stop decision as an expected outcome, not as a failure.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Fernwood, Leila, Sam, Rafael and Greta are made up for this example; the corridor and the reports are drawn for the lesson. Rating options on the same criteria follows Gibbons (2018); the five criteria are the ones the plan names for the case study.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Check the six signs before every step to scale.</w:t>
            </w:r>
          </w:p>
          <w:p>
            <w:pPr>
              <w:pStyle w:val="ListBullet"/>
              <w:spacing w:before="0" w:after="40"/>
            </w:pPr>
            <w:r>
              <w:rPr/>
              <w:t>Treat a pause as a decision with a date to look again.</w:t>
            </w:r>
          </w:p>
          <w:p>
            <w:pPr>
              <w:pStyle w:val="ListBullet"/>
              <w:spacing w:before="0" w:after="40"/>
            </w:pPr>
            <w:r>
              <w:rPr/>
              <w:t>Treat a stop as a result: write down what was learned.</w:t>
            </w:r>
          </w:p>
          <w:p>
            <w:pPr>
              <w:pStyle w:val="ListBullet"/>
              <w:spacing w:before="0" w:after="40"/>
            </w:pPr>
            <w:r>
              <w:rPr/>
              <w:t>Rate every measure on the same five criteria, with a reason; a rating is a judgement, never a mark.</w:t>
            </w:r>
          </w:p>
          <w:p>
            <w:pPr>
              <w:pStyle w:val="ListBullet"/>
              <w:spacing w:before="0" w:after="100"/>
            </w:pPr>
            <w:r>
              <w:rPr/>
              <w:t>Prefer the measure that decides the biggest question for the least.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When ethics are only looked at after scaling, every answer is expensive: the system is built, people rely on it, and changing it means breaking promises. The same question asked at the concept stage costs a conversation.</w:t>
            </w:r>
          </w:p>
        </w:tc>
      </w:tr>
    </w:tbl>
    <w:p>
      <w:pPr>
        <w:spacing w:before="0" w:after="80"/>
      </w:pPr>
    </w:p>
    <w:p>
      <w:pPr>
        <w:spacing w:before="80" w:after="160"/>
      </w:pPr>
      <w:r>
        <w:rPr>
          <w:b/>
          <w:color w:val="556274"/>
          <w:sz w:val="18"/>
        </w:rPr>
        <w:t xml:space="preserve">Sources · </w:t>
      </w:r>
      <w:r>
        <w:rPr>
          <w:color w:val="556274"/>
          <w:sz w:val="18"/>
        </w:rPr>
        <w:t>Cooper 1990 · Gibbons 2018 · Kaplan et al. 2021 · Miller et al. 2020 · Rebenitsch &amp; Owen 2016 · GOV.UK Service Manual</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led by the facilitator. Level 3 in the Chief Experience Officer's chair: a guiding vision for future-proof UX, three strategic decisions, what continues, pauses or ends, a risk analysis, a governance model, one decision under uncertainty and a statement to the management. The cards give you the ideas you use in Task 2.</w:t>
            </w:r>
          </w:p>
        </w:tc>
      </w:tr>
    </w:tbl>
    <w:p>
      <w:pPr>
        <w:spacing w:before="0" w:after="80"/>
      </w:pPr>
    </w:p>
    <w:p>
      <w:pPr>
        <w:pStyle w:val="Heading2"/>
      </w:pPr>
      <w:r>
        <w:rPr/>
        <w:t>B1 · Future-proof UX as a responsible innovation and decision architecture · 20 min · Core</w:t>
      </w:r>
    </w:p>
    <w:p>
      <w:pPr>
        <w:pBdr>
          <w:left w:val="single" w:sz="18" w:space="6" w:color="1750A8"/>
        </w:pBdr>
        <w:spacing w:before="40" w:after="120"/>
        <w:ind w:left="170"/>
      </w:pPr>
      <w:r>
        <w:rPr>
          <w:i/>
          <w:color w:val="556274"/>
          <w:sz w:val="22"/>
        </w:rPr>
        <w:t>At senior level, future-proof UX is a responsible innovation and decision architecture: a guiding vision of the innovation and responsibility wanted, one evaluation grid with comparable evidence, gates from prototype to pilot to scale with ethics built in, and a portfolio reviewed regularly. Experiments become a future when each one ends in a decision.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At senior level, future-proof UX is a responsible innovation and decision architecture: a guiding vision of the innovation and responsibility the company wants, one evaluation grid with comparable evidence, gates from prototype to pilot to scale with ethics built in, and a portfolio reviewed regularly. A steerable future architecture grows out of experiments, pilots and research when each one ends in a decision, not in a demo.</w:t>
            </w:r>
          </w:p>
          <w:p>
            <w:pPr>
              <w:spacing w:before="0" w:after="100"/>
            </w:pPr>
            <w:r>
              <w:rPr>
                <w:b/>
              </w:rPr>
              <w:t>Why it matters.</w:t>
            </w:r>
            <w:r>
              <w:rPr/>
              <w:t xml:space="preserve"> Block 3.1 asks for a guiding vision for future-proof UX, three decisions on prototyping, testing, scaling, ethics and portfolio, and what continues, pauses or ends. You decide the architecture, not single technologies.</w:t>
            </w:r>
          </w:p>
          <w:p>
            <w:pPr>
              <w:spacing w:before="0" w:after="100"/>
            </w:pPr>
            <w:r>
              <w:rPr>
                <w:b/>
              </w:rPr>
              <w:t>How to read the picture.</w:t>
            </w:r>
            <w:r>
              <w:rPr/>
              <w:t xml:space="preserve"> Left Fernwood collecting experiments, right running a steerable future architecture. Below, the layers from a guiding vision to every pilot.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968144"/>
            <wp:docPr id="10" name="Picture 10"/>
            <wp:cNvGraphicFramePr>
              <a:graphicFrameLocks noChangeAspect="1"/>
            </wp:cNvGraphicFramePr>
            <a:graphic>
              <a:graphicData uri="http://schemas.openxmlformats.org/drawingml/2006/picture">
                <pic:pic>
                  <pic:nvPicPr>
                    <pic:cNvPr id="0" name="d16_B1_0-20b97963b5e3.png"/>
                    <pic:cNvPicPr/>
                  </pic:nvPicPr>
                  <pic:blipFill>
                    <a:blip r:embed="rId19"/>
                    <a:stretch>
                      <a:fillRect/>
                    </a:stretch>
                  </pic:blipFill>
                  <pic:spPr>
                    <a:xfrm>
                      <a:off x="0" y="0"/>
                      <a:ext cx="5940000" cy="1968144"/>
                    </a:xfrm>
                    <a:prstGeom prst="rect"/>
                  </pic:spPr>
                </pic:pic>
              </a:graphicData>
            </a:graphic>
          </wp:inline>
        </w:drawing>
      </w:r>
    </w:p>
    <w:p>
      <w:pPr>
        <w:spacing w:before="0" w:after="160"/>
        <w:jc w:val="center"/>
      </w:pPr>
      <w:r>
        <w:rPr>
          <w:i/>
          <w:color w:val="556274"/>
          <w:sz w:val="18"/>
        </w:rPr>
        <w:t>Figure 10 · Fernwood collecting experiments, or running a steerable future architecture.</w:t>
      </w:r>
    </w:p>
    <w:p>
      <w:pPr>
        <w:keepNext/>
        <w:spacing w:before="80" w:after="40"/>
        <w:jc w:val="center"/>
      </w:pPr>
      <w:r>
        <w:drawing>
          <wp:inline xmlns:a="http://schemas.openxmlformats.org/drawingml/2006/main" xmlns:pic="http://schemas.openxmlformats.org/drawingml/2006/picture">
            <wp:extent cx="5940000" cy="1327904"/>
            <wp:docPr id="11" name="Picture 11"/>
            <wp:cNvGraphicFramePr>
              <a:graphicFrameLocks noChangeAspect="1"/>
            </wp:cNvGraphicFramePr>
            <a:graphic>
              <a:graphicData uri="http://schemas.openxmlformats.org/drawingml/2006/picture">
                <pic:pic>
                  <pic:nvPicPr>
                    <pic:cNvPr id="0" name="d16_B1_1-76eb428bba2a.png"/>
                    <pic:cNvPicPr/>
                  </pic:nvPicPr>
                  <pic:blipFill>
                    <a:blip r:embed="rId20"/>
                    <a:stretch>
                      <a:fillRect/>
                    </a:stretch>
                  </pic:blipFill>
                  <pic:spPr>
                    <a:xfrm>
                      <a:off x="0" y="0"/>
                      <a:ext cx="5940000" cy="1327904"/>
                    </a:xfrm>
                    <a:prstGeom prst="rect"/>
                  </pic:spPr>
                </pic:pic>
              </a:graphicData>
            </a:graphic>
          </wp:inline>
        </w:drawing>
      </w:r>
    </w:p>
    <w:p>
      <w:pPr>
        <w:spacing w:before="0" w:after="160"/>
        <w:jc w:val="center"/>
      </w:pPr>
      <w:r>
        <w:rPr>
          <w:i/>
          <w:color w:val="556274"/>
          <w:sz w:val="18"/>
        </w:rPr>
        <w:t>Figure 11 · The layers of a responsible innovation architecture, from a guiding vision to every pilot.</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Closing question of the course · talk it through</w:t>
            </w:r>
          </w:p>
          <w:p>
            <w:pPr>
              <w:spacing w:before="0" w:after="100"/>
            </w:pPr>
            <w:r>
              <w:rPr/>
              <w:t>What makes a UX strategy sustainable in the long run? A starting point from this card: a vision that outlives single technologies, decisions made on comparable evidence, responsibility built in before scaling, and the courage to pause or stop.</w:t>
            </w:r>
          </w:p>
        </w:tc>
      </w:tr>
    </w:tbl>
    <w:p>
      <w:pPr>
        <w:spacing w:before="0" w:after="80"/>
      </w:pPr>
    </w:p>
    <w:p>
      <w:pPr>
        <w:spacing w:before="0" w:after="100"/>
      </w:pPr>
      <w:r>
        <w:rPr>
          <w:b/>
        </w:rPr>
        <w:t>Future-proof UX as a responsible decision architecture: structures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88"/>
        <w:gridCol w:w="4220"/>
        <w:gridCol w:w="3530"/>
      </w:tblGrid>
      <w:tr>
        <w:trPr>
          <w:cantSplit/>
          <w:tblHeader/>
        </w:trPr>
        <w:tc>
          <w:tcPr>
            <w:tcW w:type="dxa" w:w="1888"/>
            <w:shd w:val="clear" w:color="auto" w:fill="E6ECF4"/>
          </w:tcPr>
          <w:p>
            <w:pPr>
              <w:spacing w:before="0" w:after="0"/>
            </w:pPr>
            <w:r>
              <w:rPr>
                <w:b/>
                <w:sz w:val="20"/>
              </w:rPr>
              <w:t>Part</w:t>
            </w:r>
          </w:p>
        </w:tc>
        <w:tc>
          <w:tcPr>
            <w:tcW w:type="dxa" w:w="4220"/>
            <w:shd w:val="clear" w:color="auto" w:fill="E6ECF4"/>
          </w:tcPr>
          <w:p>
            <w:pPr>
              <w:spacing w:before="0" w:after="0"/>
            </w:pPr>
            <w:r>
              <w:rPr>
                <w:b/>
                <w:sz w:val="20"/>
              </w:rPr>
              <w:t>Real source</w:t>
            </w:r>
          </w:p>
        </w:tc>
        <w:tc>
          <w:tcPr>
            <w:tcW w:type="dxa" w:w="3530"/>
            <w:shd w:val="clear" w:color="auto" w:fill="E6ECF4"/>
          </w:tcPr>
          <w:p>
            <w:pPr>
              <w:spacing w:before="0" w:after="0"/>
            </w:pPr>
            <w:r>
              <w:rPr>
                <w:b/>
                <w:sz w:val="20"/>
              </w:rPr>
              <w:t>What it means</w:t>
            </w:r>
          </w:p>
        </w:tc>
      </w:tr>
      <w:tr>
        <w:trPr>
          <w:cantSplit/>
        </w:trPr>
        <w:tc>
          <w:tcPr>
            <w:tcW w:type="dxa" w:w="1888"/>
          </w:tcPr>
          <w:p>
            <w:pPr>
              <w:spacing w:before="0" w:after="0"/>
            </w:pPr>
            <w:r>
              <w:rPr>
                <w:sz w:val="20"/>
              </w:rPr>
              <w:t>Four dimensions</w:t>
            </w:r>
          </w:p>
        </w:tc>
        <w:tc>
          <w:tcPr>
            <w:tcW w:type="dxa" w:w="4220"/>
          </w:tcPr>
          <w:p>
            <w:pPr>
              <w:spacing w:before="0" w:after="0"/>
            </w:pPr>
            <w:r>
              <w:rPr>
                <w:sz w:val="20"/>
              </w:rPr>
              <w:t>Anticipation, reflexivity, inclusion and responsiveness (Stilgoe et al. 2013).</w:t>
            </w:r>
          </w:p>
        </w:tc>
        <w:tc>
          <w:tcPr>
            <w:tcW w:type="dxa" w:w="3530"/>
          </w:tcPr>
          <w:p>
            <w:pPr>
              <w:spacing w:before="0" w:after="0"/>
            </w:pPr>
            <w:r>
              <w:rPr>
                <w:sz w:val="20"/>
              </w:rPr>
              <w:t>Build the four questions into the process, not into a slide.</w:t>
            </w:r>
          </w:p>
        </w:tc>
      </w:tr>
      <w:tr>
        <w:trPr>
          <w:cantSplit/>
        </w:trPr>
        <w:tc>
          <w:tcPr>
            <w:tcW w:type="dxa" w:w="1888"/>
          </w:tcPr>
          <w:p>
            <w:pPr>
              <w:spacing w:before="0" w:after="0"/>
            </w:pPr>
            <w:r>
              <w:rPr>
                <w:sz w:val="20"/>
              </w:rPr>
              <w:t>Gates</w:t>
            </w:r>
          </w:p>
        </w:tc>
        <w:tc>
          <w:tcPr>
            <w:tcW w:type="dxa" w:w="4220"/>
          </w:tcPr>
          <w:p>
            <w:pPr>
              <w:spacing w:before="0" w:after="0"/>
            </w:pPr>
            <w:r>
              <w:rPr>
                <w:sz w:val="20"/>
              </w:rPr>
              <w:t>Stage-gate (Cooper 1990) and the phases of the GOV.UK Service Standard.</w:t>
            </w:r>
          </w:p>
        </w:tc>
        <w:tc>
          <w:tcPr>
            <w:tcW w:type="dxa" w:w="3530"/>
          </w:tcPr>
          <w:p>
            <w:pPr>
              <w:spacing w:before="0" w:after="0"/>
            </w:pPr>
            <w:r>
              <w:rPr>
                <w:sz w:val="20"/>
              </w:rPr>
              <w:t>Define who decides at each gate and on what.</w:t>
            </w:r>
          </w:p>
        </w:tc>
      </w:tr>
      <w:tr>
        <w:trPr>
          <w:cantSplit/>
        </w:trPr>
        <w:tc>
          <w:tcPr>
            <w:tcW w:type="dxa" w:w="1888"/>
          </w:tcPr>
          <w:p>
            <w:pPr>
              <w:spacing w:before="0" w:after="0"/>
            </w:pPr>
            <w:r>
              <w:rPr>
                <w:sz w:val="20"/>
              </w:rPr>
              <w:t>Law as a design input</w:t>
            </w:r>
          </w:p>
        </w:tc>
        <w:tc>
          <w:tcPr>
            <w:tcW w:type="dxa" w:w="4220"/>
          </w:tcPr>
          <w:p>
            <w:pPr>
              <w:spacing w:before="0" w:after="0"/>
            </w:pPr>
            <w:r>
              <w:rPr>
                <w:sz w:val="20"/>
              </w:rPr>
              <w:t>EU AI Act, Articles 5 and 50.</w:t>
            </w:r>
          </w:p>
        </w:tc>
        <w:tc>
          <w:tcPr>
            <w:tcW w:type="dxa" w:w="3530"/>
          </w:tcPr>
          <w:p>
            <w:pPr>
              <w:spacing w:before="0" w:after="0"/>
            </w:pPr>
            <w:r>
              <w:rPr>
                <w:sz w:val="20"/>
              </w:rPr>
              <w:t>Put the legal limits into the brief, not into the final review.</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Fernwood, Leila, Sam, Rafael and Greta are made up for this example; the corridor and the reports are drawn for the lesson. Responsible innovation follows Stilgoe, Owen and Macnaghten (2013); gates follow Cooper (1990).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Write a guiding vision: what innovation, for whom, and what responsibility.</w:t>
            </w:r>
          </w:p>
          <w:p>
            <w:pPr>
              <w:pStyle w:val="ListBullet"/>
              <w:spacing w:before="0" w:after="40"/>
            </w:pPr>
            <w:r>
              <w:rPr/>
              <w:t>Use one evaluation grid for every prototype and pilot.</w:t>
            </w:r>
          </w:p>
          <w:p>
            <w:pPr>
              <w:pStyle w:val="ListBullet"/>
              <w:spacing w:before="0" w:after="40"/>
            </w:pPr>
            <w:r>
              <w:rPr/>
              <w:t>Put an ethics gate before every pilot and every step to scale.</w:t>
            </w:r>
          </w:p>
          <w:p>
            <w:pPr>
              <w:pStyle w:val="ListBullet"/>
              <w:spacing w:before="0" w:after="40"/>
            </w:pPr>
            <w:r>
              <w:rPr/>
              <w:t>Keep a focused portfolio and review it every quarter.</w:t>
            </w:r>
          </w:p>
          <w:p>
            <w:pPr>
              <w:pStyle w:val="ListBullet"/>
              <w:spacing w:before="0" w:after="100"/>
            </w:pPr>
            <w:r>
              <w:rPr/>
              <w:t>Tell operational decisions (one pilot) from strategic ones (portfolio, governance, market position).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future project is strategically connected when it would still matter if the technology changed: when it serves a lasting need of customers or staff. If it only matters because the technology is new, it is symbolic innovation, and it will age with the technology.</w:t>
            </w:r>
          </w:p>
        </w:tc>
      </w:tr>
    </w:tbl>
    <w:p>
      <w:pPr>
        <w:spacing w:before="0" w:after="80"/>
      </w:pPr>
    </w:p>
    <w:p>
      <w:pPr>
        <w:spacing w:before="80" w:after="160"/>
      </w:pPr>
      <w:r>
        <w:rPr>
          <w:b/>
          <w:color w:val="556274"/>
          <w:sz w:val="18"/>
        </w:rPr>
        <w:t xml:space="preserve">Sources · </w:t>
      </w:r>
      <w:r>
        <w:rPr>
          <w:color w:val="556274"/>
          <w:sz w:val="18"/>
        </w:rPr>
        <w:t>Stilgoe, Owen &amp; Macnaghten 2013 · Cooper 1990 · EU AI Act 2024</w:t>
      </w:r>
    </w:p>
    <w:p>
      <w:pPr>
        <w:pStyle w:val="Heading2"/>
      </w:pPr>
      <w:r>
        <w:rPr/>
        <w:t>B2 · Innovation pressure, ethics, economics, value, maturity, portfolio: the conflicts · 20 min · Core</w:t>
      </w:r>
    </w:p>
    <w:p>
      <w:pPr>
        <w:pBdr>
          <w:left w:val="single" w:sz="18" w:space="6" w:color="1750A8"/>
        </w:pBdr>
        <w:spacing w:before="40" w:after="120"/>
        <w:ind w:left="170"/>
      </w:pPr>
      <w:r>
        <w:rPr>
          <w:i/>
          <w:color w:val="556274"/>
          <w:sz w:val="22"/>
        </w:rPr>
        <w:t>Future-proof UX sits between innovation pressure and maturity, ethics and speed, economic viability and a pioneer role, user value and visibility, the next quarter and the long-term portfolio. More active lines bring more visibility and less learning per line. A good portfolio states which conflicts it accepts and writes down what each line assumes.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Future-proof UX sits between goals that pull apart: innovation pressure against maturity, ethics against speed, economic viability against the pioneer role, user value against visibility, and the next quarter against the long-term portfolio. More active lines bring more visibility and less learning per line; fewer lines bring focus and the risk of missing something. A good portfolio states which conflicts it accepts, and writes down what each line assumes.</w:t>
            </w:r>
          </w:p>
          <w:p>
            <w:pPr>
              <w:spacing w:before="0" w:after="100"/>
            </w:pPr>
            <w:r>
              <w:rPr>
                <w:b/>
              </w:rPr>
              <w:t>Why it matters.</w:t>
            </w:r>
            <w:r>
              <w:rPr/>
              <w:t xml:space="preserve"> Block 3.1 asks for three decisions, a risk analysis of wrong assumptions about future technologies, market maturity, user acceptance and governance, and a governance model for conflicts. Each is a decision between conflicting goals.</w:t>
            </w:r>
          </w:p>
          <w:p>
            <w:pPr>
              <w:spacing w:before="0" w:after="100"/>
            </w:pPr>
            <w:r>
              <w:rPr>
                <w:b/>
              </w:rPr>
              <w:t>How to read the picture.</w:t>
            </w:r>
            <w:r>
              <w:rPr/>
              <w:t xml:space="preserve"> A slider for how many lines Fernwood runs at once, from one to five.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715210"/>
            <wp:docPr id="12" name="Picture 12"/>
            <wp:cNvGraphicFramePr>
              <a:graphicFrameLocks noChangeAspect="1"/>
            </wp:cNvGraphicFramePr>
            <a:graphic>
              <a:graphicData uri="http://schemas.openxmlformats.org/drawingml/2006/picture">
                <pic:pic>
                  <pic:nvPicPr>
                    <pic:cNvPr id="0" name="d16_B2_0-ab1fe1a952da.png"/>
                    <pic:cNvPicPr/>
                  </pic:nvPicPr>
                  <pic:blipFill>
                    <a:blip r:embed="rId21"/>
                    <a:stretch>
                      <a:fillRect/>
                    </a:stretch>
                  </pic:blipFill>
                  <pic:spPr>
                    <a:xfrm>
                      <a:off x="0" y="0"/>
                      <a:ext cx="5940000" cy="1715210"/>
                    </a:xfrm>
                    <a:prstGeom prst="rect"/>
                  </pic:spPr>
                </pic:pic>
              </a:graphicData>
            </a:graphic>
          </wp:inline>
        </w:drawing>
      </w:r>
    </w:p>
    <w:p>
      <w:pPr>
        <w:spacing w:before="0" w:after="160"/>
        <w:jc w:val="center"/>
      </w:pPr>
      <w:r>
        <w:rPr>
          <w:i/>
          <w:color w:val="556274"/>
          <w:sz w:val="18"/>
        </w:rPr>
        <w:t>Figure 12 · How many lines Fernwood runs at once, and what is gained and lost · Exploratory.</w:t>
      </w:r>
    </w:p>
    <w:p>
      <w:pPr>
        <w:spacing w:before="0" w:after="100"/>
      </w:pPr>
      <w:r>
        <w:rPr>
          <w:b/>
        </w:rPr>
        <w:t>Standing conflicts of future-proof UX</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927"/>
        <w:gridCol w:w="3426"/>
        <w:gridCol w:w="3285"/>
      </w:tblGrid>
      <w:tr>
        <w:trPr>
          <w:cantSplit/>
          <w:tblHeader/>
        </w:trPr>
        <w:tc>
          <w:tcPr>
            <w:tcW w:type="dxa" w:w="2927"/>
            <w:shd w:val="clear" w:color="auto" w:fill="E6ECF4"/>
          </w:tcPr>
          <w:p>
            <w:pPr>
              <w:spacing w:before="0" w:after="0"/>
            </w:pPr>
            <w:r>
              <w:rPr>
                <w:b/>
                <w:sz w:val="20"/>
              </w:rPr>
              <w:t>Conflict</w:t>
            </w:r>
          </w:p>
        </w:tc>
        <w:tc>
          <w:tcPr>
            <w:tcW w:type="dxa" w:w="3426"/>
            <w:shd w:val="clear" w:color="auto" w:fill="E6ECF4"/>
          </w:tcPr>
          <w:p>
            <w:pPr>
              <w:spacing w:before="0" w:after="0"/>
            </w:pPr>
            <w:r>
              <w:rPr>
                <w:b/>
                <w:sz w:val="20"/>
              </w:rPr>
              <w:t>Who usually stands for each side</w:t>
            </w:r>
          </w:p>
        </w:tc>
        <w:tc>
          <w:tcPr>
            <w:tcW w:type="dxa" w:w="3285"/>
            <w:shd w:val="clear" w:color="auto" w:fill="E6ECF4"/>
          </w:tcPr>
          <w:p>
            <w:pPr>
              <w:spacing w:before="0" w:after="0"/>
            </w:pPr>
            <w:r>
              <w:rPr>
                <w:b/>
                <w:sz w:val="20"/>
              </w:rPr>
              <w:t>What to ask</w:t>
            </w:r>
          </w:p>
        </w:tc>
      </w:tr>
      <w:tr>
        <w:trPr>
          <w:cantSplit/>
        </w:trPr>
        <w:tc>
          <w:tcPr>
            <w:tcW w:type="dxa" w:w="2927"/>
          </w:tcPr>
          <w:p>
            <w:pPr>
              <w:spacing w:before="0" w:after="0"/>
            </w:pPr>
            <w:r>
              <w:rPr>
                <w:sz w:val="20"/>
              </w:rPr>
              <w:t>Innovation pressure against maturity</w:t>
            </w:r>
          </w:p>
        </w:tc>
        <w:tc>
          <w:tcPr>
            <w:tcW w:type="dxa" w:w="3426"/>
          </w:tcPr>
          <w:p>
            <w:pPr>
              <w:spacing w:before="0" w:after="0"/>
            </w:pPr>
            <w:r>
              <w:rPr>
                <w:sz w:val="20"/>
              </w:rPr>
              <w:t>Management and innovation, against product and IT.</w:t>
            </w:r>
          </w:p>
        </w:tc>
        <w:tc>
          <w:tcPr>
            <w:tcW w:type="dxa" w:w="3285"/>
          </w:tcPr>
          <w:p>
            <w:pPr>
              <w:spacing w:before="0" w:after="0"/>
            </w:pPr>
            <w:r>
              <w:rPr>
                <w:sz w:val="20"/>
              </w:rPr>
              <w:t>Which rung is it really on?</w:t>
            </w:r>
          </w:p>
        </w:tc>
      </w:tr>
      <w:tr>
        <w:trPr>
          <w:cantSplit/>
        </w:trPr>
        <w:tc>
          <w:tcPr>
            <w:tcW w:type="dxa" w:w="2927"/>
          </w:tcPr>
          <w:p>
            <w:pPr>
              <w:spacing w:before="0" w:after="0"/>
            </w:pPr>
            <w:r>
              <w:rPr>
                <w:sz w:val="20"/>
              </w:rPr>
              <w:t>Ethics against speed</w:t>
            </w:r>
          </w:p>
        </w:tc>
        <w:tc>
          <w:tcPr>
            <w:tcW w:type="dxa" w:w="3426"/>
          </w:tcPr>
          <w:p>
            <w:pPr>
              <w:spacing w:before="0" w:after="0"/>
            </w:pPr>
            <w:r>
              <w:rPr>
                <w:sz w:val="20"/>
              </w:rPr>
              <w:t>Data protection and works council, against the launch date.</w:t>
            </w:r>
          </w:p>
        </w:tc>
        <w:tc>
          <w:tcPr>
            <w:tcW w:type="dxa" w:w="3285"/>
          </w:tcPr>
          <w:p>
            <w:pPr>
              <w:spacing w:before="0" w:after="0"/>
            </w:pPr>
            <w:r>
              <w:rPr>
                <w:sz w:val="20"/>
              </w:rPr>
              <w:t>What would we regret if it went wrong at scale?</w:t>
            </w:r>
          </w:p>
        </w:tc>
      </w:tr>
      <w:tr>
        <w:trPr>
          <w:cantSplit/>
        </w:trPr>
        <w:tc>
          <w:tcPr>
            <w:tcW w:type="dxa" w:w="2927"/>
          </w:tcPr>
          <w:p>
            <w:pPr>
              <w:spacing w:before="0" w:after="0"/>
            </w:pPr>
            <w:r>
              <w:rPr>
                <w:sz w:val="20"/>
              </w:rPr>
              <w:t>Pioneer role against economic viability</w:t>
            </w:r>
          </w:p>
        </w:tc>
        <w:tc>
          <w:tcPr>
            <w:tcW w:type="dxa" w:w="3426"/>
          </w:tcPr>
          <w:p>
            <w:pPr>
              <w:spacing w:before="0" w:after="0"/>
            </w:pPr>
            <w:r>
              <w:rPr>
                <w:sz w:val="20"/>
              </w:rPr>
              <w:t>Strategy, against finance.</w:t>
            </w:r>
          </w:p>
        </w:tc>
        <w:tc>
          <w:tcPr>
            <w:tcW w:type="dxa" w:w="3285"/>
          </w:tcPr>
          <w:p>
            <w:pPr>
              <w:spacing w:before="0" w:after="0"/>
            </w:pPr>
            <w:r>
              <w:rPr>
                <w:sz w:val="20"/>
              </w:rPr>
              <w:t>What is the smallest step that keeps us ahead?</w:t>
            </w:r>
          </w:p>
        </w:tc>
      </w:tr>
      <w:tr>
        <w:trPr>
          <w:cantSplit/>
        </w:trPr>
        <w:tc>
          <w:tcPr>
            <w:tcW w:type="dxa" w:w="2927"/>
          </w:tcPr>
          <w:p>
            <w:pPr>
              <w:spacing w:before="0" w:after="0"/>
            </w:pPr>
            <w:r>
              <w:rPr>
                <w:sz w:val="20"/>
              </w:rPr>
              <w:t>Short-term signal against long-term portfolio</w:t>
            </w:r>
          </w:p>
        </w:tc>
        <w:tc>
          <w:tcPr>
            <w:tcW w:type="dxa" w:w="3426"/>
          </w:tcPr>
          <w:p>
            <w:pPr>
              <w:spacing w:before="0" w:after="0"/>
            </w:pPr>
            <w:r>
              <w:rPr>
                <w:sz w:val="20"/>
              </w:rPr>
              <w:t>Marketing, against the portfolio owner.</w:t>
            </w:r>
          </w:p>
        </w:tc>
        <w:tc>
          <w:tcPr>
            <w:tcW w:type="dxa" w:w="3285"/>
          </w:tcPr>
          <w:p>
            <w:pPr>
              <w:spacing w:before="0" w:after="0"/>
            </w:pPr>
            <w:r>
              <w:rPr>
                <w:sz w:val="20"/>
              </w:rPr>
              <w:t>Will this still matter when the technology changes?</w:t>
            </w:r>
          </w:p>
        </w:tc>
      </w:tr>
    </w:tbl>
    <w:p>
      <w:pPr>
        <w:spacing w:before="0" w:after="80"/>
      </w:pPr>
    </w:p>
    <w:p>
      <w:pPr>
        <w:spacing w:before="0" w:after="100"/>
      </w:pPr>
      <w:r>
        <w:rPr>
          <w:b/>
        </w:rPr>
        <w:t>Conflicts of future-proof UX, with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50"/>
        <w:gridCol w:w="4616"/>
        <w:gridCol w:w="2772"/>
      </w:tblGrid>
      <w:tr>
        <w:trPr>
          <w:cantSplit/>
          <w:tblHeader/>
        </w:trPr>
        <w:tc>
          <w:tcPr>
            <w:tcW w:type="dxa" w:w="2250"/>
            <w:shd w:val="clear" w:color="auto" w:fill="E6ECF4"/>
          </w:tcPr>
          <w:p>
            <w:pPr>
              <w:spacing w:before="0" w:after="0"/>
            </w:pPr>
            <w:r>
              <w:rPr>
                <w:b/>
                <w:sz w:val="20"/>
              </w:rPr>
              <w:t>Conflict</w:t>
            </w:r>
          </w:p>
        </w:tc>
        <w:tc>
          <w:tcPr>
            <w:tcW w:type="dxa" w:w="4616"/>
            <w:shd w:val="clear" w:color="auto" w:fill="E6ECF4"/>
          </w:tcPr>
          <w:p>
            <w:pPr>
              <w:spacing w:before="0" w:after="0"/>
            </w:pPr>
            <w:r>
              <w:rPr>
                <w:b/>
                <w:sz w:val="20"/>
              </w:rPr>
              <w:t>What the evidence says</w:t>
            </w:r>
          </w:p>
        </w:tc>
        <w:tc>
          <w:tcPr>
            <w:tcW w:type="dxa" w:w="2772"/>
            <w:shd w:val="clear" w:color="auto" w:fill="E6ECF4"/>
          </w:tcPr>
          <w:p>
            <w:pPr>
              <w:spacing w:before="0" w:after="0"/>
            </w:pPr>
            <w:r>
              <w:rPr>
                <w:b/>
                <w:sz w:val="20"/>
              </w:rPr>
              <w:t>A way to decide</w:t>
            </w:r>
          </w:p>
        </w:tc>
      </w:tr>
      <w:tr>
        <w:trPr>
          <w:cantSplit/>
        </w:trPr>
        <w:tc>
          <w:tcPr>
            <w:tcW w:type="dxa" w:w="2250"/>
          </w:tcPr>
          <w:p>
            <w:pPr>
              <w:spacing w:before="0" w:after="0"/>
            </w:pPr>
            <w:r>
              <w:rPr>
                <w:sz w:val="20"/>
              </w:rPr>
              <w:t>Innovation pressure against maturity</w:t>
            </w:r>
          </w:p>
        </w:tc>
        <w:tc>
          <w:tcPr>
            <w:tcW w:type="dxa" w:w="4616"/>
          </w:tcPr>
          <w:p>
            <w:pPr>
              <w:spacing w:before="0" w:after="0"/>
            </w:pPr>
            <w:r>
              <w:rPr>
                <w:sz w:val="20"/>
              </w:rPr>
              <w:t>A consumer product can be withdrawn after a few years (Google Glass, 2013 to 2015, as reported).</w:t>
            </w:r>
          </w:p>
        </w:tc>
        <w:tc>
          <w:tcPr>
            <w:tcW w:type="dxa" w:w="2772"/>
          </w:tcPr>
          <w:p>
            <w:pPr>
              <w:spacing w:before="0" w:after="0"/>
            </w:pPr>
            <w:r>
              <w:rPr>
                <w:sz w:val="20"/>
              </w:rPr>
              <w:t>Ask which rung it is really on.</w:t>
            </w:r>
          </w:p>
        </w:tc>
      </w:tr>
      <w:tr>
        <w:trPr>
          <w:cantSplit/>
        </w:trPr>
        <w:tc>
          <w:tcPr>
            <w:tcW w:type="dxa" w:w="2250"/>
          </w:tcPr>
          <w:p>
            <w:pPr>
              <w:spacing w:before="0" w:after="0"/>
            </w:pPr>
            <w:r>
              <w:rPr>
                <w:sz w:val="20"/>
              </w:rPr>
              <w:t>Ethics against speed</w:t>
            </w:r>
          </w:p>
        </w:tc>
        <w:tc>
          <w:tcPr>
            <w:tcW w:type="dxa" w:w="4616"/>
          </w:tcPr>
          <w:p>
            <w:pPr>
              <w:spacing w:before="0" w:after="0"/>
            </w:pPr>
            <w:r>
              <w:rPr>
                <w:sz w:val="20"/>
              </w:rPr>
              <w:t>Some applications are banned outright (EU AI Act, Article 5(1)(f)), and tracking data identifies people (Miller et al. 2020, as reported).</w:t>
            </w:r>
          </w:p>
        </w:tc>
        <w:tc>
          <w:tcPr>
            <w:tcW w:type="dxa" w:w="2772"/>
          </w:tcPr>
          <w:p>
            <w:pPr>
              <w:spacing w:before="0" w:after="0"/>
            </w:pPr>
            <w:r>
              <w:rPr>
                <w:sz w:val="20"/>
              </w:rPr>
              <w:t>Ask what would be regretted if it went wrong at scale.</w:t>
            </w:r>
          </w:p>
        </w:tc>
      </w:tr>
      <w:tr>
        <w:trPr>
          <w:cantSplit/>
        </w:trPr>
        <w:tc>
          <w:tcPr>
            <w:tcW w:type="dxa" w:w="2250"/>
          </w:tcPr>
          <w:p>
            <w:pPr>
              <w:spacing w:before="0" w:after="0"/>
            </w:pPr>
            <w:r>
              <w:rPr>
                <w:sz w:val="20"/>
              </w:rPr>
              <w:t>Pioneer role against viability</w:t>
            </w:r>
          </w:p>
        </w:tc>
        <w:tc>
          <w:tcPr>
            <w:tcW w:type="dxa" w:w="4616"/>
          </w:tcPr>
          <w:p>
            <w:pPr>
              <w:spacing w:before="0" w:after="0"/>
            </w:pPr>
            <w:r>
              <w:rPr>
                <w:sz w:val="20"/>
              </w:rPr>
              <w:t>XR training was not more effective than plain training (Kaplan et al. 2021).</w:t>
            </w:r>
          </w:p>
        </w:tc>
        <w:tc>
          <w:tcPr>
            <w:tcW w:type="dxa" w:w="2772"/>
          </w:tcPr>
          <w:p>
            <w:pPr>
              <w:spacing w:before="0" w:after="0"/>
            </w:pPr>
            <w:r>
              <w:rPr>
                <w:sz w:val="20"/>
              </w:rPr>
              <w:t>Choose the smallest step that keeps you informed.</w:t>
            </w:r>
          </w:p>
        </w:tc>
      </w:tr>
      <w:tr>
        <w:trPr>
          <w:cantSplit/>
        </w:trPr>
        <w:tc>
          <w:tcPr>
            <w:tcW w:type="dxa" w:w="2250"/>
          </w:tcPr>
          <w:p>
            <w:pPr>
              <w:spacing w:before="0" w:after="0"/>
            </w:pPr>
            <w:r>
              <w:rPr>
                <w:sz w:val="20"/>
              </w:rPr>
              <w:t>Short-term signal against the portfolio</w:t>
            </w:r>
          </w:p>
        </w:tc>
        <w:tc>
          <w:tcPr>
            <w:tcW w:type="dxa" w:w="4616"/>
          </w:tcPr>
          <w:p>
            <w:pPr>
              <w:spacing w:before="0" w:after="0"/>
            </w:pPr>
            <w:r>
              <w:rPr>
                <w:sz w:val="20"/>
              </w:rPr>
              <w:t>An enterprise edition was sold for six years and then stopped (Google Glass, 2017 to 2023, as reported).</w:t>
            </w:r>
          </w:p>
        </w:tc>
        <w:tc>
          <w:tcPr>
            <w:tcW w:type="dxa" w:w="2772"/>
          </w:tcPr>
          <w:p>
            <w:pPr>
              <w:spacing w:before="0" w:after="0"/>
            </w:pPr>
            <w:r>
              <w:rPr>
                <w:sz w:val="20"/>
              </w:rPr>
              <w:t>Ask whether it will still matter when the technology changes.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Fernwood, Leila, Sam, Rafael and Greta are made up for this example; the corridor and the reports are drawn for the lesson. The lines and their trade-offs are a reading of the example, not a rule for every company.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each conflict as two goals and say who stands for each: management, innovation, IT, departments, data protection, users.</w:t>
            </w:r>
          </w:p>
          <w:p>
            <w:pPr>
              <w:pStyle w:val="ListBullet"/>
              <w:spacing w:before="0" w:after="40"/>
            </w:pPr>
            <w:r>
              <w:rPr/>
              <w:t>Decide how many lines can be tested properly at once.</w:t>
            </w:r>
          </w:p>
          <w:p>
            <w:pPr>
              <w:pStyle w:val="ListBullet"/>
              <w:spacing w:before="0" w:after="40"/>
            </w:pPr>
            <w:r>
              <w:rPr/>
              <w:t>Write down what each line assumes about technology, market, acceptance and governance.</w:t>
            </w:r>
          </w:p>
          <w:p>
            <w:pPr>
              <w:pStyle w:val="ListBullet"/>
              <w:spacing w:before="0" w:after="40"/>
            </w:pPr>
            <w:r>
              <w:rPr/>
              <w:t>Check which lines fall under stricter rules, such as AI that recognises emotions.</w:t>
            </w:r>
          </w:p>
          <w:p>
            <w:pPr>
              <w:pStyle w:val="ListBullet"/>
              <w:spacing w:before="0" w:after="100"/>
            </w:pPr>
            <w:r>
              <w:rPr/>
              <w:t>Say what the choice gives up.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Stopping an innovation is the better leadership decision when continuing it would teach nothing new, cost trust, or keep people from work that matters more. The sign of a mature portfolio is not how much it starts, but how calmly it stops.</w:t>
            </w:r>
          </w:p>
        </w:tc>
      </w:tr>
    </w:tbl>
    <w:p>
      <w:pPr>
        <w:spacing w:before="0" w:after="80"/>
      </w:pPr>
    </w:p>
    <w:p>
      <w:pPr>
        <w:spacing w:before="80" w:after="160"/>
      </w:pPr>
      <w:r>
        <w:rPr>
          <w:b/>
          <w:color w:val="556274"/>
          <w:sz w:val="18"/>
        </w:rPr>
        <w:t xml:space="preserve">Sources · </w:t>
      </w:r>
      <w:r>
        <w:rPr>
          <w:color w:val="556274"/>
          <w:sz w:val="18"/>
        </w:rPr>
        <w:t>European Commission, AI Act · Stilgoe, Owen &amp; Macnaghten 2013 · Kaplan et al. 2021 · Miller et al. 2020 · EU AI Act 2024</w:t>
      </w:r>
    </w:p>
    <w:p>
      <w:pPr>
        <w:pStyle w:val="Heading2"/>
      </w:pPr>
      <w:r>
        <w:rPr/>
        <w:t>B3 · Who decides to scale, pause or stop, and deciding with incomplete data · 20 min · Core</w:t>
      </w:r>
    </w:p>
    <w:p>
      <w:pPr>
        <w:pBdr>
          <w:left w:val="single" w:sz="18" w:space="6" w:color="1750A8"/>
        </w:pBdr>
        <w:spacing w:before="40" w:after="120"/>
        <w:ind w:left="170"/>
      </w:pPr>
      <w:r>
        <w:rPr>
          <w:i/>
          <w:color w:val="556274"/>
          <w:sz w:val="22"/>
        </w:rPr>
        <w:t>Scaling needs owners: someone who owns the evaluation grid, an ethics and data protection review that approves before a pilot and before scaling and may stop anything, a board that decides at each gate to scale, test further, pause or stop, and a regular portfolio review. With incomplete data, a decision says what it decides, does not know, would reverse and gives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Scaling needs owners: someone who owns the evaluation grid and scores every initiative, an ethics and data protection review that approves before a pilot and before scaling and may stop anything, a board that decides at each gate to scale, test further, pause or stop, and a regular portfolio review. With incomplete data, a decision says what it decides, what it does not know, when it would reverse and what it gives up.</w:t>
            </w:r>
          </w:p>
          <w:p>
            <w:pPr>
              <w:spacing w:before="0" w:after="100"/>
            </w:pPr>
            <w:r>
              <w:rPr>
                <w:b/>
              </w:rPr>
              <w:t>Why it matters.</w:t>
            </w:r>
            <w:r>
              <w:rPr/>
              <w:t xml:space="preserve"> Block 3.1 asks for a governance model for innovation evaluation, ethical approvals, scaling decisions and portfolio adjustments, a decision despite incomplete data, and a statement to the management. This card gives you the parts of each.</w:t>
            </w:r>
          </w:p>
          <w:p>
            <w:pPr>
              <w:spacing w:before="0" w:after="100"/>
            </w:pPr>
            <w:r>
              <w:rPr>
                <w:b/>
              </w:rPr>
              <w:t>How to read the picture.</w:t>
            </w:r>
            <w:r>
              <w:rPr/>
              <w:t xml:space="preserve"> The four boxes at the top are the parts of a decision, filled in for Fernwood.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379162"/>
            <wp:docPr id="13" name="Picture 13"/>
            <wp:cNvGraphicFramePr>
              <a:graphicFrameLocks noChangeAspect="1"/>
            </wp:cNvGraphicFramePr>
            <a:graphic>
              <a:graphicData uri="http://schemas.openxmlformats.org/drawingml/2006/picture">
                <pic:pic>
                  <pic:nvPicPr>
                    <pic:cNvPr id="0" name="d16_B3_0-06f86d1409c1.png"/>
                    <pic:cNvPicPr/>
                  </pic:nvPicPr>
                  <pic:blipFill>
                    <a:blip r:embed="rId22"/>
                    <a:stretch>
                      <a:fillRect/>
                    </a:stretch>
                  </pic:blipFill>
                  <pic:spPr>
                    <a:xfrm>
                      <a:off x="0" y="0"/>
                      <a:ext cx="5940000" cy="2379162"/>
                    </a:xfrm>
                    <a:prstGeom prst="rect"/>
                  </pic:spPr>
                </pic:pic>
              </a:graphicData>
            </a:graphic>
          </wp:inline>
        </w:drawing>
      </w:r>
    </w:p>
    <w:p>
      <w:pPr>
        <w:spacing w:before="0" w:after="160"/>
        <w:jc w:val="center"/>
      </w:pPr>
      <w:r>
        <w:rPr>
          <w:i/>
          <w:color w:val="556274"/>
          <w:sz w:val="18"/>
        </w:rPr>
        <w:t>Figure 13 · A decision under uncertainty, filled in for Fernwood.</w:t>
      </w:r>
    </w:p>
    <w:p>
      <w:pPr>
        <w:spacing w:before="0" w:after="100"/>
      </w:pPr>
      <w:r>
        <w:rPr>
          <w:b/>
        </w:rPr>
        <w:t>Four responsibilities of innovation governance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86"/>
        <w:gridCol w:w="3697"/>
        <w:gridCol w:w="3355"/>
      </w:tblGrid>
      <w:tr>
        <w:trPr>
          <w:cantSplit/>
          <w:tblHeader/>
        </w:trPr>
        <w:tc>
          <w:tcPr>
            <w:tcW w:type="dxa" w:w="2586"/>
            <w:shd w:val="clear" w:color="auto" w:fill="E6ECF4"/>
          </w:tcPr>
          <w:p>
            <w:pPr>
              <w:spacing w:before="0" w:after="0"/>
            </w:pPr>
            <w:r>
              <w:rPr>
                <w:b/>
                <w:sz w:val="20"/>
              </w:rPr>
              <w:t>Responsibility</w:t>
            </w:r>
          </w:p>
        </w:tc>
        <w:tc>
          <w:tcPr>
            <w:tcW w:type="dxa" w:w="3697"/>
            <w:shd w:val="clear" w:color="auto" w:fill="E6ECF4"/>
          </w:tcPr>
          <w:p>
            <w:pPr>
              <w:spacing w:before="0" w:after="0"/>
            </w:pPr>
            <w:r>
              <w:rPr>
                <w:b/>
                <w:sz w:val="20"/>
              </w:rPr>
              <w:t>The question</w:t>
            </w:r>
          </w:p>
        </w:tc>
        <w:tc>
          <w:tcPr>
            <w:tcW w:type="dxa" w:w="3355"/>
            <w:shd w:val="clear" w:color="auto" w:fill="E6ECF4"/>
          </w:tcPr>
          <w:p>
            <w:pPr>
              <w:spacing w:before="0" w:after="0"/>
            </w:pPr>
            <w:r>
              <w:rPr>
                <w:b/>
                <w:sz w:val="20"/>
              </w:rPr>
              <w:t>An example (Fernwood)</w:t>
            </w:r>
          </w:p>
        </w:tc>
      </w:tr>
      <w:tr>
        <w:trPr>
          <w:cantSplit/>
        </w:trPr>
        <w:tc>
          <w:tcPr>
            <w:tcW w:type="dxa" w:w="2586"/>
          </w:tcPr>
          <w:p>
            <w:pPr>
              <w:spacing w:before="0" w:after="0"/>
            </w:pPr>
            <w:r>
              <w:rPr>
                <w:sz w:val="20"/>
              </w:rPr>
              <w:t>Innovation evaluation</w:t>
            </w:r>
          </w:p>
        </w:tc>
        <w:tc>
          <w:tcPr>
            <w:tcW w:type="dxa" w:w="3697"/>
          </w:tcPr>
          <w:p>
            <w:pPr>
              <w:spacing w:before="0" w:after="0"/>
            </w:pPr>
            <w:r>
              <w:rPr>
                <w:sz w:val="20"/>
              </w:rPr>
              <w:t>Who scores every initiative on one grid?</w:t>
            </w:r>
          </w:p>
        </w:tc>
        <w:tc>
          <w:tcPr>
            <w:tcW w:type="dxa" w:w="3355"/>
          </w:tcPr>
          <w:p>
            <w:pPr>
              <w:spacing w:before="0" w:after="0"/>
            </w:pPr>
            <w:r>
              <w:rPr>
                <w:sz w:val="20"/>
              </w:rPr>
              <w:t>The head of guest experience and a small team.</w:t>
            </w:r>
          </w:p>
        </w:tc>
      </w:tr>
      <w:tr>
        <w:trPr>
          <w:cantSplit/>
        </w:trPr>
        <w:tc>
          <w:tcPr>
            <w:tcW w:type="dxa" w:w="2586"/>
          </w:tcPr>
          <w:p>
            <w:pPr>
              <w:spacing w:before="0" w:after="0"/>
            </w:pPr>
            <w:r>
              <w:rPr>
                <w:sz w:val="20"/>
              </w:rPr>
              <w:t>Ethical approval</w:t>
            </w:r>
          </w:p>
        </w:tc>
        <w:tc>
          <w:tcPr>
            <w:tcW w:type="dxa" w:w="3697"/>
          </w:tcPr>
          <w:p>
            <w:pPr>
              <w:spacing w:before="0" w:after="0"/>
            </w:pPr>
            <w:r>
              <w:rPr>
                <w:sz w:val="20"/>
              </w:rPr>
              <w:t>Who says yes before a pilot and before scaling, and may stop?</w:t>
            </w:r>
          </w:p>
        </w:tc>
        <w:tc>
          <w:tcPr>
            <w:tcW w:type="dxa" w:w="3355"/>
          </w:tcPr>
          <w:p>
            <w:pPr>
              <w:spacing w:before="0" w:after="0"/>
            </w:pPr>
            <w:r>
              <w:rPr>
                <w:sz w:val="20"/>
              </w:rPr>
              <w:t>An ethics and data review with the data protection officer.</w:t>
            </w:r>
          </w:p>
        </w:tc>
      </w:tr>
      <w:tr>
        <w:trPr>
          <w:cantSplit/>
        </w:trPr>
        <w:tc>
          <w:tcPr>
            <w:tcW w:type="dxa" w:w="2586"/>
          </w:tcPr>
          <w:p>
            <w:pPr>
              <w:spacing w:before="0" w:after="0"/>
            </w:pPr>
            <w:r>
              <w:rPr>
                <w:sz w:val="20"/>
              </w:rPr>
              <w:t>Scaling decision</w:t>
            </w:r>
          </w:p>
        </w:tc>
        <w:tc>
          <w:tcPr>
            <w:tcW w:type="dxa" w:w="3697"/>
          </w:tcPr>
          <w:p>
            <w:pPr>
              <w:spacing w:before="0" w:after="0"/>
            </w:pPr>
            <w:r>
              <w:rPr>
                <w:sz w:val="20"/>
              </w:rPr>
              <w:t>Who decides scale, test further, pause or stop at each gate?</w:t>
            </w:r>
          </w:p>
        </w:tc>
        <w:tc>
          <w:tcPr>
            <w:tcW w:type="dxa" w:w="3355"/>
          </w:tcPr>
          <w:p>
            <w:pPr>
              <w:spacing w:before="0" w:after="0"/>
            </w:pPr>
            <w:r>
              <w:rPr>
                <w:sz w:val="20"/>
              </w:rPr>
              <w:t>An innovation board.</w:t>
            </w:r>
          </w:p>
        </w:tc>
      </w:tr>
      <w:tr>
        <w:trPr>
          <w:cantSplit/>
        </w:trPr>
        <w:tc>
          <w:tcPr>
            <w:tcW w:type="dxa" w:w="2586"/>
          </w:tcPr>
          <w:p>
            <w:pPr>
              <w:spacing w:before="0" w:after="0"/>
            </w:pPr>
            <w:r>
              <w:rPr>
                <w:sz w:val="20"/>
              </w:rPr>
              <w:t>Portfolio adjustment</w:t>
            </w:r>
          </w:p>
        </w:tc>
        <w:tc>
          <w:tcPr>
            <w:tcW w:type="dxa" w:w="3697"/>
          </w:tcPr>
          <w:p>
            <w:pPr>
              <w:spacing w:before="0" w:after="0"/>
            </w:pPr>
            <w:r>
              <w:rPr>
                <w:sz w:val="20"/>
              </w:rPr>
              <w:t>Who reviews the whole portfolio, and how often?</w:t>
            </w:r>
          </w:p>
        </w:tc>
        <w:tc>
          <w:tcPr>
            <w:tcW w:type="dxa" w:w="3355"/>
          </w:tcPr>
          <w:p>
            <w:pPr>
              <w:spacing w:before="0" w:after="0"/>
            </w:pPr>
            <w:r>
              <w:rPr>
                <w:sz w:val="20"/>
              </w:rPr>
              <w:t>The board, every quarter, at most three active lines.</w:t>
            </w:r>
          </w:p>
        </w:tc>
      </w:tr>
    </w:tbl>
    <w:p>
      <w:pPr>
        <w:spacing w:before="0" w:after="80"/>
      </w:pPr>
    </w:p>
    <w:p>
      <w:pPr>
        <w:spacing w:before="0" w:after="100"/>
      </w:pPr>
      <w:r>
        <w:rPr>
          <w:b/>
        </w:rPr>
        <w:t>Who decides to scale, pause or stop: real practice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51"/>
        <w:gridCol w:w="4023"/>
        <w:gridCol w:w="3564"/>
      </w:tblGrid>
      <w:tr>
        <w:trPr>
          <w:cantSplit/>
          <w:tblHeader/>
        </w:trPr>
        <w:tc>
          <w:tcPr>
            <w:tcW w:type="dxa" w:w="2051"/>
            <w:shd w:val="clear" w:color="auto" w:fill="E6ECF4"/>
          </w:tcPr>
          <w:p>
            <w:pPr>
              <w:spacing w:before="0" w:after="0"/>
            </w:pPr>
            <w:r>
              <w:rPr>
                <w:b/>
                <w:sz w:val="20"/>
              </w:rPr>
              <w:t>Responsibility</w:t>
            </w:r>
          </w:p>
        </w:tc>
        <w:tc>
          <w:tcPr>
            <w:tcW w:type="dxa" w:w="4023"/>
            <w:shd w:val="clear" w:color="auto" w:fill="E6ECF4"/>
          </w:tcPr>
          <w:p>
            <w:pPr>
              <w:spacing w:before="0" w:after="0"/>
            </w:pPr>
            <w:r>
              <w:rPr>
                <w:b/>
                <w:sz w:val="20"/>
              </w:rPr>
              <w:t>Real source</w:t>
            </w:r>
          </w:p>
        </w:tc>
        <w:tc>
          <w:tcPr>
            <w:tcW w:type="dxa" w:w="3564"/>
            <w:shd w:val="clear" w:color="auto" w:fill="E6ECF4"/>
          </w:tcPr>
          <w:p>
            <w:pPr>
              <w:spacing w:before="0" w:after="0"/>
            </w:pPr>
            <w:r>
              <w:rPr>
                <w:b/>
                <w:sz w:val="20"/>
              </w:rPr>
              <w:t>What it means</w:t>
            </w:r>
          </w:p>
        </w:tc>
      </w:tr>
      <w:tr>
        <w:trPr>
          <w:cantSplit/>
        </w:trPr>
        <w:tc>
          <w:tcPr>
            <w:tcW w:type="dxa" w:w="2051"/>
          </w:tcPr>
          <w:p>
            <w:pPr>
              <w:spacing w:before="0" w:after="0"/>
            </w:pPr>
            <w:r>
              <w:rPr>
                <w:sz w:val="20"/>
              </w:rPr>
              <w:t>Evaluation</w:t>
            </w:r>
          </w:p>
        </w:tc>
        <w:tc>
          <w:tcPr>
            <w:tcW w:type="dxa" w:w="4023"/>
          </w:tcPr>
          <w:p>
            <w:pPr>
              <w:spacing w:before="0" w:after="0"/>
            </w:pPr>
            <w:r>
              <w:rPr>
                <w:sz w:val="20"/>
              </w:rPr>
              <w:t>A common grid for every initiative is what stage-gate systems use (Cooper 1990).</w:t>
            </w:r>
          </w:p>
        </w:tc>
        <w:tc>
          <w:tcPr>
            <w:tcW w:type="dxa" w:w="3564"/>
          </w:tcPr>
          <w:p>
            <w:pPr>
              <w:spacing w:before="0" w:after="0"/>
            </w:pPr>
            <w:r>
              <w:rPr>
                <w:sz w:val="20"/>
              </w:rPr>
              <w:t>Score every initiative on one grid: value, maturity, effort, scaling, responsibility.</w:t>
            </w:r>
          </w:p>
        </w:tc>
      </w:tr>
      <w:tr>
        <w:trPr>
          <w:cantSplit/>
        </w:trPr>
        <w:tc>
          <w:tcPr>
            <w:tcW w:type="dxa" w:w="2051"/>
          </w:tcPr>
          <w:p>
            <w:pPr>
              <w:spacing w:before="0" w:after="0"/>
            </w:pPr>
            <w:r>
              <w:rPr>
                <w:sz w:val="20"/>
              </w:rPr>
              <w:t>Ethical approval</w:t>
            </w:r>
          </w:p>
        </w:tc>
        <w:tc>
          <w:tcPr>
            <w:tcW w:type="dxa" w:w="4023"/>
          </w:tcPr>
          <w:p>
            <w:pPr>
              <w:spacing w:before="0" w:after="0"/>
            </w:pPr>
            <w:r>
              <w:rPr>
                <w:sz w:val="20"/>
              </w:rPr>
              <w:t>The four dimensions of responsible innovation include inclusion and responsiveness (Stilgoe et al. 2013).</w:t>
            </w:r>
          </w:p>
        </w:tc>
        <w:tc>
          <w:tcPr>
            <w:tcW w:type="dxa" w:w="3564"/>
          </w:tcPr>
          <w:p>
            <w:pPr>
              <w:spacing w:before="0" w:after="0"/>
            </w:pPr>
            <w:r>
              <w:rPr>
                <w:sz w:val="20"/>
              </w:rPr>
              <w:t>Put an ethics and data review before every pilot and before scaling.</w:t>
            </w:r>
          </w:p>
        </w:tc>
      </w:tr>
      <w:tr>
        <w:trPr>
          <w:cantSplit/>
        </w:trPr>
        <w:tc>
          <w:tcPr>
            <w:tcW w:type="dxa" w:w="2051"/>
          </w:tcPr>
          <w:p>
            <w:pPr>
              <w:spacing w:before="0" w:after="0"/>
            </w:pPr>
            <w:r>
              <w:rPr>
                <w:sz w:val="20"/>
              </w:rPr>
              <w:t>The decision</w:t>
            </w:r>
          </w:p>
        </w:tc>
        <w:tc>
          <w:tcPr>
            <w:tcW w:type="dxa" w:w="4023"/>
          </w:tcPr>
          <w:p>
            <w:pPr>
              <w:spacing w:before="0" w:after="0"/>
            </w:pPr>
            <w:r>
              <w:rPr>
                <w:sz w:val="20"/>
              </w:rPr>
              <w:t>Government practice names the decision to stop as one of the possible outcomes (GOV.UK Service Manual).</w:t>
            </w:r>
          </w:p>
        </w:tc>
        <w:tc>
          <w:tcPr>
            <w:tcW w:type="dxa" w:w="3564"/>
          </w:tcPr>
          <w:p>
            <w:pPr>
              <w:spacing w:before="0" w:after="0"/>
            </w:pPr>
            <w:r>
              <w:rPr>
                <w:sz w:val="20"/>
              </w:rPr>
              <w:t>Give the board the right to scale, test further, pause or stop.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Fernwood, Leila, Sam, Rafael and Greta are made up for this example; the corridor and the reports are drawn for the lesson. Monitoring after launch follows the European Commission's summary of the AI Act; deciding with limited information follows Simon (1956); the premortem follows Klein (2007).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who owns the grid and scores every initiative.</w:t>
            </w:r>
          </w:p>
          <w:p>
            <w:pPr>
              <w:pStyle w:val="ListBullet"/>
              <w:spacing w:before="0" w:after="40"/>
            </w:pPr>
            <w:r>
              <w:rPr/>
              <w:t>Name who approves ethically and may stop, including data protection and employee representatives.</w:t>
            </w:r>
          </w:p>
          <w:p>
            <w:pPr>
              <w:pStyle w:val="ListBullet"/>
              <w:spacing w:before="0" w:after="40"/>
            </w:pPr>
            <w:r>
              <w:rPr/>
              <w:t>Name who decides at each gate, and how often the portfolio is reviewed.</w:t>
            </w:r>
          </w:p>
          <w:p>
            <w:pPr>
              <w:pStyle w:val="ListBullet"/>
              <w:spacing w:before="0" w:after="40"/>
            </w:pPr>
            <w:r>
              <w:rPr/>
              <w:t>Settle conflicts by rights and safety first, then proven value, then cost, then visibility; say who settles a tie.</w:t>
            </w:r>
          </w:p>
          <w:p>
            <w:pPr>
              <w:pStyle w:val="ListBullet"/>
              <w:spacing w:before="0" w:after="100"/>
            </w:pPr>
            <w:r>
              <w:rPr/>
              <w:t>Say what you decide, what you do not know, when you would reverse it and what you give up.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Write the stop criteria before the pilot starts, when nobody is attached to it yet. The person who may stop an initiative should not be the person whose bonus depends on it.</w:t>
            </w:r>
          </w:p>
        </w:tc>
      </w:tr>
    </w:tbl>
    <w:p>
      <w:pPr>
        <w:spacing w:before="0" w:after="80"/>
      </w:pPr>
    </w:p>
    <w:p>
      <w:pPr>
        <w:spacing w:before="80" w:after="160"/>
      </w:pPr>
      <w:r>
        <w:rPr>
          <w:b/>
          <w:color w:val="556274"/>
          <w:sz w:val="18"/>
        </w:rPr>
        <w:t xml:space="preserve">Sources · </w:t>
      </w:r>
      <w:r>
        <w:rPr>
          <w:color w:val="556274"/>
          <w:sz w:val="18"/>
        </w:rPr>
        <w:t>European Commission, AI Act · Simon 1956 · Klein 2007 · Cooper 1990 · Stilgoe, Owen &amp; Macnaghten 2013 · GOV.UK Service Manual</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321"/>
        <w:gridCol w:w="3869"/>
        <w:gridCol w:w="1448"/>
      </w:tblGrid>
      <w:tr>
        <w:trPr>
          <w:cantSplit/>
          <w:tblHeader/>
        </w:trPr>
        <w:tc>
          <w:tcPr>
            <w:tcW w:type="dxa" w:w="4321"/>
            <w:shd w:val="clear" w:color="auto" w:fill="E6ECF4"/>
          </w:tcPr>
          <w:p>
            <w:pPr>
              <w:spacing w:before="0" w:after="0"/>
            </w:pPr>
            <w:r>
              <w:rPr>
                <w:b/>
                <w:sz w:val="20"/>
              </w:rPr>
              <w:t>Card</w:t>
            </w:r>
          </w:p>
        </w:tc>
        <w:tc>
          <w:tcPr>
            <w:tcW w:type="dxa" w:w="3869"/>
            <w:shd w:val="clear" w:color="auto" w:fill="E6ECF4"/>
          </w:tcPr>
          <w:p>
            <w:pPr>
              <w:spacing w:before="0" w:after="0"/>
            </w:pPr>
            <w:r>
              <w:rPr>
                <w:b/>
                <w:sz w:val="20"/>
              </w:rPr>
              <w:t>Presentation (shown in the Neuro-UX Lab)</w:t>
            </w:r>
          </w:p>
        </w:tc>
        <w:tc>
          <w:tcPr>
            <w:tcW w:type="dxa" w:w="1448"/>
            <w:shd w:val="clear" w:color="auto" w:fill="E6ECF4"/>
          </w:tcPr>
          <w:p>
            <w:pPr>
              <w:spacing w:before="0" w:after="0"/>
            </w:pPr>
            <w:r>
              <w:rPr>
                <w:b/>
                <w:sz w:val="20"/>
              </w:rPr>
              <w:t>Handout</w:t>
            </w:r>
          </w:p>
        </w:tc>
      </w:tr>
      <w:tr>
        <w:trPr>
          <w:cantSplit/>
        </w:trPr>
        <w:tc>
          <w:tcPr>
            <w:tcW w:type="dxa" w:w="4321"/>
          </w:tcPr>
          <w:p>
            <w:pPr>
              <w:spacing w:before="0" w:after="0"/>
            </w:pPr>
            <w:r>
              <w:rPr>
                <w:b/>
                <w:sz w:val="20"/>
              </w:rPr>
              <w:t>A1</w:t>
            </w:r>
            <w:r>
              <w:rPr>
                <w:sz w:val="20"/>
              </w:rPr>
              <w:t xml:space="preserve"> · From concept idea to scalable solution: the ladder of immersive prototyping (Core)</w:t>
            </w:r>
          </w:p>
        </w:tc>
        <w:tc>
          <w:tcPr>
            <w:tcW w:type="dxa" w:w="3869"/>
          </w:tcPr>
          <w:p>
            <w:pPr>
              <w:spacing w:before="0" w:after="0"/>
            </w:pPr>
            <w:r>
              <w:rPr>
                <w:sz w:val="20"/>
              </w:rPr>
              <w:t>Scan line and Figures 1–2; the "In plain words" and "How to decide" boxes</w:t>
            </w:r>
          </w:p>
        </w:tc>
        <w:tc>
          <w:tcPr>
            <w:tcW w:type="dxa" w:w="1448"/>
          </w:tcPr>
          <w:p>
            <w:pPr>
              <w:spacing w:before="0" w:after="0"/>
            </w:pPr>
            <w:r>
              <w:rPr>
                <w:sz w:val="20"/>
              </w:rPr>
              <w:t>The whole card</w:t>
            </w:r>
          </w:p>
        </w:tc>
      </w:tr>
      <w:tr>
        <w:trPr>
          <w:cantSplit/>
        </w:trPr>
        <w:tc>
          <w:tcPr>
            <w:tcW w:type="dxa" w:w="4321"/>
          </w:tcPr>
          <w:p>
            <w:pPr>
              <w:spacing w:before="0" w:after="0"/>
            </w:pPr>
            <w:r>
              <w:rPr>
                <w:b/>
                <w:sz w:val="20"/>
              </w:rPr>
              <w:t>A2</w:t>
            </w:r>
            <w:r>
              <w:rPr>
                <w:sz w:val="20"/>
              </w:rPr>
              <w:t xml:space="preserve"> · Testing immersive systems: orientation, presence, overload, error robustness, acceptance, transfer (Core)</w:t>
            </w:r>
          </w:p>
        </w:tc>
        <w:tc>
          <w:tcPr>
            <w:tcW w:type="dxa" w:w="3869"/>
          </w:tcPr>
          <w:p>
            <w:pPr>
              <w:spacing w:before="0" w:after="0"/>
            </w:pPr>
            <w:r>
              <w:rPr>
                <w:sz w:val="20"/>
              </w:rPr>
              <w:t>Scan line and Figure 3; the "In plain words" and "How to decide" boxes</w:t>
            </w:r>
          </w:p>
        </w:tc>
        <w:tc>
          <w:tcPr>
            <w:tcW w:type="dxa" w:w="1448"/>
          </w:tcPr>
          <w:p>
            <w:pPr>
              <w:spacing w:before="0" w:after="0"/>
            </w:pPr>
            <w:r>
              <w:rPr>
                <w:sz w:val="20"/>
              </w:rPr>
              <w:t>The whole card</w:t>
            </w:r>
          </w:p>
        </w:tc>
      </w:tr>
      <w:tr>
        <w:trPr>
          <w:cantSplit/>
        </w:trPr>
        <w:tc>
          <w:tcPr>
            <w:tcW w:type="dxa" w:w="4321"/>
          </w:tcPr>
          <w:p>
            <w:pPr>
              <w:spacing w:before="0" w:after="0"/>
            </w:pPr>
            <w:r>
              <w:rPr>
                <w:b/>
                <w:sz w:val="20"/>
              </w:rPr>
              <w:t>A3</w:t>
            </w:r>
            <w:r>
              <w:rPr>
                <w:sz w:val="20"/>
              </w:rPr>
              <w:t xml:space="preserve"> · Feasible or responsible: future-proof UX strategy and its ethical questions (Core)</w:t>
            </w:r>
          </w:p>
        </w:tc>
        <w:tc>
          <w:tcPr>
            <w:tcW w:type="dxa" w:w="3869"/>
          </w:tcPr>
          <w:p>
            <w:pPr>
              <w:spacing w:before="0" w:after="0"/>
            </w:pPr>
            <w:r>
              <w:rPr>
                <w:sz w:val="20"/>
              </w:rPr>
              <w:t>Scan line and Figures 4–5; the "In plain words" and "How to decide" boxes</w:t>
            </w:r>
          </w:p>
        </w:tc>
        <w:tc>
          <w:tcPr>
            <w:tcW w:type="dxa" w:w="1448"/>
          </w:tcPr>
          <w:p>
            <w:pPr>
              <w:spacing w:before="0" w:after="0"/>
            </w:pPr>
            <w:r>
              <w:rPr>
                <w:sz w:val="20"/>
              </w:rPr>
              <w:t>The whole card</w:t>
            </w:r>
          </w:p>
        </w:tc>
      </w:tr>
      <w:tr>
        <w:trPr>
          <w:cantSplit/>
        </w:trPr>
        <w:tc>
          <w:tcPr>
            <w:tcW w:type="dxa" w:w="4321"/>
          </w:tcPr>
          <w:p>
            <w:pPr>
              <w:spacing w:before="0" w:after="0"/>
            </w:pPr>
            <w:r>
              <w:rPr>
                <w:b/>
                <w:sz w:val="20"/>
              </w:rPr>
              <w:t>A4</w:t>
            </w:r>
            <w:r>
              <w:rPr>
                <w:sz w:val="20"/>
              </w:rPr>
              <w:t xml:space="preserve"> · Responsible, connectable, governable: maturity, learning and the UX portfolio (Core)</w:t>
            </w:r>
          </w:p>
        </w:tc>
        <w:tc>
          <w:tcPr>
            <w:tcW w:type="dxa" w:w="3869"/>
          </w:tcPr>
          <w:p>
            <w:pPr>
              <w:spacing w:before="0" w:after="0"/>
            </w:pPr>
            <w:r>
              <w:rPr>
                <w:sz w:val="20"/>
              </w:rPr>
              <w:t>Scan line and Figures 6–7; the "In plain words" and "How to decide" boxes</w:t>
            </w:r>
          </w:p>
        </w:tc>
        <w:tc>
          <w:tcPr>
            <w:tcW w:type="dxa" w:w="1448"/>
          </w:tcPr>
          <w:p>
            <w:pPr>
              <w:spacing w:before="0" w:after="0"/>
            </w:pPr>
            <w:r>
              <w:rPr>
                <w:sz w:val="20"/>
              </w:rPr>
              <w:t>The whole card</w:t>
            </w:r>
          </w:p>
        </w:tc>
      </w:tr>
      <w:tr>
        <w:trPr>
          <w:cantSplit/>
        </w:trPr>
        <w:tc>
          <w:tcPr>
            <w:tcW w:type="dxa" w:w="4321"/>
          </w:tcPr>
          <w:p>
            <w:pPr>
              <w:spacing w:before="0" w:after="0"/>
            </w:pPr>
            <w:r>
              <w:rPr>
                <w:b/>
                <w:sz w:val="20"/>
              </w:rPr>
              <w:t>A5</w:t>
            </w:r>
            <w:r>
              <w:rPr>
                <w:sz w:val="20"/>
              </w:rPr>
              <w:t xml:space="preserve"> · When not to scale, and weighing a scaling decision (Core)</w:t>
            </w:r>
          </w:p>
        </w:tc>
        <w:tc>
          <w:tcPr>
            <w:tcW w:type="dxa" w:w="3869"/>
          </w:tcPr>
          <w:p>
            <w:pPr>
              <w:spacing w:before="0" w:after="0"/>
            </w:pPr>
            <w:r>
              <w:rPr>
                <w:sz w:val="20"/>
              </w:rPr>
              <w:t>Scan line and Figures 8–9; the "In plain words" and "How to decide" boxes</w:t>
            </w:r>
          </w:p>
        </w:tc>
        <w:tc>
          <w:tcPr>
            <w:tcW w:type="dxa" w:w="1448"/>
          </w:tcPr>
          <w:p>
            <w:pPr>
              <w:spacing w:before="0" w:after="0"/>
            </w:pPr>
            <w:r>
              <w:rPr>
                <w:sz w:val="20"/>
              </w:rPr>
              <w:t>The whole card</w:t>
            </w:r>
          </w:p>
        </w:tc>
      </w:tr>
      <w:tr>
        <w:trPr>
          <w:cantSplit/>
        </w:trPr>
        <w:tc>
          <w:tcPr>
            <w:tcW w:type="dxa" w:w="4321"/>
          </w:tcPr>
          <w:p>
            <w:pPr>
              <w:spacing w:before="0" w:after="0"/>
            </w:pPr>
            <w:r>
              <w:rPr>
                <w:b/>
                <w:sz w:val="20"/>
              </w:rPr>
              <w:t>B1</w:t>
            </w:r>
            <w:r>
              <w:rPr>
                <w:sz w:val="20"/>
              </w:rPr>
              <w:t xml:space="preserve"> · Future-proof UX as a responsible innovation and decision architecture (Core)</w:t>
            </w:r>
          </w:p>
        </w:tc>
        <w:tc>
          <w:tcPr>
            <w:tcW w:type="dxa" w:w="3869"/>
          </w:tcPr>
          <w:p>
            <w:pPr>
              <w:spacing w:before="0" w:after="0"/>
            </w:pPr>
            <w:r>
              <w:rPr>
                <w:sz w:val="20"/>
              </w:rPr>
              <w:t>Scan line and Figures 10–11; the "In plain words" and "How to decide" boxes</w:t>
            </w:r>
          </w:p>
        </w:tc>
        <w:tc>
          <w:tcPr>
            <w:tcW w:type="dxa" w:w="1448"/>
          </w:tcPr>
          <w:p>
            <w:pPr>
              <w:spacing w:before="0" w:after="0"/>
            </w:pPr>
            <w:r>
              <w:rPr>
                <w:sz w:val="20"/>
              </w:rPr>
              <w:t>The whole card</w:t>
            </w:r>
          </w:p>
        </w:tc>
      </w:tr>
      <w:tr>
        <w:trPr>
          <w:cantSplit/>
        </w:trPr>
        <w:tc>
          <w:tcPr>
            <w:tcW w:type="dxa" w:w="4321"/>
          </w:tcPr>
          <w:p>
            <w:pPr>
              <w:spacing w:before="0" w:after="0"/>
            </w:pPr>
            <w:r>
              <w:rPr>
                <w:b/>
                <w:sz w:val="20"/>
              </w:rPr>
              <w:t>B2</w:t>
            </w:r>
            <w:r>
              <w:rPr>
                <w:sz w:val="20"/>
              </w:rPr>
              <w:t xml:space="preserve"> · Innovation pressure, ethics, economics, value, maturity, portfolio: the conflicts (Core)</w:t>
            </w:r>
          </w:p>
        </w:tc>
        <w:tc>
          <w:tcPr>
            <w:tcW w:type="dxa" w:w="3869"/>
          </w:tcPr>
          <w:p>
            <w:pPr>
              <w:spacing w:before="0" w:after="0"/>
            </w:pPr>
            <w:r>
              <w:rPr>
                <w:sz w:val="20"/>
              </w:rPr>
              <w:t>Scan line and Figure 12; the "In plain words" and "How to decide" boxes</w:t>
            </w:r>
          </w:p>
        </w:tc>
        <w:tc>
          <w:tcPr>
            <w:tcW w:type="dxa" w:w="1448"/>
          </w:tcPr>
          <w:p>
            <w:pPr>
              <w:spacing w:before="0" w:after="0"/>
            </w:pPr>
            <w:r>
              <w:rPr>
                <w:sz w:val="20"/>
              </w:rPr>
              <w:t>The whole card</w:t>
            </w:r>
          </w:p>
        </w:tc>
      </w:tr>
      <w:tr>
        <w:trPr>
          <w:cantSplit/>
        </w:trPr>
        <w:tc>
          <w:tcPr>
            <w:tcW w:type="dxa" w:w="4321"/>
          </w:tcPr>
          <w:p>
            <w:pPr>
              <w:spacing w:before="0" w:after="0"/>
            </w:pPr>
            <w:r>
              <w:rPr>
                <w:b/>
                <w:sz w:val="20"/>
              </w:rPr>
              <w:t>B3</w:t>
            </w:r>
            <w:r>
              <w:rPr>
                <w:sz w:val="20"/>
              </w:rPr>
              <w:t xml:space="preserve"> · Who decides to scale, pause or stop, and deciding with incomplete data (Core)</w:t>
            </w:r>
          </w:p>
        </w:tc>
        <w:tc>
          <w:tcPr>
            <w:tcW w:type="dxa" w:w="3869"/>
          </w:tcPr>
          <w:p>
            <w:pPr>
              <w:spacing w:before="0" w:after="0"/>
            </w:pPr>
            <w:r>
              <w:rPr>
                <w:sz w:val="20"/>
              </w:rPr>
              <w:t>Scan line and Figure 13; the "In plain words" and "How to decide" boxes</w:t>
            </w:r>
          </w:p>
        </w:tc>
        <w:tc>
          <w:tcPr>
            <w:tcW w:type="dxa" w:w="1448"/>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Houde, S., &amp; Hill, C. (1997). What do prototypes prototype? In M. Helander, T. Landauer, &amp; P. Prabhu (Eds.), Handbook of Human-Computer Interaction (2nd ed., pp. 367–381). Elsevier. (A prototype answers a question about role, look and feel, or implementation; choose it by the question.)</w:t>
      </w:r>
    </w:p>
    <w:p>
      <w:pPr>
        <w:spacing w:before="0" w:after="80"/>
        <w:ind w:left="283" w:hanging="283"/>
      </w:pPr>
      <w:r>
        <w:rPr>
          <w:sz w:val="19"/>
        </w:rPr>
        <w:t>Buchenau, M., &amp; Fulton Suri, J. (2000). Experience prototyping. Proceedings of DIS 2000, 424–433. ACM. (Prototypes that let people experience a situation, not only look at a design, and what each prototype is meant to answer.)</w:t>
      </w:r>
    </w:p>
    <w:p>
      <w:pPr>
        <w:spacing w:before="0" w:after="80"/>
        <w:ind w:left="283" w:hanging="283"/>
      </w:pPr>
      <w:r>
        <w:rPr>
          <w:sz w:val="19"/>
        </w:rPr>
        <w:t>Cooper, R. G. (1990). Stage-gate systems: A new tool for managing new products. Business Horizons, 33(3), 44–54. (Stages separated by gates where a project must meet criteria to continue, change or stop.)</w:t>
      </w:r>
    </w:p>
    <w:p>
      <w:pPr>
        <w:spacing w:before="0" w:after="80"/>
        <w:ind w:left="283" w:hanging="283"/>
      </w:pPr>
      <w:r>
        <w:rPr>
          <w:sz w:val="19"/>
        </w:rPr>
        <w:t>GOV.UK Service Manual. Service Standard. https://www.gov.uk/service-manual/service-standard (14 points since July 2019, 18 before; point 1 is to understand users and their needs; services are assessed against the standard.)</w:t>
      </w:r>
    </w:p>
    <w:p>
      <w:pPr>
        <w:spacing w:before="0" w:after="80"/>
        <w:ind w:left="283" w:hanging="283"/>
      </w:pPr>
      <w:r>
        <w:rPr>
          <w:sz w:val="19"/>
        </w:rPr>
        <w:t>Witmer, B. G., &amp; Singer, M. J. (1998). Measuring presence in virtual environments: A presence questionnaire. Presence: Teleoperators and Virtual Environments, 7(3), 225–240. (Presence can be asked about in a structured way after a session.)</w:t>
      </w:r>
    </w:p>
    <w:p>
      <w:pPr>
        <w:spacing w:before="0" w:after="80"/>
        <w:ind w:left="283" w:hanging="283"/>
      </w:pPr>
      <w:r>
        <w:rPr>
          <w:sz w:val="19"/>
        </w:rPr>
        <w:t>Kennedy, R. S., Lane, N. E., Berbaum, K. S., &amp; Lilienthal, M. G. (1993). Simulator Sickness Questionnaire: An enhanced method for quantifying simulator sickness. The International Journal of Aviation Psychology, 3(3), 203–220. (A standard questionnaire for discomfort and sickness in simulators and VR.)</w:t>
      </w:r>
    </w:p>
    <w:p>
      <w:pPr>
        <w:spacing w:before="0" w:after="80"/>
        <w:ind w:left="283" w:hanging="283"/>
      </w:pPr>
      <w:r>
        <w:rPr>
          <w:sz w:val="19"/>
        </w:rPr>
        <w:t>Meta Platforms Technologies. App policies, Meta Horizon Store. https://developers.meta.com/horizon/policy/store-policies/ (read 29.10.2026). (Comfort ratings on one scale, a minimum of utility, content ratings and warnings before release.)</w:t>
      </w:r>
    </w:p>
    <w:p>
      <w:pPr>
        <w:spacing w:before="0" w:after="80"/>
        <w:ind w:left="283" w:hanging="283"/>
      </w:pPr>
      <w:r>
        <w:rPr>
          <w:sz w:val="19"/>
        </w:rPr>
        <w:t>Kaplan, A. D., Cruit, J., Endsley, M., Beers, S. M., Sawyer, B. D., &amp; Hancock, P. A. (2021). The effects of virtual reality, augmented reality, and mixed reality as training enhancement methods: A meta-analysis. Human Factors, 63(4), 706–726. https://doi.org/10.1177/0018720820904229 (Training in virtual, augmented or mixed reality was about as effective as training in a non-simulated environment, not more.)</w:t>
      </w:r>
    </w:p>
    <w:p>
      <w:pPr>
        <w:spacing w:before="0" w:after="80"/>
        <w:ind w:left="283" w:hanging="283"/>
      </w:pPr>
      <w:r>
        <w:rPr>
          <w:sz w:val="19"/>
        </w:rPr>
        <w:t>Miller, M. R., Herrera, F., Jun, H., Landay, J. A., &amp; Bailenson, J. N. (2020). Personal identifiability of user tracking data during observation of 360-degree VR video. Scientific Reports, 10, 17404. https://doi.org/10.1038/s41598-020-74486-y (More than 500 participants could be identified with above 95% accuracy from less than five minutes of tracking data; figures from summaries.)</w:t>
      </w:r>
    </w:p>
    <w:p>
      <w:pPr>
        <w:spacing w:before="0" w:after="80"/>
        <w:ind w:left="283" w:hanging="283"/>
      </w:pPr>
      <w:r>
        <w:rPr>
          <w:sz w:val="19"/>
        </w:rPr>
        <w:t>Stilgoe, J., Owen, R., &amp; Macnaghten, P. (2013). Developing a framework for responsible innovation. Research Policy, 42(9), 1568–1580. (Anticipation, reflexivity, inclusion and responsiveness as dimensions of responsible innovation.)</w:t>
      </w:r>
    </w:p>
    <w:p>
      <w:pPr>
        <w:spacing w:before="0" w:after="80"/>
        <w:ind w:left="283" w:hanging="283"/>
      </w:pPr>
      <w:r>
        <w:rPr>
          <w:sz w:val="19"/>
        </w:rPr>
        <w:t>European Commission. AI Act. Shaping Europe's digital future. https://digital-strategy.ec.europa.eu/en/policies/regulatory-framework-ai (read 29.10.2026). (Four levels of risk, banned practices including emotion recognition at work and in education, obligations before market, monitoring after.)</w:t>
      </w:r>
    </w:p>
    <w:p>
      <w:pPr>
        <w:spacing w:before="0" w:after="80"/>
        <w:ind w:left="283" w:hanging="283"/>
      </w:pPr>
      <w:r>
        <w:rPr>
          <w:sz w:val="19"/>
        </w:rPr>
        <w:t>Regulation (EU) 2024/1689 of the European Parliament and of the Council laying down harmonised rules on artificial intelligence (Artificial Intelligence Act). Official Journal of the European Union, 12 July 2024. (Among other duties, people must be informed when they interact with an AI system; check the current state of its application before a course run.)</w:t>
      </w:r>
    </w:p>
    <w:p>
      <w:pPr>
        <w:spacing w:before="0" w:after="80"/>
        <w:ind w:left="283" w:hanging="283"/>
      </w:pPr>
      <w:r>
        <w:rPr>
          <w:sz w:val="19"/>
        </w:rPr>
        <w:t>Argyris, C., &amp; Schön, D. A. (1978). Organizational learning: A theory of action perspective. Addison-Wesley. (Organisations learn when they question not only their actions but the assumptions behind them.)</w:t>
      </w:r>
    </w:p>
    <w:p>
      <w:pPr>
        <w:spacing w:before="0" w:after="80"/>
        <w:ind w:left="283" w:hanging="283"/>
      </w:pPr>
      <w:r>
        <w:rPr>
          <w:sz w:val="19"/>
        </w:rPr>
        <w:t>Government Digital Service. Service Manual: How the discovery phase works; How the alpha phase works. https://www.gov.uk/service-manual/agile-delivery (read 29.10.2026). (Define the problem, test the riskiest assumptions with throwaway prototypes, decide with evidence, including to stop.)</w:t>
      </w:r>
    </w:p>
    <w:p>
      <w:pPr>
        <w:spacing w:before="0" w:after="80"/>
        <w:ind w:left="283" w:hanging="283"/>
      </w:pPr>
      <w:r>
        <w:rPr>
          <w:sz w:val="19"/>
        </w:rPr>
        <w:t>Gibbons, S. (2018). Using Prioritization Matrices to Inform UX Decisions. Nielsen Norman Group. https://www.nngroup.com/articles/prioritization-matrices/ (Rate each option on the same few criteria, such as value to the user against effort, and put the reason next to each rating.)</w:t>
      </w:r>
    </w:p>
    <w:p>
      <w:pPr>
        <w:spacing w:before="0" w:after="80"/>
        <w:ind w:left="283" w:hanging="283"/>
      </w:pPr>
      <w:r>
        <w:rPr>
          <w:sz w:val="19"/>
        </w:rPr>
        <w:t>Rebenitsch, L., &amp; Owen, C. (2016). Review on cybersickness in applications and visual displays. Virtual Reality, 20(2), 101–125. (Motion sickness in VR and the factors that make it worse.)</w:t>
      </w:r>
    </w:p>
    <w:p>
      <w:pPr>
        <w:spacing w:before="0" w:after="80"/>
        <w:ind w:left="283" w:hanging="283"/>
      </w:pPr>
      <w:r>
        <w:rPr>
          <w:sz w:val="19"/>
        </w:rPr>
        <w:t>Simon, H. A. (1956). Rational choice and the structure of the environment. Psychological Review, 63(2), 129–138. (With limited information and time, people choose an option that is good enough rather than the best one: a decision under uncertainty.)</w:t>
      </w:r>
    </w:p>
    <w:p>
      <w:pPr>
        <w:spacing w:before="0" w:after="80"/>
        <w:ind w:left="283" w:hanging="283"/>
      </w:pPr>
      <w:r>
        <w:rPr>
          <w:sz w:val="19"/>
        </w:rPr>
        <w:t>Klein, G. (2007). Performing a project premortem. Harvard Business Review, 85(9), 18–19. (Imagine the plan has failed and ask why; it brings risks and wrong assumptions to the surface before the work starts.)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06"/>
        <w:gridCol w:w="5192"/>
        <w:gridCol w:w="1414"/>
        <w:gridCol w:w="926"/>
      </w:tblGrid>
      <w:tr>
        <w:trPr>
          <w:cantSplit/>
          <w:tblHeader/>
        </w:trPr>
        <w:tc>
          <w:tcPr>
            <w:tcW w:type="dxa" w:w="2106"/>
            <w:shd w:val="clear" w:color="auto" w:fill="E6ECF4"/>
          </w:tcPr>
          <w:p>
            <w:pPr>
              <w:spacing w:before="0" w:after="0"/>
            </w:pPr>
            <w:r>
              <w:rPr>
                <w:b/>
                <w:sz w:val="19"/>
              </w:rPr>
              <w:t>Term</w:t>
            </w:r>
          </w:p>
        </w:tc>
        <w:tc>
          <w:tcPr>
            <w:tcW w:type="dxa" w:w="5192"/>
            <w:shd w:val="clear" w:color="auto" w:fill="E6ECF4"/>
          </w:tcPr>
          <w:p>
            <w:pPr>
              <w:spacing w:before="0" w:after="0"/>
            </w:pPr>
            <w:r>
              <w:rPr>
                <w:b/>
                <w:sz w:val="19"/>
              </w:rPr>
              <w:t>In plain words</w:t>
            </w:r>
          </w:p>
        </w:tc>
        <w:tc>
          <w:tcPr>
            <w:tcW w:type="dxa" w:w="1414"/>
            <w:shd w:val="clear" w:color="auto" w:fill="E6ECF4"/>
          </w:tcPr>
          <w:p>
            <w:pPr>
              <w:spacing w:before="0" w:after="0"/>
            </w:pPr>
            <w:r>
              <w:rPr>
                <w:b/>
                <w:sz w:val="19"/>
              </w:rPr>
              <w:t>Example</w:t>
            </w:r>
          </w:p>
        </w:tc>
        <w:tc>
          <w:tcPr>
            <w:tcW w:type="dxa" w:w="926"/>
            <w:shd w:val="clear" w:color="auto" w:fill="E6ECF4"/>
          </w:tcPr>
          <w:p>
            <w:pPr>
              <w:spacing w:before="0" w:after="0"/>
            </w:pPr>
            <w:r>
              <w:rPr>
                <w:b/>
                <w:sz w:val="19"/>
              </w:rPr>
              <w:t>Comes from</w:t>
            </w:r>
          </w:p>
        </w:tc>
      </w:tr>
      <w:tr>
        <w:trPr>
          <w:cantSplit/>
        </w:trPr>
        <w:tc>
          <w:tcPr>
            <w:tcW w:type="dxa" w:w="2106"/>
          </w:tcPr>
          <w:p>
            <w:pPr>
              <w:spacing w:before="0" w:after="0"/>
            </w:pPr>
            <w:r>
              <w:rPr>
                <w:b/>
                <w:sz w:val="19"/>
              </w:rPr>
              <w:t>Accessibility</w:t>
            </w:r>
          </w:p>
        </w:tc>
        <w:tc>
          <w:tcPr>
            <w:tcW w:type="dxa" w:w="5192"/>
          </w:tcPr>
          <w:p>
            <w:pPr>
              <w:spacing w:before="0" w:after="0"/>
            </w:pPr>
            <w:r>
              <w:rPr>
                <w:sz w:val="19"/>
              </w:rPr>
              <w:t>Designing so that everyone can use a product, also people who see less well, see colours differently, or use a keyboard or a screen reader.</w:t>
            </w:r>
          </w:p>
        </w:tc>
        <w:tc>
          <w:tcPr>
            <w:tcW w:type="dxa" w:w="1414"/>
          </w:tcPr>
          <w:p>
            <w:pPr>
              <w:spacing w:before="0" w:after="0"/>
            </w:pPr>
            <w:r>
              <w:rPr>
                <w:sz w:val="19"/>
              </w:rPr>
              <w:t>—</w:t>
            </w:r>
          </w:p>
        </w:tc>
        <w:tc>
          <w:tcPr>
            <w:tcW w:type="dxa" w:w="926"/>
          </w:tcPr>
          <w:p>
            <w:pPr>
              <w:spacing w:before="0" w:after="0"/>
            </w:pPr>
            <w:r>
              <w:rPr>
                <w:sz w:val="19"/>
              </w:rPr>
              <w:t>Day 3</w:t>
            </w:r>
          </w:p>
        </w:tc>
      </w:tr>
      <w:tr>
        <w:trPr>
          <w:cantSplit/>
        </w:trPr>
        <w:tc>
          <w:tcPr>
            <w:tcW w:type="dxa" w:w="2106"/>
          </w:tcPr>
          <w:p>
            <w:pPr>
              <w:spacing w:before="0" w:after="0"/>
            </w:pPr>
            <w:r>
              <w:rPr>
                <w:b/>
                <w:sz w:val="19"/>
              </w:rPr>
              <w:t>Attention</w:t>
            </w:r>
          </w:p>
        </w:tc>
        <w:tc>
          <w:tcPr>
            <w:tcW w:type="dxa" w:w="5192"/>
          </w:tcPr>
          <w:p>
            <w:pPr>
              <w:spacing w:before="0" w:after="0"/>
            </w:pPr>
            <w:r>
              <w:rPr>
                <w:sz w:val="19"/>
              </w:rPr>
              <w:t>The mind's spotlight. Only a small part of a screen is processed at any moment; attention decides which part.</w:t>
            </w:r>
          </w:p>
        </w:tc>
        <w:tc>
          <w:tcPr>
            <w:tcW w:type="dxa" w:w="1414"/>
          </w:tcPr>
          <w:p>
            <w:pPr>
              <w:spacing w:before="0" w:after="0"/>
            </w:pPr>
            <w:r>
              <w:rPr>
                <w:sz w:val="19"/>
              </w:rPr>
              <w:t>A flashing banner takes attention away from the form you were filling in.</w:t>
            </w:r>
          </w:p>
        </w:tc>
        <w:tc>
          <w:tcPr>
            <w:tcW w:type="dxa" w:w="926"/>
          </w:tcPr>
          <w:p>
            <w:pPr>
              <w:spacing w:before="0" w:after="0"/>
            </w:pPr>
            <w:r>
              <w:rPr>
                <w:sz w:val="19"/>
              </w:rPr>
              <w:t>Day 1</w:t>
            </w:r>
          </w:p>
        </w:tc>
      </w:tr>
      <w:tr>
        <w:trPr>
          <w:cantSplit/>
        </w:trPr>
        <w:tc>
          <w:tcPr>
            <w:tcW w:type="dxa" w:w="2106"/>
          </w:tcPr>
          <w:p>
            <w:pPr>
              <w:spacing w:before="0" w:after="0"/>
            </w:pPr>
            <w:r>
              <w:rPr>
                <w:b/>
                <w:sz w:val="19"/>
              </w:rPr>
              <w:t>Case assumption</w:t>
            </w:r>
          </w:p>
        </w:tc>
        <w:tc>
          <w:tcPr>
            <w:tcW w:type="dxa" w:w="5192"/>
          </w:tcPr>
          <w:p>
            <w:pPr>
              <w:spacing w:before="0" w:after="0"/>
            </w:pPr>
            <w:r>
              <w:rPr>
                <w:sz w:val="19"/>
              </w:rPr>
              <w:t>A fact made up for this exercise to fill a gap in the plan's case. It is marked so you know it is not part of the plan.</w:t>
            </w:r>
          </w:p>
        </w:tc>
        <w:tc>
          <w:tcPr>
            <w:tcW w:type="dxa" w:w="1414"/>
          </w:tcPr>
          <w:p>
            <w:pPr>
              <w:spacing w:before="0" w:after="0"/>
            </w:pPr>
            <w:r>
              <w:rPr>
                <w:sz w:val="19"/>
              </w:rPr>
              <w:t>—</w:t>
            </w:r>
          </w:p>
        </w:tc>
        <w:tc>
          <w:tcPr>
            <w:tcW w:type="dxa" w:w="926"/>
          </w:tcPr>
          <w:p>
            <w:pPr>
              <w:spacing w:before="0" w:after="0"/>
            </w:pPr>
            <w:r>
              <w:rPr>
                <w:sz w:val="19"/>
              </w:rPr>
              <w:t>Day 1</w:t>
            </w:r>
          </w:p>
        </w:tc>
      </w:tr>
      <w:tr>
        <w:trPr>
          <w:cantSplit/>
        </w:trPr>
        <w:tc>
          <w:tcPr>
            <w:tcW w:type="dxa" w:w="2106"/>
          </w:tcPr>
          <w:p>
            <w:pPr>
              <w:spacing w:before="0" w:after="0"/>
            </w:pPr>
            <w:r>
              <w:rPr>
                <w:b/>
                <w:sz w:val="19"/>
              </w:rPr>
              <w:t>Chief Experience Officer</w:t>
            </w:r>
          </w:p>
        </w:tc>
        <w:tc>
          <w:tcPr>
            <w:tcW w:type="dxa" w:w="5192"/>
          </w:tcPr>
          <w:p>
            <w:pPr>
              <w:spacing w:before="0" w:after="0"/>
            </w:pPr>
            <w:r>
              <w:rPr>
                <w:sz w:val="19"/>
              </w:rPr>
              <w:t>The manager who is responsible for the experience customers have across all channels, and who decides where the company invests in it.</w:t>
            </w:r>
          </w:p>
        </w:tc>
        <w:tc>
          <w:tcPr>
            <w:tcW w:type="dxa" w:w="1414"/>
          </w:tcPr>
          <w:p>
            <w:pPr>
              <w:spacing w:before="0" w:after="0"/>
            </w:pPr>
            <w:r>
              <w:rPr>
                <w:sz w:val="19"/>
              </w:rPr>
              <w:t>—</w:t>
            </w:r>
          </w:p>
        </w:tc>
        <w:tc>
          <w:tcPr>
            <w:tcW w:type="dxa" w:w="926"/>
          </w:tcPr>
          <w:p>
            <w:pPr>
              <w:spacing w:before="0" w:after="0"/>
            </w:pPr>
            <w:r>
              <w:rPr>
                <w:sz w:val="19"/>
              </w:rPr>
              <w:t>Day 1</w:t>
            </w:r>
          </w:p>
        </w:tc>
      </w:tr>
      <w:tr>
        <w:trPr>
          <w:cantSplit/>
        </w:trPr>
        <w:tc>
          <w:tcPr>
            <w:tcW w:type="dxa" w:w="2106"/>
          </w:tcPr>
          <w:p>
            <w:pPr>
              <w:spacing w:before="0" w:after="0"/>
            </w:pPr>
            <w:r>
              <w:rPr>
                <w:b/>
                <w:sz w:val="19"/>
              </w:rPr>
              <w:t>Concept idea</w:t>
            </w:r>
          </w:p>
        </w:tc>
        <w:tc>
          <w:tcPr>
            <w:tcW w:type="dxa" w:w="5192"/>
          </w:tcPr>
          <w:p>
            <w:pPr>
              <w:spacing w:before="0" w:after="0"/>
            </w:pPr>
            <w:r>
              <w:rPr>
                <w:sz w:val="19"/>
              </w:rPr>
              <w:t>A described possibility: what it could be and for whom. Nothing has been built or tested yet.</w:t>
            </w:r>
          </w:p>
        </w:tc>
        <w:tc>
          <w:tcPr>
            <w:tcW w:type="dxa" w:w="1414"/>
          </w:tcPr>
          <w:p>
            <w:pPr>
              <w:spacing w:before="0" w:after="0"/>
            </w:pPr>
            <w:r>
              <w:rPr>
                <w:sz w:val="19"/>
              </w:rPr>
              <w:t>—</w:t>
            </w:r>
          </w:p>
        </w:tc>
        <w:tc>
          <w:tcPr>
            <w:tcW w:type="dxa" w:w="926"/>
          </w:tcPr>
          <w:p>
            <w:pPr>
              <w:spacing w:before="0" w:after="0"/>
            </w:pPr>
            <w:r>
              <w:rPr>
                <w:sz w:val="19"/>
              </w:rPr>
              <w:t>Day 16</w:t>
            </w:r>
          </w:p>
        </w:tc>
      </w:tr>
      <w:tr>
        <w:trPr>
          <w:cantSplit/>
        </w:trPr>
        <w:tc>
          <w:tcPr>
            <w:tcW w:type="dxa" w:w="2106"/>
          </w:tcPr>
          <w:p>
            <w:pPr>
              <w:spacing w:before="0" w:after="0"/>
            </w:pPr>
            <w:r>
              <w:rPr>
                <w:b/>
                <w:sz w:val="19"/>
              </w:rPr>
              <w:t>Dark pattern</w:t>
            </w:r>
          </w:p>
        </w:tc>
        <w:tc>
          <w:tcPr>
            <w:tcW w:type="dxa" w:w="5192"/>
          </w:tcPr>
          <w:p>
            <w:pPr>
              <w:spacing w:before="0" w:after="0"/>
            </w:pPr>
            <w:r>
              <w:rPr>
                <w:sz w:val="19"/>
              </w:rPr>
              <w:t>A design that uses emotion against people's own interest, such as false urgency, guilt or hidden costs.</w:t>
            </w:r>
          </w:p>
        </w:tc>
        <w:tc>
          <w:tcPr>
            <w:tcW w:type="dxa" w:w="1414"/>
          </w:tcPr>
          <w:p>
            <w:pPr>
              <w:spacing w:before="0" w:after="0"/>
            </w:pPr>
            <w:r>
              <w:rPr>
                <w:sz w:val="19"/>
              </w:rPr>
              <w:t>—</w:t>
            </w:r>
          </w:p>
        </w:tc>
        <w:tc>
          <w:tcPr>
            <w:tcW w:type="dxa" w:w="926"/>
          </w:tcPr>
          <w:p>
            <w:pPr>
              <w:spacing w:before="0" w:after="0"/>
            </w:pPr>
            <w:r>
              <w:rPr>
                <w:sz w:val="19"/>
              </w:rPr>
              <w:t>Day 7</w:t>
            </w:r>
          </w:p>
        </w:tc>
      </w:tr>
      <w:tr>
        <w:trPr>
          <w:cantSplit/>
        </w:trPr>
        <w:tc>
          <w:tcPr>
            <w:tcW w:type="dxa" w:w="2106"/>
          </w:tcPr>
          <w:p>
            <w:pPr>
              <w:spacing w:before="0" w:after="0"/>
            </w:pPr>
            <w:r>
              <w:rPr>
                <w:b/>
                <w:sz w:val="19"/>
              </w:rPr>
              <w:t>Decision architecture</w:t>
            </w:r>
          </w:p>
        </w:tc>
        <w:tc>
          <w:tcPr>
            <w:tcW w:type="dxa" w:w="5192"/>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414"/>
          </w:tcPr>
          <w:p>
            <w:pPr>
              <w:spacing w:before="0" w:after="0"/>
            </w:pPr>
            <w:r>
              <w:rPr>
                <w:sz w:val="19"/>
              </w:rPr>
              <w:t>—</w:t>
            </w:r>
          </w:p>
        </w:tc>
        <w:tc>
          <w:tcPr>
            <w:tcW w:type="dxa" w:w="926"/>
          </w:tcPr>
          <w:p>
            <w:pPr>
              <w:spacing w:before="0" w:after="0"/>
            </w:pPr>
            <w:r>
              <w:rPr>
                <w:sz w:val="19"/>
              </w:rPr>
              <w:t>Day 1</w:t>
            </w:r>
          </w:p>
        </w:tc>
      </w:tr>
      <w:tr>
        <w:trPr>
          <w:cantSplit/>
        </w:trPr>
        <w:tc>
          <w:tcPr>
            <w:tcW w:type="dxa" w:w="2106"/>
          </w:tcPr>
          <w:p>
            <w:pPr>
              <w:spacing w:before="0" w:after="0"/>
            </w:pPr>
            <w:r>
              <w:rPr>
                <w:b/>
                <w:sz w:val="19"/>
              </w:rPr>
              <w:t>Error handling</w:t>
            </w:r>
          </w:p>
        </w:tc>
        <w:tc>
          <w:tcPr>
            <w:tcW w:type="dxa" w:w="5192"/>
          </w:tcPr>
          <w:p>
            <w:pPr>
              <w:spacing w:before="0" w:after="0"/>
            </w:pPr>
            <w:r>
              <w:rPr>
                <w:sz w:val="19"/>
              </w:rPr>
              <w:t>What an assistant does when it does not understand: a good one asks a better question or hands over to a person instead of repeating itself.</w:t>
            </w:r>
          </w:p>
        </w:tc>
        <w:tc>
          <w:tcPr>
            <w:tcW w:type="dxa" w:w="1414"/>
          </w:tcPr>
          <w:p>
            <w:pPr>
              <w:spacing w:before="0" w:after="0"/>
            </w:pPr>
            <w:r>
              <w:rPr>
                <w:sz w:val="19"/>
              </w:rPr>
              <w:t>—</w:t>
            </w:r>
          </w:p>
        </w:tc>
        <w:tc>
          <w:tcPr>
            <w:tcW w:type="dxa" w:w="926"/>
          </w:tcPr>
          <w:p>
            <w:pPr>
              <w:spacing w:before="0" w:after="0"/>
            </w:pPr>
            <w:r>
              <w:rPr>
                <w:sz w:val="19"/>
              </w:rPr>
              <w:t>Day 11</w:t>
            </w:r>
          </w:p>
        </w:tc>
      </w:tr>
      <w:tr>
        <w:trPr>
          <w:cantSplit/>
        </w:trPr>
        <w:tc>
          <w:tcPr>
            <w:tcW w:type="dxa" w:w="2106"/>
          </w:tcPr>
          <w:p>
            <w:pPr>
              <w:spacing w:before="0" w:after="0"/>
            </w:pPr>
            <w:r>
              <w:rPr>
                <w:b/>
                <w:sz w:val="19"/>
              </w:rPr>
              <w:t>Error robustness</w:t>
            </w:r>
          </w:p>
        </w:tc>
        <w:tc>
          <w:tcPr>
            <w:tcW w:type="dxa" w:w="5192"/>
          </w:tcPr>
          <w:p>
            <w:pPr>
              <w:spacing w:before="0" w:after="0"/>
            </w:pPr>
            <w:r>
              <w:rPr>
                <w:sz w:val="19"/>
              </w:rPr>
              <w:t>How well a system copes with mistakes and failures, such as a lost signal or a wrong step, without leaving people stuck.</w:t>
            </w:r>
          </w:p>
        </w:tc>
        <w:tc>
          <w:tcPr>
            <w:tcW w:type="dxa" w:w="1414"/>
          </w:tcPr>
          <w:p>
            <w:pPr>
              <w:spacing w:before="0" w:after="0"/>
            </w:pPr>
            <w:r>
              <w:rPr>
                <w:sz w:val="19"/>
              </w:rPr>
              <w:t>—</w:t>
            </w:r>
          </w:p>
        </w:tc>
        <w:tc>
          <w:tcPr>
            <w:tcW w:type="dxa" w:w="926"/>
          </w:tcPr>
          <w:p>
            <w:pPr>
              <w:spacing w:before="0" w:after="0"/>
            </w:pPr>
            <w:r>
              <w:rPr>
                <w:sz w:val="19"/>
              </w:rPr>
              <w:t>Day 16</w:t>
            </w:r>
          </w:p>
        </w:tc>
      </w:tr>
      <w:tr>
        <w:trPr>
          <w:cantSplit/>
        </w:trPr>
        <w:tc>
          <w:tcPr>
            <w:tcW w:type="dxa" w:w="2106"/>
          </w:tcPr>
          <w:p>
            <w:pPr>
              <w:spacing w:before="0" w:after="0"/>
            </w:pPr>
            <w:r>
              <w:rPr>
                <w:b/>
                <w:sz w:val="19"/>
              </w:rPr>
              <w:t>Evaluation grid</w:t>
            </w:r>
          </w:p>
        </w:tc>
        <w:tc>
          <w:tcPr>
            <w:tcW w:type="dxa" w:w="5192"/>
          </w:tcPr>
          <w:p>
            <w:pPr>
              <w:spacing w:before="0" w:after="0"/>
            </w:pPr>
            <w:r>
              <w:rPr>
                <w:sz w:val="19"/>
              </w:rPr>
              <w:t>One set of criteria used for every idea, prototype and pilot, so that they can be compared and decided the same way.</w:t>
            </w:r>
          </w:p>
        </w:tc>
        <w:tc>
          <w:tcPr>
            <w:tcW w:type="dxa" w:w="1414"/>
          </w:tcPr>
          <w:p>
            <w:pPr>
              <w:spacing w:before="0" w:after="0"/>
            </w:pPr>
            <w:r>
              <w:rPr>
                <w:sz w:val="19"/>
              </w:rPr>
              <w:t>—</w:t>
            </w:r>
          </w:p>
        </w:tc>
        <w:tc>
          <w:tcPr>
            <w:tcW w:type="dxa" w:w="926"/>
          </w:tcPr>
          <w:p>
            <w:pPr>
              <w:spacing w:before="0" w:after="0"/>
            </w:pPr>
            <w:r>
              <w:rPr>
                <w:sz w:val="19"/>
              </w:rPr>
              <w:t>Day 16</w:t>
            </w:r>
          </w:p>
        </w:tc>
      </w:tr>
      <w:tr>
        <w:trPr>
          <w:cantSplit/>
        </w:trPr>
        <w:tc>
          <w:tcPr>
            <w:tcW w:type="dxa" w:w="2106"/>
          </w:tcPr>
          <w:p>
            <w:pPr>
              <w:spacing w:before="0" w:after="0"/>
            </w:pPr>
            <w:r>
              <w:rPr>
                <w:b/>
                <w:sz w:val="19"/>
              </w:rPr>
              <w:t>Governance</w:t>
            </w:r>
          </w:p>
        </w:tc>
        <w:tc>
          <w:tcPr>
            <w:tcW w:type="dxa" w:w="5192"/>
          </w:tcPr>
          <w:p>
            <w:pPr>
              <w:spacing w:before="0" w:after="0"/>
            </w:pPr>
            <w:r>
              <w:rPr>
                <w:sz w:val="19"/>
              </w:rPr>
              <w:t>The rules about who may decide what, who is answerable for it and how disagreements are settled.</w:t>
            </w:r>
          </w:p>
        </w:tc>
        <w:tc>
          <w:tcPr>
            <w:tcW w:type="dxa" w:w="1414"/>
          </w:tcPr>
          <w:p>
            <w:pPr>
              <w:spacing w:before="0" w:after="0"/>
            </w:pPr>
            <w:r>
              <w:rPr>
                <w:sz w:val="19"/>
              </w:rPr>
              <w:t>—</w:t>
            </w:r>
          </w:p>
        </w:tc>
        <w:tc>
          <w:tcPr>
            <w:tcW w:type="dxa" w:w="926"/>
          </w:tcPr>
          <w:p>
            <w:pPr>
              <w:spacing w:before="0" w:after="0"/>
            </w:pPr>
            <w:r>
              <w:rPr>
                <w:sz w:val="19"/>
              </w:rPr>
              <w:t>Day 1</w:t>
            </w:r>
          </w:p>
        </w:tc>
      </w:tr>
      <w:tr>
        <w:trPr>
          <w:cantSplit/>
        </w:trPr>
        <w:tc>
          <w:tcPr>
            <w:tcW w:type="dxa" w:w="2106"/>
          </w:tcPr>
          <w:p>
            <w:pPr>
              <w:spacing w:before="0" w:after="0"/>
            </w:pPr>
            <w:r>
              <w:rPr>
                <w:b/>
                <w:sz w:val="19"/>
              </w:rPr>
              <w:t>Immersion</w:t>
            </w:r>
          </w:p>
        </w:tc>
        <w:tc>
          <w:tcPr>
            <w:tcW w:type="dxa" w:w="5192"/>
          </w:tcPr>
          <w:p>
            <w:pPr>
              <w:spacing w:before="0" w:after="0"/>
            </w:pPr>
            <w:r>
              <w:rPr>
                <w:sz w:val="19"/>
              </w:rPr>
              <w:t>How much a technology surrounds the senses and shuts out the real surroundings; more immersion can mean more presence, and more load.</w:t>
            </w:r>
          </w:p>
        </w:tc>
        <w:tc>
          <w:tcPr>
            <w:tcW w:type="dxa" w:w="1414"/>
          </w:tcPr>
          <w:p>
            <w:pPr>
              <w:spacing w:before="0" w:after="0"/>
            </w:pPr>
            <w:r>
              <w:rPr>
                <w:sz w:val="19"/>
              </w:rPr>
              <w:t>—</w:t>
            </w:r>
          </w:p>
        </w:tc>
        <w:tc>
          <w:tcPr>
            <w:tcW w:type="dxa" w:w="926"/>
          </w:tcPr>
          <w:p>
            <w:pPr>
              <w:spacing w:before="0" w:after="0"/>
            </w:pPr>
            <w:r>
              <w:rPr>
                <w:sz w:val="19"/>
              </w:rPr>
              <w:t>Day 14</w:t>
            </w:r>
          </w:p>
        </w:tc>
      </w:tr>
      <w:tr>
        <w:trPr>
          <w:cantSplit/>
        </w:trPr>
        <w:tc>
          <w:tcPr>
            <w:tcW w:type="dxa" w:w="2106"/>
          </w:tcPr>
          <w:p>
            <w:pPr>
              <w:spacing w:before="0" w:after="0"/>
            </w:pPr>
            <w:r>
              <w:rPr>
                <w:b/>
                <w:sz w:val="19"/>
              </w:rPr>
              <w:t>Maturity</w:t>
            </w:r>
          </w:p>
        </w:tc>
        <w:tc>
          <w:tcPr>
            <w:tcW w:type="dxa" w:w="5192"/>
          </w:tcPr>
          <w:p>
            <w:pPr>
              <w:spacing w:before="0" w:after="0"/>
            </w:pPr>
            <w:r>
              <w:rPr>
                <w:sz w:val="19"/>
              </w:rPr>
              <w:t>How far a technology is from an idea to reliable use: does it work, in the real environment, for real users, at scale?</w:t>
            </w:r>
          </w:p>
        </w:tc>
        <w:tc>
          <w:tcPr>
            <w:tcW w:type="dxa" w:w="1414"/>
          </w:tcPr>
          <w:p>
            <w:pPr>
              <w:spacing w:before="0" w:after="0"/>
            </w:pPr>
            <w:r>
              <w:rPr>
                <w:sz w:val="19"/>
              </w:rPr>
              <w:t>—</w:t>
            </w:r>
          </w:p>
        </w:tc>
        <w:tc>
          <w:tcPr>
            <w:tcW w:type="dxa" w:w="926"/>
          </w:tcPr>
          <w:p>
            <w:pPr>
              <w:spacing w:before="0" w:after="0"/>
            </w:pPr>
            <w:r>
              <w:rPr>
                <w:sz w:val="19"/>
              </w:rPr>
              <w:t>Day 14</w:t>
            </w:r>
          </w:p>
        </w:tc>
      </w:tr>
      <w:tr>
        <w:trPr>
          <w:cantSplit/>
        </w:trPr>
        <w:tc>
          <w:tcPr>
            <w:tcW w:type="dxa" w:w="2106"/>
          </w:tcPr>
          <w:p>
            <w:pPr>
              <w:spacing w:before="0" w:after="0"/>
            </w:pPr>
            <w:r>
              <w:rPr>
                <w:b/>
                <w:sz w:val="19"/>
              </w:rPr>
              <w:t>Neuro-UX</w:t>
            </w:r>
          </w:p>
        </w:tc>
        <w:tc>
          <w:tcPr>
            <w:tcW w:type="dxa" w:w="5192"/>
          </w:tcPr>
          <w:p>
            <w:pPr>
              <w:spacing w:before="0" w:after="0"/>
            </w:pPr>
            <w:r>
              <w:rPr>
                <w:sz w:val="19"/>
              </w:rPr>
              <w:t>Designing an interface with knowledge of how the brain sees, attends, feels and decides, so that the design steers these processes on purpose and responsibly.</w:t>
            </w:r>
          </w:p>
        </w:tc>
        <w:tc>
          <w:tcPr>
            <w:tcW w:type="dxa" w:w="1414"/>
          </w:tcPr>
          <w:p>
            <w:pPr>
              <w:spacing w:before="0" w:after="0"/>
            </w:pPr>
            <w:r>
              <w:rPr>
                <w:sz w:val="19"/>
              </w:rPr>
              <w:t>—</w:t>
            </w:r>
          </w:p>
        </w:tc>
        <w:tc>
          <w:tcPr>
            <w:tcW w:type="dxa" w:w="926"/>
          </w:tcPr>
          <w:p>
            <w:pPr>
              <w:spacing w:before="0" w:after="0"/>
            </w:pPr>
            <w:r>
              <w:rPr>
                <w:sz w:val="19"/>
              </w:rPr>
              <w:t>Day 1</w:t>
            </w:r>
          </w:p>
        </w:tc>
      </w:tr>
      <w:tr>
        <w:trPr>
          <w:cantSplit/>
        </w:trPr>
        <w:tc>
          <w:tcPr>
            <w:tcW w:type="dxa" w:w="2106"/>
          </w:tcPr>
          <w:p>
            <w:pPr>
              <w:spacing w:before="0" w:after="0"/>
            </w:pPr>
            <w:r>
              <w:rPr>
                <w:b/>
                <w:sz w:val="19"/>
              </w:rPr>
              <w:t>Organisational learning</w:t>
            </w:r>
          </w:p>
        </w:tc>
        <w:tc>
          <w:tcPr>
            <w:tcW w:type="dxa" w:w="5192"/>
          </w:tcPr>
          <w:p>
            <w:pPr>
              <w:spacing w:before="0" w:after="0"/>
            </w:pPr>
            <w:r>
              <w:rPr>
                <w:sz w:val="19"/>
              </w:rPr>
              <w:t>An organisation getting better at deciding, by questioning not only what it did but the assumptions behind it.</w:t>
            </w:r>
          </w:p>
        </w:tc>
        <w:tc>
          <w:tcPr>
            <w:tcW w:type="dxa" w:w="1414"/>
          </w:tcPr>
          <w:p>
            <w:pPr>
              <w:spacing w:before="0" w:after="0"/>
            </w:pPr>
            <w:r>
              <w:rPr>
                <w:sz w:val="19"/>
              </w:rPr>
              <w:t>—</w:t>
            </w:r>
          </w:p>
        </w:tc>
        <w:tc>
          <w:tcPr>
            <w:tcW w:type="dxa" w:w="926"/>
          </w:tcPr>
          <w:p>
            <w:pPr>
              <w:spacing w:before="0" w:after="0"/>
            </w:pPr>
            <w:r>
              <w:rPr>
                <w:sz w:val="19"/>
              </w:rPr>
              <w:t>Day 16</w:t>
            </w:r>
          </w:p>
        </w:tc>
      </w:tr>
      <w:tr>
        <w:trPr>
          <w:cantSplit/>
        </w:trPr>
        <w:tc>
          <w:tcPr>
            <w:tcW w:type="dxa" w:w="2106"/>
          </w:tcPr>
          <w:p>
            <w:pPr>
              <w:spacing w:before="0" w:after="0"/>
            </w:pPr>
            <w:r>
              <w:rPr>
                <w:b/>
                <w:sz w:val="19"/>
              </w:rPr>
              <w:t>Orientation</w:t>
            </w:r>
          </w:p>
        </w:tc>
        <w:tc>
          <w:tcPr>
            <w:tcW w:type="dxa" w:w="5192"/>
          </w:tcPr>
          <w:p>
            <w:pPr>
              <w:spacing w:before="0" w:after="0"/>
            </w:pPr>
            <w:r>
              <w:rPr>
                <w:sz w:val="19"/>
              </w:rPr>
              <w:t>Knowing where you are, what you can do here and what happens next.</w:t>
            </w:r>
          </w:p>
        </w:tc>
        <w:tc>
          <w:tcPr>
            <w:tcW w:type="dxa" w:w="1414"/>
          </w:tcPr>
          <w:p>
            <w:pPr>
              <w:spacing w:before="0" w:after="0"/>
            </w:pPr>
            <w:r>
              <w:rPr>
                <w:sz w:val="19"/>
              </w:rPr>
              <w:t>—</w:t>
            </w:r>
          </w:p>
        </w:tc>
        <w:tc>
          <w:tcPr>
            <w:tcW w:type="dxa" w:w="926"/>
          </w:tcPr>
          <w:p>
            <w:pPr>
              <w:spacing w:before="0" w:after="0"/>
            </w:pPr>
            <w:r>
              <w:rPr>
                <w:sz w:val="19"/>
              </w:rPr>
              <w:t>Day 1</w:t>
            </w:r>
          </w:p>
        </w:tc>
      </w:tr>
      <w:tr>
        <w:trPr>
          <w:cantSplit/>
        </w:trPr>
        <w:tc>
          <w:tcPr>
            <w:tcW w:type="dxa" w:w="2106"/>
          </w:tcPr>
          <w:p>
            <w:pPr>
              <w:spacing w:before="0" w:after="0"/>
            </w:pPr>
            <w:r>
              <w:rPr>
                <w:b/>
                <w:sz w:val="19"/>
              </w:rPr>
              <w:t>Pilot</w:t>
            </w:r>
          </w:p>
        </w:tc>
        <w:tc>
          <w:tcPr>
            <w:tcW w:type="dxa" w:w="5192"/>
          </w:tcPr>
          <w:p>
            <w:pPr>
              <w:spacing w:before="0" w:after="0"/>
            </w:pPr>
            <w:r>
              <w:rPr>
                <w:sz w:val="19"/>
              </w:rPr>
              <w:t>A real use of a solution by real users in one limited place and time, to learn whether it works before it grows.</w:t>
            </w:r>
          </w:p>
        </w:tc>
        <w:tc>
          <w:tcPr>
            <w:tcW w:type="dxa" w:w="1414"/>
          </w:tcPr>
          <w:p>
            <w:pPr>
              <w:spacing w:before="0" w:after="0"/>
            </w:pPr>
            <w:r>
              <w:rPr>
                <w:sz w:val="19"/>
              </w:rPr>
              <w:t>—</w:t>
            </w:r>
          </w:p>
        </w:tc>
        <w:tc>
          <w:tcPr>
            <w:tcW w:type="dxa" w:w="926"/>
          </w:tcPr>
          <w:p>
            <w:pPr>
              <w:spacing w:before="0" w:after="0"/>
            </w:pPr>
            <w:r>
              <w:rPr>
                <w:sz w:val="19"/>
              </w:rPr>
              <w:t>Day 16</w:t>
            </w:r>
          </w:p>
        </w:tc>
      </w:tr>
      <w:tr>
        <w:trPr>
          <w:cantSplit/>
        </w:trPr>
        <w:tc>
          <w:tcPr>
            <w:tcW w:type="dxa" w:w="2106"/>
          </w:tcPr>
          <w:p>
            <w:pPr>
              <w:spacing w:before="0" w:after="0"/>
            </w:pPr>
            <w:r>
              <w:rPr>
                <w:b/>
                <w:sz w:val="19"/>
              </w:rPr>
              <w:t>Presence</w:t>
            </w:r>
          </w:p>
        </w:tc>
        <w:tc>
          <w:tcPr>
            <w:tcW w:type="dxa" w:w="5192"/>
          </w:tcPr>
          <w:p>
            <w:pPr>
              <w:spacing w:before="0" w:after="0"/>
            </w:pPr>
            <w:r>
              <w:rPr>
                <w:sz w:val="19"/>
              </w:rPr>
              <w:t>The feeling of really being in a place that is digital or partly digital.</w:t>
            </w:r>
          </w:p>
        </w:tc>
        <w:tc>
          <w:tcPr>
            <w:tcW w:type="dxa" w:w="1414"/>
          </w:tcPr>
          <w:p>
            <w:pPr>
              <w:spacing w:before="0" w:after="0"/>
            </w:pPr>
            <w:r>
              <w:rPr>
                <w:sz w:val="19"/>
              </w:rPr>
              <w:t>—</w:t>
            </w:r>
          </w:p>
        </w:tc>
        <w:tc>
          <w:tcPr>
            <w:tcW w:type="dxa" w:w="926"/>
          </w:tcPr>
          <w:p>
            <w:pPr>
              <w:spacing w:before="0" w:after="0"/>
            </w:pPr>
            <w:r>
              <w:rPr>
                <w:sz w:val="19"/>
              </w:rPr>
              <w:t>Day 14</w:t>
            </w:r>
          </w:p>
        </w:tc>
      </w:tr>
      <w:tr>
        <w:trPr>
          <w:cantSplit/>
        </w:trPr>
        <w:tc>
          <w:tcPr>
            <w:tcW w:type="dxa" w:w="2106"/>
          </w:tcPr>
          <w:p>
            <w:pPr>
              <w:spacing w:before="0" w:after="0"/>
            </w:pPr>
            <w:r>
              <w:rPr>
                <w:b/>
                <w:sz w:val="19"/>
              </w:rPr>
              <w:t>Responsible innovation</w:t>
            </w:r>
          </w:p>
        </w:tc>
        <w:tc>
          <w:tcPr>
            <w:tcW w:type="dxa" w:w="5192"/>
          </w:tcPr>
          <w:p>
            <w:pPr>
              <w:spacing w:before="0" w:after="0"/>
            </w:pPr>
            <w:r>
              <w:rPr>
                <w:sz w:val="19"/>
              </w:rPr>
              <w:t>Innovation that anticipates harm, reflects on its own assumptions, includes those affected and changes course when needed.</w:t>
            </w:r>
          </w:p>
        </w:tc>
        <w:tc>
          <w:tcPr>
            <w:tcW w:type="dxa" w:w="1414"/>
          </w:tcPr>
          <w:p>
            <w:pPr>
              <w:spacing w:before="0" w:after="0"/>
            </w:pPr>
            <w:r>
              <w:rPr>
                <w:sz w:val="19"/>
              </w:rPr>
              <w:t>—</w:t>
            </w:r>
          </w:p>
        </w:tc>
        <w:tc>
          <w:tcPr>
            <w:tcW w:type="dxa" w:w="926"/>
          </w:tcPr>
          <w:p>
            <w:pPr>
              <w:spacing w:before="0" w:after="0"/>
            </w:pPr>
            <w:r>
              <w:rPr>
                <w:sz w:val="19"/>
              </w:rPr>
              <w:t>Day 16</w:t>
            </w:r>
          </w:p>
        </w:tc>
      </w:tr>
      <w:tr>
        <w:trPr>
          <w:cantSplit/>
        </w:trPr>
        <w:tc>
          <w:tcPr>
            <w:tcW w:type="dxa" w:w="2106"/>
          </w:tcPr>
          <w:p>
            <w:pPr>
              <w:spacing w:before="0" w:after="0"/>
            </w:pPr>
            <w:r>
              <w:rPr>
                <w:b/>
                <w:sz w:val="19"/>
              </w:rPr>
              <w:t>Scalable solution</w:t>
            </w:r>
          </w:p>
        </w:tc>
        <w:tc>
          <w:tcPr>
            <w:tcW w:type="dxa" w:w="5192"/>
          </w:tcPr>
          <w:p>
            <w:pPr>
              <w:spacing w:before="0" w:after="0"/>
            </w:pPr>
            <w:r>
              <w:rPr>
                <w:sz w:val="19"/>
              </w:rPr>
              <w:t>A solution that keeps working when many more people, places or devices use it, with support, maintenance and governance in place.</w:t>
            </w:r>
          </w:p>
        </w:tc>
        <w:tc>
          <w:tcPr>
            <w:tcW w:type="dxa" w:w="1414"/>
          </w:tcPr>
          <w:p>
            <w:pPr>
              <w:spacing w:before="0" w:after="0"/>
            </w:pPr>
            <w:r>
              <w:rPr>
                <w:sz w:val="19"/>
              </w:rPr>
              <w:t>—</w:t>
            </w:r>
          </w:p>
        </w:tc>
        <w:tc>
          <w:tcPr>
            <w:tcW w:type="dxa" w:w="926"/>
          </w:tcPr>
          <w:p>
            <w:pPr>
              <w:spacing w:before="0" w:after="0"/>
            </w:pPr>
            <w:r>
              <w:rPr>
                <w:sz w:val="19"/>
              </w:rPr>
              <w:t>Day 16</w:t>
            </w:r>
          </w:p>
        </w:tc>
      </w:tr>
      <w:tr>
        <w:trPr>
          <w:cantSplit/>
        </w:trPr>
        <w:tc>
          <w:tcPr>
            <w:tcW w:type="dxa" w:w="2106"/>
          </w:tcPr>
          <w:p>
            <w:pPr>
              <w:spacing w:before="0" w:after="0"/>
            </w:pPr>
            <w:r>
              <w:rPr>
                <w:b/>
                <w:sz w:val="19"/>
              </w:rPr>
              <w:t>Testability</w:t>
            </w:r>
          </w:p>
        </w:tc>
        <w:tc>
          <w:tcPr>
            <w:tcW w:type="dxa" w:w="5192"/>
          </w:tcPr>
          <w:p>
            <w:pPr>
              <w:spacing w:before="0" w:after="0"/>
            </w:pPr>
            <w:r>
              <w:rPr>
                <w:sz w:val="19"/>
              </w:rPr>
              <w:t>Whether a prototype is built so that a test can show something: a task, a measure and a question it can answer.</w:t>
            </w:r>
          </w:p>
        </w:tc>
        <w:tc>
          <w:tcPr>
            <w:tcW w:type="dxa" w:w="1414"/>
          </w:tcPr>
          <w:p>
            <w:pPr>
              <w:spacing w:before="0" w:after="0"/>
            </w:pPr>
            <w:r>
              <w:rPr>
                <w:sz w:val="19"/>
              </w:rPr>
              <w:t>—</w:t>
            </w:r>
          </w:p>
        </w:tc>
        <w:tc>
          <w:tcPr>
            <w:tcW w:type="dxa" w:w="926"/>
          </w:tcPr>
          <w:p>
            <w:pPr>
              <w:spacing w:before="0" w:after="0"/>
            </w:pPr>
            <w:r>
              <w:rPr>
                <w:sz w:val="19"/>
              </w:rPr>
              <w:t>Day 16</w:t>
            </w:r>
          </w:p>
        </w:tc>
      </w:tr>
      <w:tr>
        <w:trPr>
          <w:cantSplit/>
        </w:trPr>
        <w:tc>
          <w:tcPr>
            <w:tcW w:type="dxa" w:w="2106"/>
          </w:tcPr>
          <w:p>
            <w:pPr>
              <w:spacing w:before="0" w:after="0"/>
            </w:pPr>
            <w:r>
              <w:rPr>
                <w:b/>
                <w:sz w:val="19"/>
              </w:rPr>
              <w:t>UX (user experience)</w:t>
            </w:r>
          </w:p>
        </w:tc>
        <w:tc>
          <w:tcPr>
            <w:tcW w:type="dxa" w:w="5192"/>
          </w:tcPr>
          <w:p>
            <w:pPr>
              <w:spacing w:before="0" w:after="0"/>
            </w:pPr>
            <w:r>
              <w:rPr>
                <w:sz w:val="19"/>
              </w:rPr>
              <w:t>Everything a person goes through when using a product: what they notice, understand, feel and do, from the first look to the last step. The screens are only one part of it.</w:t>
            </w:r>
          </w:p>
        </w:tc>
        <w:tc>
          <w:tcPr>
            <w:tcW w:type="dxa" w:w="1414"/>
          </w:tcPr>
          <w:p>
            <w:pPr>
              <w:spacing w:before="0" w:after="0"/>
            </w:pPr>
            <w:r>
              <w:rPr>
                <w:sz w:val="19"/>
              </w:rPr>
              <w:t>Finding the booking you want at once and feeling sure it went through is a good UX.</w:t>
            </w:r>
          </w:p>
        </w:tc>
        <w:tc>
          <w:tcPr>
            <w:tcW w:type="dxa" w:w="926"/>
          </w:tcPr>
          <w:p>
            <w:pPr>
              <w:spacing w:before="0" w:after="0"/>
            </w:pPr>
            <w:r>
              <w:rPr>
                <w:sz w:val="19"/>
              </w:rPr>
              <w:t>Day 1</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14"/>
        <w:gridCol w:w="7124"/>
      </w:tblGrid>
      <w:tr>
        <w:trPr>
          <w:cantSplit/>
          <w:tblHeader/>
        </w:trPr>
        <w:tc>
          <w:tcPr>
            <w:tcW w:type="dxa" w:w="2514"/>
            <w:shd w:val="clear" w:color="auto" w:fill="E6ECF4"/>
          </w:tcPr>
          <w:p>
            <w:pPr>
              <w:spacing w:before="0" w:after="0"/>
            </w:pPr>
            <w:r>
              <w:rPr>
                <w:b/>
                <w:sz w:val="20"/>
              </w:rPr>
              <w:t>What</w:t>
            </w:r>
          </w:p>
        </w:tc>
        <w:tc>
          <w:tcPr>
            <w:tcW w:type="dxa" w:w="7124"/>
            <w:shd w:val="clear" w:color="auto" w:fill="E6ECF4"/>
          </w:tcPr>
          <w:p>
            <w:pPr>
              <w:spacing w:before="0" w:after="0"/>
            </w:pPr>
            <w:r>
              <w:rPr>
                <w:b/>
                <w:sz w:val="20"/>
              </w:rPr>
              <w:t>Address</w:t>
            </w:r>
          </w:p>
        </w:tc>
      </w:tr>
      <w:tr>
        <w:trPr>
          <w:cantSplit/>
        </w:trPr>
        <w:tc>
          <w:tcPr>
            <w:tcW w:type="dxa" w:w="2514"/>
          </w:tcPr>
          <w:p>
            <w:pPr>
              <w:spacing w:before="0" w:after="0"/>
            </w:pPr>
            <w:r>
              <w:rPr>
                <w:sz w:val="20"/>
              </w:rPr>
              <w:t>Neuro-UX Lab (course website)</w:t>
            </w:r>
          </w:p>
        </w:tc>
        <w:tc>
          <w:tcPr>
            <w:tcW w:type="dxa" w:w="7124"/>
          </w:tcPr>
          <w:p>
            <w:pPr>
              <w:spacing w:before="0" w:after="0"/>
            </w:pPr>
            <w:r>
              <w:rPr>
                <w:sz w:val="20"/>
              </w:rPr>
              <w:t>https://aion-ux-lab.vercel.app/</w:t>
            </w:r>
          </w:p>
        </w:tc>
      </w:tr>
      <w:tr>
        <w:trPr>
          <w:cantSplit/>
        </w:trPr>
        <w:tc>
          <w:tcPr>
            <w:tcW w:type="dxa" w:w="2514"/>
          </w:tcPr>
          <w:p>
            <w:pPr>
              <w:spacing w:before="0" w:after="0"/>
            </w:pPr>
            <w:r>
              <w:rPr>
                <w:sz w:val="20"/>
              </w:rPr>
              <w:t>Day 16</w:t>
            </w:r>
          </w:p>
        </w:tc>
        <w:tc>
          <w:tcPr>
            <w:tcW w:type="dxa" w:w="7124"/>
          </w:tcPr>
          <w:p>
            <w:pPr>
              <w:spacing w:before="0" w:after="0"/>
            </w:pPr>
            <w:r>
              <w:rPr>
                <w:sz w:val="20"/>
              </w:rPr>
              <w:t>https://aion-ux-lab.vercel.app/day/16/</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16 · Materi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Immersive prototyping and testing, future strategies and ethical aspects</dc:title>
  <dc:subject>DAY 16 · MATERI A AND MATERI B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