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7 · TASK 1 AND TASK 2 · ROUTES 1 AND 2 · LEVELS 1 TO 3</w:t>
      </w:r>
    </w:p>
    <w:p>
      <w:pPr>
        <w:spacing w:before="0" w:after="80" w:line="240" w:lineRule="auto"/>
      </w:pPr>
      <w:r>
        <w:rPr>
          <w:b/>
          <w:sz w:val="52"/>
        </w:rPr>
        <w:t>LifeSupport: UX Analysis File and UX Strategy Memo</w:t>
      </w:r>
    </w:p>
    <w:p>
      <w:pPr>
        <w:spacing w:before="0" w:after="200"/>
      </w:pPr>
      <w:r>
        <w:rPr>
          <w:color w:val="556274"/>
          <w:sz w:val="26"/>
        </w:rPr>
        <w:t>Describe the effect, choose the measures as a team member, and decide as Chief Experience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7 · Module 4 (day 1 of 3): Emotional bonding in 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about 33 min · Task 2 about 20 min</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https://aion-ux-lab.vercel.app/day/7/</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LifeSupport, the day's case study; other products appear as warm-ups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This is the worksheet for Day 7. Read the case once, study the evidence printed in this document, and write your answers in the boxes and tables. You can work through it on paper or type into the document. All blocks are Core. There are no answer keys and no scores; the reason you give matters more than the choice.</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three platforms on the UX team's desk, and LifeSupport</w:t>
            </w:r>
          </w:p>
          <w:p>
            <w:pPr>
              <w:spacing w:before="0" w:after="20"/>
              <w:ind w:left="170"/>
            </w:pPr>
            <w:r>
              <w:rPr>
                <w:sz w:val="20"/>
              </w:rPr>
              <w:t>Block 1.1 · Analyse the emotional effect of a digital offer from the user's side: WellTrack · JUDGED · Core · about 10 min</w:t>
            </w:r>
          </w:p>
          <w:p>
            <w:pPr>
              <w:spacing w:before="0" w:after="20"/>
              <w:ind w:left="170"/>
            </w:pPr>
            <w:r>
              <w:rPr>
                <w:sz w:val="20"/>
              </w:rPr>
              <w:t>Block 1.2 · Rate emotional UX under conflicting goals: CareerPath · JUDGED · Core · about 8 min</w:t>
            </w:r>
          </w:p>
          <w:p>
            <w:pPr>
              <w:spacing w:before="0" w:after="20"/>
              <w:ind w:left="170"/>
            </w:pPr>
            <w:r>
              <w:rPr>
                <w:sz w:val="20"/>
              </w:rPr>
              <w:t>Block 2.1 · Case study: realigning the service portal LifeSupport · JUDGED · Core · about 15 min</w:t>
            </w:r>
          </w:p>
          <w:p>
            <w:pPr>
              <w:spacing w:before="0" w:after="20"/>
              <w:ind w:left="170"/>
            </w:pPr>
            <w:r>
              <w:rPr>
                <w:sz w:val="20"/>
              </w:rPr>
              <w:t>The situation: the provider behind LifeSupport, functionally solid and emotionally distant</w:t>
            </w:r>
          </w:p>
          <w:p>
            <w:pPr>
              <w:spacing w:before="0" w:after="20"/>
              <w:ind w:left="170"/>
            </w:pPr>
            <w:r>
              <w:rPr>
                <w:sz w:val="20"/>
              </w:rPr>
              <w:t>Block 3.1 · An emotionally effective UX strategy for a digital service · JUDGED · Core · about 20 min</w:t>
            </w:r>
          </w:p>
        </w:tc>
      </w:tr>
    </w:tbl>
    <w:p>
      <w:pPr>
        <w:pStyle w:val="Heading1"/>
        <w:pBdr>
          <w:bottom w:val="single" w:sz="8" w:space="2" w:color="17212E"/>
        </w:pBdr>
      </w:pPr>
      <w:r>
        <w:rPr/>
        <w:t>Day at a glance</w:t>
      </w:r>
    </w:p>
    <w:p>
      <w:pPr>
        <w:spacing w:before="0" w:after="100"/>
      </w:pPr>
      <w:r>
        <w:rPr/>
        <w:t xml:space="preserve">Day 7 has ten teaching units (UE). This document is the worksheet; it is used in UE2 to UE6 (Task 1) and UE8 to UE10 (Task 2).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2"/>
        <w:gridCol w:w="3269"/>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2"/>
            <w:shd w:val="clear" w:color="auto" w:fill="E6ECF4"/>
          </w:tcPr>
          <w:p>
            <w:pPr>
              <w:spacing w:before="0" w:after="0"/>
            </w:pPr>
            <w:r>
              <w:rPr>
                <w:b/>
                <w:sz w:val="19"/>
              </w:rPr>
              <w:t>Plan item</w:t>
            </w:r>
          </w:p>
        </w:tc>
        <w:tc>
          <w:tcPr>
            <w:tcW w:type="dxa" w:w="3269"/>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2"/>
          </w:tcPr>
          <w:p>
            <w:pPr>
              <w:spacing w:before="0" w:after="0"/>
            </w:pPr>
            <w:r>
              <w:rPr>
                <w:sz w:val="19"/>
              </w:rPr>
              <w:t>Knowledge transfer · Level 1</w:t>
            </w:r>
          </w:p>
        </w:tc>
        <w:tc>
          <w:tcPr>
            <w:tcW w:type="dxa" w:w="3269"/>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2"/>
          </w:tcPr>
          <w:p>
            <w:pPr>
              <w:spacing w:before="0" w:after="0"/>
            </w:pPr>
            <w:r>
              <w:rPr>
                <w:sz w:val="19"/>
              </w:rPr>
              <w:t>Level 1 · Task 1</w:t>
            </w:r>
          </w:p>
        </w:tc>
        <w:tc>
          <w:tcPr>
            <w:tcW w:type="dxa" w:w="3269"/>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2"/>
          </w:tcPr>
          <w:p>
            <w:pPr>
              <w:spacing w:before="0" w:after="0"/>
            </w:pPr>
            <w:r>
              <w:rPr>
                <w:sz w:val="19"/>
              </w:rPr>
              <w:t>Level 1 · Task 2</w:t>
            </w:r>
          </w:p>
        </w:tc>
        <w:tc>
          <w:tcPr>
            <w:tcW w:type="dxa" w:w="3269"/>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2"/>
          </w:tcPr>
          <w:p>
            <w:pPr>
              <w:spacing w:before="0" w:after="0"/>
            </w:pPr>
            <w:r>
              <w:rPr>
                <w:sz w:val="19"/>
              </w:rPr>
              <w:t>Coaching · transition from Level 1 to Level 2</w:t>
            </w:r>
          </w:p>
        </w:tc>
        <w:tc>
          <w:tcPr>
            <w:tcW w:type="dxa" w:w="3269"/>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2"/>
          </w:tcPr>
          <w:p>
            <w:pPr>
              <w:spacing w:before="0" w:after="0"/>
            </w:pPr>
            <w:r>
              <w:rPr>
                <w:sz w:val="19"/>
              </w:rPr>
              <w:t>Level 2 · Case study LifeSupport (</w:t>
            </w:r>
            <w:r>
              <w:rPr>
                <w:b/>
                <w:sz w:val="19"/>
              </w:rPr>
              <w:t>2 UE</w:t>
            </w:r>
            <w:r>
              <w:rPr>
                <w:sz w:val="19"/>
              </w:rPr>
              <w:t>) incl. model solution</w:t>
            </w:r>
          </w:p>
        </w:tc>
        <w:tc>
          <w:tcPr>
            <w:tcW w:type="dxa" w:w="3269"/>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2"/>
          </w:tcPr>
          <w:p>
            <w:pPr>
              <w:spacing w:before="0" w:after="0"/>
            </w:pPr>
            <w:r>
              <w:rPr>
                <w:sz w:val="19"/>
              </w:rPr>
              <w:t>Level 2 + 3 · Feedback round with a management perspective</w:t>
            </w:r>
          </w:p>
        </w:tc>
        <w:tc>
          <w:tcPr>
            <w:tcW w:type="dxa" w:w="3269"/>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2"/>
          </w:tcPr>
          <w:p>
            <w:pPr>
              <w:spacing w:before="0" w:after="0"/>
            </w:pPr>
            <w:r>
              <w:rPr>
                <w:sz w:val="19"/>
              </w:rPr>
              <w:t>Level 3 · Transfer project, Chief Experience Officer (</w:t>
            </w:r>
            <w:r>
              <w:rPr>
                <w:b/>
                <w:sz w:val="19"/>
              </w:rPr>
              <w:t>3 UE</w:t>
            </w:r>
            <w:r>
              <w:rPr>
                <w:sz w:val="19"/>
              </w:rPr>
              <w:t>: UE8–10)</w:t>
            </w:r>
          </w:p>
        </w:tc>
        <w:tc>
          <w:tcPr>
            <w:tcW w:type="dxa" w:w="3269"/>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4"/>
        <w:gridCol w:w="1011"/>
        <w:gridCol w:w="1434"/>
        <w:gridCol w:w="2265"/>
        <w:gridCol w:w="2224"/>
      </w:tblGrid>
      <w:tr>
        <w:trPr>
          <w:cantSplit/>
          <w:tblHeader/>
        </w:trPr>
        <w:tc>
          <w:tcPr>
            <w:tcW w:type="dxa" w:w="2704"/>
            <w:shd w:val="clear" w:color="auto" w:fill="E6ECF4"/>
          </w:tcPr>
          <w:p>
            <w:pPr>
              <w:spacing w:before="0" w:after="0"/>
            </w:pPr>
            <w:r>
              <w:rPr>
                <w:b/>
                <w:sz w:val="19"/>
              </w:rPr>
              <w:t>Component</w:t>
            </w:r>
          </w:p>
        </w:tc>
        <w:tc>
          <w:tcPr>
            <w:tcW w:type="dxa" w:w="1011"/>
            <w:shd w:val="clear" w:color="auto" w:fill="E6ECF4"/>
          </w:tcPr>
          <w:p>
            <w:pPr>
              <w:spacing w:before="0" w:after="0"/>
            </w:pPr>
            <w:r>
              <w:rPr>
                <w:b/>
                <w:sz w:val="19"/>
              </w:rPr>
              <w:t>UE</w:t>
            </w:r>
          </w:p>
        </w:tc>
        <w:tc>
          <w:tcPr>
            <w:tcW w:type="dxa" w:w="1434"/>
            <w:shd w:val="clear" w:color="auto" w:fill="E6ECF4"/>
          </w:tcPr>
          <w:p>
            <w:pPr>
              <w:spacing w:before="0" w:after="0"/>
            </w:pPr>
            <w:r>
              <w:rPr>
                <w:b/>
                <w:sz w:val="19"/>
              </w:rPr>
              <w:t>Duration</w:t>
            </w:r>
          </w:p>
        </w:tc>
        <w:tc>
          <w:tcPr>
            <w:tcW w:type="dxa" w:w="2265"/>
            <w:shd w:val="clear" w:color="auto" w:fill="E6ECF4"/>
          </w:tcPr>
          <w:p>
            <w:pPr>
              <w:spacing w:before="0" w:after="0"/>
            </w:pPr>
            <w:r>
              <w:rPr>
                <w:b/>
                <w:sz w:val="19"/>
              </w:rPr>
              <w:t>Participants work in</w:t>
            </w:r>
          </w:p>
        </w:tc>
        <w:tc>
          <w:tcPr>
            <w:tcW w:type="dxa" w:w="2224"/>
            <w:shd w:val="clear" w:color="auto" w:fill="E6ECF4"/>
          </w:tcPr>
          <w:p>
            <w:pPr>
              <w:spacing w:before="0" w:after="0"/>
            </w:pPr>
            <w:r>
              <w:rPr>
                <w:b/>
                <w:sz w:val="19"/>
              </w:rPr>
              <w:t>Model solution in</w:t>
            </w:r>
          </w:p>
        </w:tc>
      </w:tr>
      <w:tr>
        <w:trPr>
          <w:cantSplit/>
        </w:trPr>
        <w:tc>
          <w:tcPr>
            <w:tcW w:type="dxa" w:w="2704"/>
          </w:tcPr>
          <w:p>
            <w:pPr>
              <w:spacing w:before="0" w:after="0"/>
            </w:pPr>
            <w:r>
              <w:rPr>
                <w:b/>
                <w:sz w:val="19"/>
              </w:rPr>
              <w:t>Level 2 case study</w:t>
            </w:r>
            <w:r>
              <w:rPr>
                <w:sz w:val="19"/>
              </w:rPr>
              <w:t xml:space="preserve"> (LifeSupport)</w:t>
            </w:r>
          </w:p>
        </w:tc>
        <w:tc>
          <w:tcPr>
            <w:tcW w:type="dxa" w:w="1011"/>
          </w:tcPr>
          <w:p>
            <w:pPr>
              <w:spacing w:before="0" w:after="0"/>
            </w:pPr>
            <w:r>
              <w:rPr>
                <w:sz w:val="19"/>
              </w:rPr>
              <w:t>UE5–6</w:t>
            </w:r>
          </w:p>
        </w:tc>
        <w:tc>
          <w:tcPr>
            <w:tcW w:type="dxa" w:w="1434"/>
          </w:tcPr>
          <w:p>
            <w:pPr>
              <w:spacing w:before="0" w:after="0"/>
            </w:pPr>
            <w:r>
              <w:rPr>
                <w:b/>
                <w:sz w:val="19"/>
              </w:rPr>
              <w:t>2 UE</w:t>
            </w:r>
            <w:r>
              <w:rPr>
                <w:sz w:val="19"/>
              </w:rPr>
              <w:t xml:space="preserve"> · 90 min</w:t>
            </w:r>
          </w:p>
        </w:tc>
        <w:tc>
          <w:tcPr>
            <w:tcW w:type="dxa" w:w="2265"/>
          </w:tcPr>
          <w:p>
            <w:pPr>
              <w:spacing w:before="0" w:after="0"/>
            </w:pPr>
            <w:r>
              <w:rPr>
                <w:sz w:val="19"/>
              </w:rPr>
              <w:t>Task 1 · Part 2 (Block 2.1)</w:t>
            </w:r>
          </w:p>
        </w:tc>
        <w:tc>
          <w:tcPr>
            <w:tcW w:type="dxa" w:w="2224"/>
          </w:tcPr>
          <w:p>
            <w:pPr>
              <w:spacing w:before="0" w:after="0"/>
            </w:pPr>
            <w:r>
              <w:rPr>
                <w:sz w:val="19"/>
              </w:rPr>
              <w:t>Trainer document, section Case study</w:t>
            </w:r>
          </w:p>
        </w:tc>
      </w:tr>
      <w:tr>
        <w:trPr>
          <w:cantSplit/>
        </w:trPr>
        <w:tc>
          <w:tcPr>
            <w:tcW w:type="dxa" w:w="2704"/>
          </w:tcPr>
          <w:p>
            <w:pPr>
              <w:spacing w:before="0" w:after="0"/>
            </w:pPr>
            <w:r>
              <w:rPr>
                <w:b/>
                <w:sz w:val="19"/>
              </w:rPr>
              <w:t>Level 3 transfer project</w:t>
            </w:r>
            <w:r>
              <w:rPr>
                <w:sz w:val="19"/>
              </w:rPr>
              <w:t xml:space="preserve"> (Chief Experience Officer)</w:t>
            </w:r>
          </w:p>
        </w:tc>
        <w:tc>
          <w:tcPr>
            <w:tcW w:type="dxa" w:w="1011"/>
          </w:tcPr>
          <w:p>
            <w:pPr>
              <w:spacing w:before="0" w:after="0"/>
            </w:pPr>
            <w:r>
              <w:rPr>
                <w:sz w:val="19"/>
              </w:rPr>
              <w:t>UE8–10</w:t>
            </w:r>
          </w:p>
        </w:tc>
        <w:tc>
          <w:tcPr>
            <w:tcW w:type="dxa" w:w="1434"/>
          </w:tcPr>
          <w:p>
            <w:pPr>
              <w:spacing w:before="0" w:after="0"/>
            </w:pPr>
            <w:r>
              <w:rPr>
                <w:b/>
                <w:sz w:val="19"/>
              </w:rPr>
              <w:t>3 UE</w:t>
            </w:r>
            <w:r>
              <w:rPr>
                <w:sz w:val="19"/>
              </w:rPr>
              <w:t xml:space="preserve"> · 135 min</w:t>
            </w:r>
          </w:p>
        </w:tc>
        <w:tc>
          <w:tcPr>
            <w:tcW w:type="dxa" w:w="2265"/>
          </w:tcPr>
          <w:p>
            <w:pPr>
              <w:spacing w:before="0" w:after="0"/>
            </w:pPr>
            <w:r>
              <w:rPr>
                <w:sz w:val="19"/>
              </w:rPr>
              <w:t>Materi B and Task 2 (Block 3.1)</w:t>
            </w:r>
          </w:p>
        </w:tc>
        <w:tc>
          <w:tcPr>
            <w:tcW w:type="dxa" w:w="2224"/>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90"/>
              <w:gridCol w:w="5201"/>
              <w:gridCol w:w="2987"/>
            </w:tblGrid>
            <w:tr>
              <w:trPr>
                <w:cantSplit/>
                <w:tblHeader/>
              </w:trPr>
              <w:tc>
                <w:tcPr>
                  <w:tcW w:type="dxa" w:w="1090"/>
                  <w:shd w:val="clear" w:color="auto" w:fill="E6ECF4"/>
                </w:tcPr>
                <w:p>
                  <w:pPr>
                    <w:spacing w:before="0" w:after="0"/>
                  </w:pPr>
                  <w:r>
                    <w:rPr>
                      <w:b/>
                      <w:sz w:val="20"/>
                    </w:rPr>
                    <w:t>UE</w:t>
                  </w:r>
                </w:p>
              </w:tc>
              <w:tc>
                <w:tcPr>
                  <w:tcW w:type="dxa" w:w="5201"/>
                  <w:shd w:val="clear" w:color="auto" w:fill="E6ECF4"/>
                </w:tcPr>
                <w:p>
                  <w:pPr>
                    <w:spacing w:before="0" w:after="0"/>
                  </w:pPr>
                  <w:r>
                    <w:rPr>
                      <w:b/>
                      <w:sz w:val="20"/>
                    </w:rPr>
                    <w:t>Plan item (Strukturplan, Day 7)</w:t>
                  </w:r>
                </w:p>
              </w:tc>
              <w:tc>
                <w:tcPr>
                  <w:tcW w:type="dxa" w:w="2987"/>
                  <w:shd w:val="clear" w:color="auto" w:fill="E6ECF4"/>
                </w:tcPr>
                <w:p>
                  <w:pPr>
                    <w:spacing w:before="0" w:after="0"/>
                  </w:pPr>
                  <w:r>
                    <w:rPr>
                      <w:b/>
                      <w:sz w:val="20"/>
                    </w:rPr>
                    <w:t>Block in this document</w:t>
                  </w:r>
                </w:p>
              </w:tc>
            </w:tr>
            <w:tr>
              <w:trPr>
                <w:cantSplit/>
              </w:trPr>
              <w:tc>
                <w:tcPr>
                  <w:tcW w:type="dxa" w:w="1090"/>
                </w:tcPr>
                <w:p>
                  <w:pPr>
                    <w:spacing w:before="0" w:after="0"/>
                  </w:pPr>
                  <w:r>
                    <w:rPr>
                      <w:sz w:val="20"/>
                    </w:rPr>
                    <w:t>UE2</w:t>
                  </w:r>
                </w:p>
              </w:tc>
              <w:tc>
                <w:tcPr>
                  <w:tcW w:type="dxa" w:w="5201"/>
                </w:tcPr>
                <w:p>
                  <w:pPr>
                    <w:spacing w:before="0" w:after="0"/>
                  </w:pPr>
                  <w:r>
                    <w:rPr>
                      <w:sz w:val="20"/>
                    </w:rPr>
                    <w:t>Level 1, task 1 · Analyse the emotional effect of a digital offer from the user's side: WellTrack</w:t>
                  </w:r>
                </w:p>
              </w:tc>
              <w:tc>
                <w:tcPr>
                  <w:tcW w:type="dxa" w:w="2987"/>
                </w:tcPr>
                <w:p>
                  <w:pPr>
                    <w:spacing w:before="0" w:after="0"/>
                  </w:pPr>
                  <w:r>
                    <w:rPr>
                      <w:sz w:val="20"/>
                    </w:rPr>
                    <w:t>Block 1.1 (Core)</w:t>
                  </w:r>
                </w:p>
              </w:tc>
            </w:tr>
            <w:tr>
              <w:trPr>
                <w:cantSplit/>
              </w:trPr>
              <w:tc>
                <w:tcPr>
                  <w:tcW w:type="dxa" w:w="1090"/>
                </w:tcPr>
                <w:p>
                  <w:pPr>
                    <w:spacing w:before="0" w:after="0"/>
                  </w:pPr>
                  <w:r>
                    <w:rPr>
                      <w:sz w:val="20"/>
                    </w:rPr>
                    <w:t>UE3</w:t>
                  </w:r>
                </w:p>
              </w:tc>
              <w:tc>
                <w:tcPr>
                  <w:tcW w:type="dxa" w:w="5201"/>
                </w:tcPr>
                <w:p>
                  <w:pPr>
                    <w:spacing w:before="0" w:after="0"/>
                  </w:pPr>
                  <w:r>
                    <w:rPr>
                      <w:sz w:val="20"/>
                    </w:rPr>
                    <w:t>Level 1, task 2 · Rate emotional UX under conflicting goals: CareerPath</w:t>
                  </w:r>
                </w:p>
              </w:tc>
              <w:tc>
                <w:tcPr>
                  <w:tcW w:type="dxa" w:w="2987"/>
                </w:tcPr>
                <w:p>
                  <w:pPr>
                    <w:spacing w:before="0" w:after="0"/>
                  </w:pPr>
                  <w:r>
                    <w:rPr>
                      <w:sz w:val="20"/>
                    </w:rPr>
                    <w:t>Block 1.2 (Core)</w:t>
                  </w:r>
                </w:p>
              </w:tc>
            </w:tr>
            <w:tr>
              <w:trPr>
                <w:cantSplit/>
              </w:trPr>
              <w:tc>
                <w:tcPr>
                  <w:tcW w:type="dxa" w:w="1090"/>
                </w:tcPr>
                <w:p>
                  <w:pPr>
                    <w:spacing w:before="0" w:after="0"/>
                  </w:pPr>
                  <w:r>
                    <w:rPr>
                      <w:sz w:val="20"/>
                    </w:rPr>
                    <w:t>UE4</w:t>
                  </w:r>
                </w:p>
              </w:tc>
              <w:tc>
                <w:tcPr>
                  <w:tcW w:type="dxa" w:w="5201"/>
                </w:tcPr>
                <w:p>
                  <w:pPr>
                    <w:spacing w:before="0" w:after="0"/>
                  </w:pPr>
                  <w:r>
                    <w:rPr>
                      <w:sz w:val="20"/>
                    </w:rPr>
                    <w:t>Coaching: from describing to deciding</w:t>
                  </w:r>
                </w:p>
              </w:tc>
              <w:tc>
                <w:tcPr>
                  <w:tcW w:type="dxa" w:w="2987"/>
                </w:tcPr>
                <w:p>
                  <w:pPr>
                    <w:spacing w:before="0" w:after="0"/>
                  </w:pPr>
                  <w:r>
                    <w:rPr>
                      <w:sz w:val="20"/>
                    </w:rPr>
                    <w:t>A classroom talk led by the trainer; not a worksheet block</w:t>
                  </w:r>
                </w:p>
              </w:tc>
            </w:tr>
            <w:tr>
              <w:trPr>
                <w:cantSplit/>
              </w:trPr>
              <w:tc>
                <w:tcPr>
                  <w:tcW w:type="dxa" w:w="1090"/>
                </w:tcPr>
                <w:p>
                  <w:pPr>
                    <w:spacing w:before="0" w:after="0"/>
                  </w:pPr>
                  <w:r>
                    <w:rPr>
                      <w:sz w:val="20"/>
                    </w:rPr>
                    <w:t>UE5–6</w:t>
                  </w:r>
                </w:p>
              </w:tc>
              <w:tc>
                <w:tcPr>
                  <w:tcW w:type="dxa" w:w="5201"/>
                </w:tcPr>
                <w:p>
                  <w:pPr>
                    <w:spacing w:before="0" w:after="0"/>
                  </w:pPr>
                  <w:r>
                    <w:rPr>
                      <w:sz w:val="20"/>
                    </w:rPr>
                    <w:t>Level 2 case study · Case study: realigning the service portal LifeSupport</w:t>
                  </w:r>
                </w:p>
              </w:tc>
              <w:tc>
                <w:tcPr>
                  <w:tcW w:type="dxa" w:w="2987"/>
                </w:tcPr>
                <w:p>
                  <w:pPr>
                    <w:spacing w:before="0" w:after="0"/>
                  </w:pPr>
                  <w:r>
                    <w:rPr>
                      <w:sz w:val="20"/>
                    </w:rPr>
                    <w:t>Block 2.1 (Core)</w:t>
                  </w:r>
                </w:p>
              </w:tc>
            </w:tr>
            <w:tr>
              <w:trPr>
                <w:cantSplit/>
              </w:trPr>
              <w:tc>
                <w:tcPr>
                  <w:tcW w:type="dxa" w:w="1090"/>
                </w:tcPr>
                <w:p>
                  <w:pPr>
                    <w:spacing w:before="0" w:after="0"/>
                  </w:pPr>
                  <w:r>
                    <w:rPr>
                      <w:sz w:val="20"/>
                    </w:rPr>
                    <w:t>UE7</w:t>
                  </w:r>
                </w:p>
              </w:tc>
              <w:tc>
                <w:tcPr>
                  <w:tcW w:type="dxa" w:w="5201"/>
                </w:tcPr>
                <w:p>
                  <w:pPr>
                    <w:spacing w:before="0" w:after="0"/>
                  </w:pPr>
                  <w:r>
                    <w:rPr>
                      <w:sz w:val="20"/>
                    </w:rPr>
                    <w:t>Feedback round with a management perspective</w:t>
                  </w:r>
                </w:p>
              </w:tc>
              <w:tc>
                <w:tcPr>
                  <w:tcW w:type="dxa" w:w="2987"/>
                </w:tcPr>
                <w:p>
                  <w:pPr>
                    <w:spacing w:before="0" w:after="0"/>
                  </w:pPr>
                  <w:r>
                    <w:rPr>
                      <w:sz w:val="20"/>
                    </w:rPr>
                    <w:t>A classroom discussion led by the trainer; not a worksheet block</w:t>
                  </w:r>
                </w:p>
              </w:tc>
            </w:tr>
            <w:tr>
              <w:trPr>
                <w:cantSplit/>
              </w:trPr>
              <w:tc>
                <w:tcPr>
                  <w:tcW w:type="dxa" w:w="1090"/>
                </w:tcPr>
                <w:p>
                  <w:pPr>
                    <w:spacing w:before="0" w:after="0"/>
                  </w:pPr>
                  <w:r>
                    <w:rPr>
                      <w:sz w:val="20"/>
                    </w:rPr>
                    <w:t>UE8–10</w:t>
                  </w:r>
                </w:p>
              </w:tc>
              <w:tc>
                <w:tcPr>
                  <w:tcW w:type="dxa" w:w="5201"/>
                </w:tcPr>
                <w:p>
                  <w:pPr>
                    <w:spacing w:before="0" w:after="0"/>
                  </w:pPr>
                  <w:r>
                    <w:rPr>
                      <w:sz w:val="20"/>
                    </w:rPr>
                    <w:t>Level 3 transfer project · An emotionally effective UX strategy for a digital service</w:t>
                  </w:r>
                </w:p>
              </w:tc>
              <w:tc>
                <w:tcPr>
                  <w:tcW w:type="dxa" w:w="2987"/>
                </w:tcPr>
                <w:p>
                  <w:pPr>
                    <w:spacing w:before="0" w:after="0"/>
                  </w:pPr>
                  <w:r>
                    <w:rPr>
                      <w:sz w:val="20"/>
                    </w:rPr>
                    <w:t>Block 3.1 (Core), in Task 2</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name the emotional effect, then decide what to change</w:t>
      </w:r>
    </w:p>
    <w:p>
      <w:pPr>
        <w:pStyle w:val="Heading2"/>
      </w:pPr>
      <w:r>
        <w:rPr/>
        <w:t>The case: three platforms on the UX team's desk, and LifeSupport</w:t>
      </w:r>
    </w:p>
    <w:p>
      <w:pPr>
        <w:spacing w:before="0" w:after="100"/>
      </w:pPr>
      <w:r>
        <w:rPr>
          <w:i/>
        </w:rPr>
        <w:t>Read once · about 3 min</w:t>
      </w:r>
    </w:p>
    <w:p>
      <w:pPr>
        <w:spacing w:before="0" w:after="100"/>
      </w:pPr>
      <w:r>
        <w:rPr/>
        <w:t>You work in the UX team of a digital agency. This week three products land on your desk. Two are warm-ups: WellTrack, a health platform for prevention, appointments and personal recommendations, and CareerPath, a platform for career development and further training that has three designs for its interface. The main case is LifeSupport, the portal of a health-prevention provider for advice, appointments and documents. It does its job, but users call it impersonal, exhausting and not very supportive, and its use stays below expectations although it offers a lot.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958"/>
        <w:gridCol w:w="4680"/>
      </w:tblGrid>
      <w:tr>
        <w:trPr>
          <w:cantSplit/>
          <w:tblHeader/>
        </w:trPr>
        <w:tc>
          <w:tcPr>
            <w:tcW w:type="dxa" w:w="4958"/>
            <w:shd w:val="clear" w:color="auto" w:fill="E6ECF4"/>
          </w:tcPr>
          <w:p>
            <w:pPr>
              <w:spacing w:before="0" w:after="0"/>
            </w:pPr>
            <w:r>
              <w:rPr>
                <w:b/>
                <w:sz w:val="20"/>
              </w:rPr>
              <w:t>What the plan gives you</w:t>
            </w:r>
          </w:p>
        </w:tc>
        <w:tc>
          <w:tcPr>
            <w:tcW w:type="dxa" w:w="4680"/>
            <w:shd w:val="clear" w:color="auto" w:fill="E6ECF4"/>
          </w:tcPr>
          <w:p>
            <w:pPr>
              <w:spacing w:before="0" w:after="0"/>
            </w:pPr>
            <w:r>
              <w:rPr>
                <w:b/>
                <w:sz w:val="20"/>
              </w:rPr>
              <w:t>How the task runs · three blocks</w:t>
            </w:r>
          </w:p>
        </w:tc>
      </w:tr>
      <w:tr>
        <w:trPr>
          <w:cantSplit/>
        </w:trPr>
        <w:tc>
          <w:tcPr>
            <w:tcW w:type="dxa" w:w="4958"/>
          </w:tcPr>
          <w:p>
            <w:pPr>
              <w:spacing w:before="0" w:after="0"/>
            </w:pPr>
            <w:r>
              <w:rPr>
                <w:sz w:val="20"/>
              </w:rPr>
              <w:t>• Block 1.1: WellTrack, with a correct but cool start page, technical error messages, no positive feedback after successful actions, sober health information that does not build trust, no hints for orientation, safety or relevance, and a professional but unapproachable design</w:t>
            </w:r>
            <w:r>
              <w:br/>
            </w:r>
            <w:r>
              <w:rPr>
                <w:sz w:val="20"/>
              </w:rPr>
              <w:t>• Block 1.2: three designs for CareerPath; working people from 25 to 60, the wish to look professional and approachable, a limited budget, no tests, 9 weeks to release, the department wants seriousness and marketing more activation</w:t>
            </w:r>
            <w:r>
              <w:br/>
            </w:r>
            <w:r>
              <w:rPr>
                <w:sz w:val="20"/>
              </w:rPr>
              <w:t>• Block 2.1: LifeSupport, with €145,000 and 12 weeks, no complete relaunch, a brand that must stay serious and become more approachable, partial user data, and a department and marketing with different priorities</w:t>
            </w:r>
          </w:p>
        </w:tc>
        <w:tc>
          <w:tcPr>
            <w:tcW w:type="dxa" w:w="4680"/>
          </w:tcPr>
          <w:p>
            <w:pPr>
              <w:spacing w:before="0" w:after="0"/>
            </w:pPr>
            <w:r>
              <w:rPr>
                <w:sz w:val="20"/>
              </w:rPr>
              <w:t>• Block 1.1: analyse the emotional effect from the user's side. Describe it spontaneously, name five places where the bond is weakened or built, sort them into six categories, write three effect statements and pick the two biggest emotional weaknesses.</w:t>
            </w:r>
            <w:r>
              <w:br/>
            </w:r>
            <w:r>
              <w:rPr>
                <w:sz w:val="20"/>
              </w:rPr>
              <w:t>• Block 1.2: rate three designs under conflicting goals. Rate each on five criteria, choose one, name the conflicts between emotion and professional credibility and the remaining risks, and write a recommendation to the project lead.</w:t>
            </w:r>
            <w:r>
              <w:br/>
            </w:r>
            <w:r>
              <w:rPr>
                <w:sz w:val="20"/>
              </w:rPr>
              <w:t>• Block 2.1: the case study. The central emotional deficits, sorted into five categories, four measures, justified on four criteria, a decision for the first 12 weeks and a recommendation to the division management.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61"/>
        <w:gridCol w:w="2972"/>
        <w:gridCol w:w="2605"/>
      </w:tblGrid>
      <w:tr>
        <w:trPr>
          <w:cantSplit/>
          <w:tblHeader/>
        </w:trPr>
        <w:tc>
          <w:tcPr>
            <w:tcW w:type="dxa" w:w="4061"/>
            <w:shd w:val="clear" w:color="auto" w:fill="E6ECF4"/>
          </w:tcPr>
          <w:p>
            <w:pPr>
              <w:spacing w:before="0" w:after="0"/>
            </w:pPr>
            <w:r>
              <w:rPr>
                <w:b/>
                <w:sz w:val="20"/>
              </w:rPr>
              <w:t>In the brief</w:t>
            </w:r>
          </w:p>
        </w:tc>
        <w:tc>
          <w:tcPr>
            <w:tcW w:type="dxa" w:w="2972"/>
            <w:shd w:val="clear" w:color="auto" w:fill="E6ECF4"/>
          </w:tcPr>
          <w:p>
            <w:pPr>
              <w:spacing w:before="0" w:after="0"/>
            </w:pPr>
            <w:r>
              <w:rPr>
                <w:b/>
                <w:sz w:val="20"/>
              </w:rPr>
              <w:t>Clear · Case assumption</w:t>
            </w:r>
          </w:p>
        </w:tc>
        <w:tc>
          <w:tcPr>
            <w:tcW w:type="dxa" w:w="2605"/>
            <w:shd w:val="clear" w:color="auto" w:fill="E6ECF4"/>
          </w:tcPr>
          <w:p>
            <w:pPr>
              <w:spacing w:before="0" w:after="0"/>
            </w:pPr>
            <w:r>
              <w:rPr>
                <w:b/>
                <w:sz w:val="20"/>
              </w:rPr>
              <w:t>Open · on purpose</w:t>
            </w:r>
          </w:p>
        </w:tc>
      </w:tr>
      <w:tr>
        <w:trPr>
          <w:cantSplit/>
        </w:trPr>
        <w:tc>
          <w:tcPr>
            <w:tcW w:type="dxa" w:w="4061"/>
          </w:tcPr>
          <w:p>
            <w:pPr>
              <w:spacing w:before="0" w:after="0"/>
            </w:pPr>
            <w:r>
              <w:rPr>
                <w:sz w:val="20"/>
              </w:rPr>
              <w:t>• WellTrack: correct but cool, technical errors, no positive feedback, sober health information, no orientation or relevance, professional but unapproachable.</w:t>
            </w:r>
            <w:r>
              <w:br/>
            </w:r>
            <w:r>
              <w:rPr>
                <w:sz w:val="20"/>
              </w:rPr>
              <w:t>• CareerPath: three designs in words; working people from 25 to 60; no tests; 9 weeks; seriousness against activation.</w:t>
            </w:r>
            <w:r>
              <w:br/>
            </w:r>
            <w:r>
              <w:rPr>
                <w:sz w:val="20"/>
              </w:rPr>
              <w:t>• LifeSupport: distant visual language, technical feedback, critical moments that unsettle, no positive reinforcement, a correct but cold tone; €145,000 and 12 weeks; no relaunch.</w:t>
            </w:r>
          </w:p>
        </w:tc>
        <w:tc>
          <w:tcPr>
            <w:tcW w:type="dxa" w:w="2972"/>
          </w:tcPr>
          <w:p>
            <w:pPr>
              <w:spacing w:before="0" w:after="0"/>
            </w:pPr>
            <w:r>
              <w:rPr>
                <w:sz w:val="20"/>
              </w:rPr>
              <w:t>• You review WellTrack and CareerPath as an agency would: from their screens, with no access to their data.</w:t>
            </w:r>
            <w:r>
              <w:br/>
            </w:r>
            <w:r>
              <w:rPr>
                <w:sz w:val="20"/>
              </w:rPr>
              <w:t>• LifeSupport is used most around a check-up: booking it, getting the results, and the documents afterwards.</w:t>
            </w:r>
            <w:r>
              <w:br/>
            </w:r>
            <w:r>
              <w:rPr>
                <w:sz w:val="20"/>
              </w:rPr>
              <w:t>• LifeSupport's error messages show internal codes, such as “Error 4012: slot unavailable”.</w:t>
            </w:r>
            <w:r>
              <w:br/>
            </w:r>
            <w:r>
              <w:rPr>
                <w:sz w:val="20"/>
              </w:rPr>
              <w:t>• Support at LifeSupport often hears: “Did my booking work?” and “Is something wrong with my results?”</w:t>
            </w:r>
          </w:p>
        </w:tc>
        <w:tc>
          <w:tcPr>
            <w:tcW w:type="dxa" w:w="2605"/>
          </w:tcPr>
          <w:p>
            <w:pPr>
              <w:spacing w:before="0" w:after="0"/>
            </w:pPr>
            <w:r>
              <w:rPr>
                <w:sz w:val="20"/>
              </w:rPr>
              <w:t>• How users feel at each step: no data on emotional effect has been collected.</w:t>
            </w:r>
            <w:r>
              <w:br/>
            </w:r>
            <w:r>
              <w:rPr>
                <w:sz w:val="20"/>
              </w:rPr>
              <w:t>• Which CareerPath design the target group would prefer: there are no tests.</w:t>
            </w:r>
            <w:r>
              <w:br/>
            </w:r>
            <w:r>
              <w:rPr>
                <w:sz w:val="20"/>
              </w:rPr>
              <w:t>• Why use stays below expectations: the user data is only partial.</w:t>
            </w:r>
            <w:r>
              <w:br/>
            </w:r>
            <w:r>
              <w:rPr>
                <w:sz w:val="20"/>
              </w:rPr>
              <w:t>• How much of the €145,000 each measure would take: the plan does not say.</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WellTrack correct but cool, with technical errors, no positive feedback, sober health information, no orientation or relevance, and an unapproachable design; CareerPath's three designs for working people from 25 to 60, a professional yet approachable brand, a limited budget, no tests, 9 weeks, seriousness against activation; LifeSupport impersonal, exhausting and unsupportive, with a distant visual language, technical feedback, unsettling critical moments, no positive reinforcement, a cold tone, €145,000, 12 weeks and no relaunch. Those are the plan's facts and its only figures. Everything else is made up for this exercise: the agency, the pictures, the simulations and the facts marked “Clear”.</w:t>
            </w:r>
          </w:p>
        </w:tc>
      </w:tr>
    </w:tbl>
    <w:p>
      <w:pPr>
        <w:spacing w:before="0" w:after="80"/>
      </w:pPr>
    </w:p>
    <w:p>
      <w:pPr>
        <w:pStyle w:val="Heading1"/>
        <w:pBdr>
          <w:bottom w:val="single" w:sz="8" w:space="2" w:color="17212E"/>
        </w:pBdr>
      </w:pPr>
      <w:r>
        <w:rPr/>
        <w:t>Part 1 · Name the emotional effect and weigh designs · Level 1 · Knowledge</w:t>
      </w:r>
    </w:p>
    <w:p>
      <w:pPr>
        <w:pStyle w:val="Heading2"/>
      </w:pPr>
      <w:r>
        <w:rPr/>
        <w:t>Block 1.1 · Analyse the emotional effect of a digital offer from the user's side: WellTrack · JUDGED · Core · about 10 min</w:t>
      </w:r>
    </w:p>
    <w:p>
      <w:pPr>
        <w:spacing w:before="0" w:after="100"/>
      </w:pPr>
      <w:r>
        <w:rPr>
          <w:b/>
        </w:rPr>
        <w:t>Draws on:</w:t>
      </w:r>
      <w:r>
        <w:rPr/>
        <w:t xml:space="preserve"> A1 · Emotions steer behaviour · A2 · Usable is not enough · A3 · Where feelings come from · A4 · Activation, overload and manipulation.</w:t>
      </w:r>
    </w:p>
    <w:p>
      <w:pPr>
        <w:spacing w:before="0" w:after="100"/>
      </w:pPr>
      <w:r>
        <w:rPr/>
        <w:t>You receive the description of a fictional health platform, WellTrack, for prevention, appointment management and personal recommendations. Open it and use it as someone who has just signed up: book a check-up and read your recommendations. You need no prior knowledge: notice how it makes you feel, not only whether it works. The aim is to recognise emotional effect step by step and to tell it apart from a purely functional judgement.</w:t>
      </w:r>
    </w:p>
    <w:p>
      <w:pPr>
        <w:keepNext/>
        <w:spacing w:before="80" w:after="40"/>
        <w:jc w:val="center"/>
      </w:pPr>
      <w:r>
        <w:drawing>
          <wp:inline xmlns:a="http://schemas.openxmlformats.org/drawingml/2006/main" xmlns:pic="http://schemas.openxmlformats.org/drawingml/2006/picture">
            <wp:extent cx="5940000" cy="5159762"/>
            <wp:docPr id="1" name="Picture 1"/>
            <wp:cNvGraphicFramePr>
              <a:graphicFrameLocks noChangeAspect="1"/>
            </wp:cNvGraphicFramePr>
            <a:graphic>
              <a:graphicData uri="http://schemas.openxmlformats.org/drawingml/2006/picture">
                <pic:pic>
                  <pic:nvPicPr>
                    <pic:cNvPr id="0" name="d7_b1-1_0-ce0f7a71c515.png"/>
                    <pic:cNvPicPr/>
                  </pic:nvPicPr>
                  <pic:blipFill>
                    <a:blip r:embed="rId10"/>
                    <a:stretch>
                      <a:fillRect/>
                    </a:stretch>
                  </pic:blipFill>
                  <pic:spPr>
                    <a:xfrm>
                      <a:off x="0" y="0"/>
                      <a:ext cx="5940000" cy="5159762"/>
                    </a:xfrm>
                    <a:prstGeom prst="rect"/>
                  </pic:spPr>
                </pic:pic>
              </a:graphicData>
            </a:graphic>
          </wp:inline>
        </w:drawing>
      </w:r>
    </w:p>
    <w:p>
      <w:pPr>
        <w:spacing w:before="0" w:after="160"/>
        <w:jc w:val="center"/>
      </w:pPr>
      <w:r>
        <w:rPr>
          <w:i/>
          <w:color w:val="556274"/>
          <w:sz w:val="18"/>
        </w:rPr>
        <w:t>Figure 1 · WellTrack, as the platform shows it.</w:t>
      </w:r>
    </w:p>
    <w:p>
      <w:pPr>
        <w:spacing w:before="0" w:after="100"/>
      </w:pPr>
      <w:r>
        <w:rPr>
          <w:b/>
        </w:rPr>
        <w:t>Question 1 of 5 · Describe spontaneously which emotional effect the offer could have on a first-time user</w:t>
      </w:r>
    </w:p>
    <w:p>
      <w:pPr>
        <w:spacing w:before="0" w:after="100"/>
      </w:pPr>
      <w:r>
        <w:rPr/>
        <w:t>Two to four sentences: how it feels, where the feeling comes from, and what a first-time user might do.</w:t>
      </w:r>
    </w:p>
    <w:p>
      <w:pPr>
        <w:spacing w:before="0" w:after="100"/>
      </w:pPr>
      <w:r>
        <w:rPr>
          <w:i/>
        </w:rPr>
        <w:t>How to build the answer:</w:t>
      </w:r>
    </w:p>
    <w:p>
      <w:pPr>
        <w:pStyle w:val="ListBullet"/>
        <w:spacing w:before="0" w:after="40"/>
      </w:pPr>
      <w:r>
        <w:rPr/>
        <w:t>Open WellTrack, book a check-up and read your recommendations.</w:t>
      </w:r>
    </w:p>
    <w:p>
      <w:pPr>
        <w:pStyle w:val="ListBullet"/>
        <w:spacing w:before="0" w:after="40"/>
      </w:pPr>
      <w:r>
        <w:rPr/>
        <w:t>Write how it makes you feel: welcome or distant, safe or unsure, encouraged or left alone.</w:t>
      </w:r>
    </w:p>
    <w:p>
      <w:pPr>
        <w:pStyle w:val="ListBullet"/>
        <w:spacing w:before="0" w:after="100"/>
      </w:pPr>
      <w:r>
        <w:rPr/>
        <w:t>Add where the feeling comes from and what you might do next.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2 of 5 · Name at least 5 places where the emotional bond is weakened or built</w:t>
      </w:r>
    </w:p>
    <w:p>
      <w:pPr>
        <w:spacing w:before="0" w:after="100"/>
      </w:pPr>
      <w:r>
        <w:rPr>
          <w:i/>
        </w:rPr>
        <w:t>How to build the answer:</w:t>
      </w:r>
    </w:p>
    <w:p>
      <w:pPr>
        <w:pStyle w:val="ListBullet"/>
        <w:spacing w:before="0" w:after="40"/>
      </w:pPr>
      <w:r>
        <w:rPr/>
        <w:t>Go through your visit: the start page, a failed and a successful action, the health information.</w:t>
      </w:r>
    </w:p>
    <w:p>
      <w:pPr>
        <w:pStyle w:val="ListBullet"/>
        <w:spacing w:before="0" w:after="100"/>
      </w:pPr>
      <w:r>
        <w:rPr/>
        <w:t>For each place, say whether it weakens or builds the bond, and why.</w:t>
      </w:r>
    </w:p>
    <w:p>
      <w:pPr>
        <w:spacing w:before="0" w:after="100"/>
      </w:pPr>
      <w:r>
        <w:rPr/>
        <w:t>Write them as a list, one place per line, and say whether it weakens or builds the bond and why.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3 of 5 · Assign the observations to the categories trust, safety, motivation, frustration, closeness and experience quality</w:t>
      </w:r>
    </w:p>
    <w:p>
      <w:pPr>
        <w:spacing w:before="0" w:after="100"/>
      </w:pPr>
      <w:r>
        <w:rPr/>
        <w:t>Write the observations that belong to each category in a few words. One may fit two categories; put it where its effect is strongest.</w:t>
      </w:r>
    </w:p>
    <w:p>
      <w:pPr>
        <w:spacing w:before="0" w:after="100"/>
      </w:pPr>
      <w:r>
        <w:rPr>
          <w:i/>
        </w:rPr>
        <w:t>How to build the answer:</w:t>
      </w:r>
    </w:p>
    <w:p>
      <w:pPr>
        <w:pStyle w:val="ListBullet"/>
        <w:spacing w:before="0" w:after="40"/>
      </w:pPr>
      <w:r>
        <w:rPr/>
        <w:t>Take your places from question 2.</w:t>
      </w:r>
    </w:p>
    <w:p>
      <w:pPr>
        <w:pStyle w:val="ListBullet"/>
        <w:spacing w:before="0" w:after="40"/>
      </w:pPr>
      <w:r>
        <w:rPr/>
        <w:t>Ask which feeling each one touches most, and write it there.</w:t>
      </w:r>
    </w:p>
    <w:p>
      <w:pPr>
        <w:pStyle w:val="ListBullet"/>
        <w:spacing w:before="0" w:after="100"/>
      </w:pPr>
      <w:r>
        <w:rPr/>
        <w:t>Each of the six is touched by WellTrack.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81"/>
        <w:gridCol w:w="5457"/>
      </w:tblGrid>
      <w:tr>
        <w:trPr>
          <w:cantSplit/>
          <w:tblHeader/>
        </w:trPr>
        <w:tc>
          <w:tcPr>
            <w:tcW w:type="dxa" w:w="4181"/>
            <w:shd w:val="clear" w:color="auto" w:fill="E6ECF4"/>
          </w:tcPr>
          <w:p>
            <w:pPr>
              <w:spacing w:before="0" w:after="0"/>
            </w:pPr>
            <w:r>
              <w:rPr>
                <w:b/>
                <w:sz w:val="20"/>
              </w:rPr>
              <w:t>Category</w:t>
            </w:r>
          </w:p>
        </w:tc>
        <w:tc>
          <w:tcPr>
            <w:tcW w:type="dxa" w:w="5457"/>
            <w:shd w:val="clear" w:color="auto" w:fill="E6ECF4"/>
          </w:tcPr>
          <w:p>
            <w:pPr>
              <w:spacing w:before="0" w:after="0"/>
            </w:pPr>
            <w:r>
              <w:rPr>
                <w:b/>
                <w:sz w:val="20"/>
              </w:rPr>
              <w:t>The observations in this category</w:t>
            </w:r>
          </w:p>
        </w:tc>
      </w:tr>
      <w:tr>
        <w:trPr>
          <w:cantSplit/>
          <w:trHeight w:val="538" w:hRule="atLeast"/>
        </w:trPr>
        <w:tc>
          <w:tcPr>
            <w:tcW w:type="dxa" w:w="4181"/>
          </w:tcPr>
          <w:p>
            <w:pPr>
              <w:spacing w:before="0" w:after="0"/>
            </w:pPr>
            <w:r>
              <w:rPr>
                <w:sz w:val="20"/>
              </w:rPr>
              <w:t>Trust</w:t>
            </w:r>
          </w:p>
        </w:tc>
        <w:tc>
          <w:tcPr>
            <w:tcW w:type="dxa" w:w="5457"/>
          </w:tcPr>
          <w:p/>
        </w:tc>
      </w:tr>
      <w:tr>
        <w:trPr>
          <w:cantSplit/>
          <w:trHeight w:val="538" w:hRule="atLeast"/>
        </w:trPr>
        <w:tc>
          <w:tcPr>
            <w:tcW w:type="dxa" w:w="4181"/>
          </w:tcPr>
          <w:p>
            <w:pPr>
              <w:spacing w:before="0" w:after="0"/>
            </w:pPr>
            <w:r>
              <w:rPr>
                <w:sz w:val="20"/>
              </w:rPr>
              <w:t>Safety</w:t>
            </w:r>
          </w:p>
        </w:tc>
        <w:tc>
          <w:tcPr>
            <w:tcW w:type="dxa" w:w="5457"/>
          </w:tcPr>
          <w:p/>
        </w:tc>
      </w:tr>
      <w:tr>
        <w:trPr>
          <w:cantSplit/>
          <w:trHeight w:val="538" w:hRule="atLeast"/>
        </w:trPr>
        <w:tc>
          <w:tcPr>
            <w:tcW w:type="dxa" w:w="4181"/>
          </w:tcPr>
          <w:p>
            <w:pPr>
              <w:spacing w:before="0" w:after="0"/>
            </w:pPr>
            <w:r>
              <w:rPr>
                <w:sz w:val="20"/>
              </w:rPr>
              <w:t>Motivation</w:t>
            </w:r>
          </w:p>
        </w:tc>
        <w:tc>
          <w:tcPr>
            <w:tcW w:type="dxa" w:w="5457"/>
          </w:tcPr>
          <w:p/>
        </w:tc>
      </w:tr>
      <w:tr>
        <w:trPr>
          <w:cantSplit/>
          <w:trHeight w:val="538" w:hRule="atLeast"/>
        </w:trPr>
        <w:tc>
          <w:tcPr>
            <w:tcW w:type="dxa" w:w="4181"/>
          </w:tcPr>
          <w:p>
            <w:pPr>
              <w:spacing w:before="0" w:after="0"/>
            </w:pPr>
            <w:r>
              <w:rPr>
                <w:sz w:val="20"/>
              </w:rPr>
              <w:t>Frustration</w:t>
            </w:r>
          </w:p>
        </w:tc>
        <w:tc>
          <w:tcPr>
            <w:tcW w:type="dxa" w:w="5457"/>
          </w:tcPr>
          <w:p/>
        </w:tc>
      </w:tr>
      <w:tr>
        <w:trPr>
          <w:cantSplit/>
          <w:trHeight w:val="538" w:hRule="atLeast"/>
        </w:trPr>
        <w:tc>
          <w:tcPr>
            <w:tcW w:type="dxa" w:w="4181"/>
          </w:tcPr>
          <w:p>
            <w:pPr>
              <w:spacing w:before="0" w:after="0"/>
            </w:pPr>
            <w:r>
              <w:rPr>
                <w:sz w:val="20"/>
              </w:rPr>
              <w:t>Closeness</w:t>
            </w:r>
          </w:p>
        </w:tc>
        <w:tc>
          <w:tcPr>
            <w:tcW w:type="dxa" w:w="5457"/>
          </w:tcPr>
          <w:p/>
        </w:tc>
      </w:tr>
      <w:tr>
        <w:trPr>
          <w:cantSplit/>
          <w:trHeight w:val="538" w:hRule="atLeast"/>
        </w:trPr>
        <w:tc>
          <w:tcPr>
            <w:tcW w:type="dxa" w:w="4181"/>
          </w:tcPr>
          <w:p>
            <w:pPr>
              <w:spacing w:before="0" w:after="0"/>
            </w:pPr>
            <w:r>
              <w:rPr>
                <w:sz w:val="20"/>
              </w:rPr>
              <w:t>Experience quality</w:t>
            </w:r>
          </w:p>
        </w:tc>
        <w:tc>
          <w:tcPr>
            <w:tcW w:type="dxa" w:w="5457"/>
          </w:tcPr>
          <w:p/>
        </w:tc>
      </w:tr>
    </w:tbl>
    <w:p>
      <w:pPr>
        <w:spacing w:before="0" w:after="80"/>
      </w:pPr>
    </w:p>
    <w:p>
      <w:pPr>
        <w:spacing w:before="0" w:after="100"/>
      </w:pPr>
      <w:r>
        <w:rPr>
          <w:b/>
        </w:rPr>
        <w:t>Question 4 of 5 · Write an effect statement for three points: “For users this could mean that …”</w:t>
      </w:r>
    </w:p>
    <w:p>
      <w:pPr>
        <w:spacing w:before="0" w:after="100"/>
      </w:pPr>
      <w:r>
        <w:rPr>
          <w:i/>
        </w:rPr>
        <w:t>How to build the answer:</w:t>
      </w:r>
    </w:p>
    <w:p>
      <w:pPr>
        <w:pStyle w:val="ListBullet"/>
        <w:spacing w:before="0" w:after="40"/>
      </w:pPr>
      <w:r>
        <w:rPr/>
        <w:t>Pick three places from question 2.</w:t>
      </w:r>
    </w:p>
    <w:p>
      <w:pPr>
        <w:pStyle w:val="ListBullet"/>
        <w:spacing w:before="0" w:after="100"/>
      </w:pPr>
      <w:r>
        <w:rPr/>
        <w:t>Finish the plan's sentence with what the user would feel, do or fail to do.</w:t>
      </w:r>
    </w:p>
    <w:p>
      <w:pPr>
        <w:spacing w:before="0" w:after="100"/>
      </w:pPr>
      <w:r>
        <w:rPr/>
        <w:t>Write them as a list, one statement per line, each starting with the observation and ending with what it could mean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5 · Prioritise the two biggest emotional weaknesses of the offer</w:t>
      </w:r>
    </w:p>
    <w:p>
      <w:pPr>
        <w:spacing w:before="0" w:after="100"/>
      </w:pPr>
      <w:r>
        <w:rPr>
          <w:i/>
        </w:rPr>
        <w:t>How to build the answer:</w:t>
      </w:r>
    </w:p>
    <w:p>
      <w:pPr>
        <w:pStyle w:val="ListBullet"/>
        <w:spacing w:before="0" w:after="40"/>
      </w:pPr>
      <w:r>
        <w:rPr/>
        <w:t>Look at your places with one question: which feeling would make a first-time user leave or not come back?</w:t>
      </w:r>
    </w:p>
    <w:p>
      <w:pPr>
        <w:pStyle w:val="ListBullet"/>
        <w:spacing w:before="0" w:after="100"/>
      </w:pPr>
      <w:r>
        <w:rPr/>
        <w:t>Pick the two that weigh most and say why.</w:t>
      </w:r>
    </w:p>
    <w:p>
      <w:pPr>
        <w:spacing w:before="0" w:after="100"/>
      </w:pPr>
      <w:r>
        <w:rPr/>
        <w:t>Write them as a list, the bigger weakness first, each with why it weighs most.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2"/>
      </w:pPr>
      <w:r>
        <w:rPr/>
        <w:t>Block 1.2 · Rate emotional UX under conflicting goals: CareerPath · JUDGED · Core · about 8 min</w:t>
      </w:r>
    </w:p>
    <w:p>
      <w:pPr>
        <w:spacing w:before="0" w:after="100"/>
      </w:pPr>
      <w:r>
        <w:rPr>
          <w:b/>
        </w:rPr>
        <w:t>Draws on:</w:t>
      </w:r>
      <w:r>
        <w:rPr/>
        <w:t xml:space="preserve"> A2 · Usable is not enough · A4 · Activation, overload and manipulation · A5 · Trust and perceived competence, and weighing a measure.</w:t>
      </w:r>
    </w:p>
    <w:p>
      <w:pPr>
        <w:spacing w:before="0" w:after="100"/>
      </w:pPr>
      <w:r>
        <w:rPr/>
        <w:t>CareerPath is a platform for career development and further training. Three designs for its interface are described in words: A) modern, warm and motivating, but with many emotional stimuli and activating messages; B) factual, clear and trustworthy, but not very inspiring or connecting; C) high quality and personal in feel, but in some situations a little unclear in its interaction feedback. The conditions: the target group is working people between 25 and 60, the company wants to look professional and approachable, the budget for a deep revision is limited, there are no user tests yet, the release is in 9 weeks, and the department demands seriousness while marketing demands stronger activation. Decide anyway, and say what you assume.</w:t>
      </w:r>
    </w:p>
    <w:p>
      <w:pPr>
        <w:keepNext/>
        <w:spacing w:before="80" w:after="40"/>
        <w:jc w:val="center"/>
      </w:pPr>
      <w:r>
        <w:drawing>
          <wp:inline xmlns:a="http://schemas.openxmlformats.org/drawingml/2006/main" xmlns:pic="http://schemas.openxmlformats.org/drawingml/2006/picture">
            <wp:extent cx="5940000" cy="2807287"/>
            <wp:docPr id="2" name="Picture 2"/>
            <wp:cNvGraphicFramePr>
              <a:graphicFrameLocks noChangeAspect="1"/>
            </wp:cNvGraphicFramePr>
            <a:graphic>
              <a:graphicData uri="http://schemas.openxmlformats.org/drawingml/2006/picture">
                <pic:pic>
                  <pic:nvPicPr>
                    <pic:cNvPr id="0" name="d7_b1-2_0-c12f60625cf8.png"/>
                    <pic:cNvPicPr/>
                  </pic:nvPicPr>
                  <pic:blipFill>
                    <a:blip r:embed="rId11"/>
                    <a:stretch>
                      <a:fillRect/>
                    </a:stretch>
                  </pic:blipFill>
                  <pic:spPr>
                    <a:xfrm>
                      <a:off x="0" y="0"/>
                      <a:ext cx="5940000" cy="2807287"/>
                    </a:xfrm>
                    <a:prstGeom prst="rect"/>
                  </pic:spPr>
                </pic:pic>
              </a:graphicData>
            </a:graphic>
          </wp:inline>
        </w:drawing>
      </w:r>
    </w:p>
    <w:p>
      <w:pPr>
        <w:spacing w:before="0" w:after="160"/>
        <w:jc w:val="center"/>
      </w:pPr>
      <w:r>
        <w:rPr>
          <w:i/>
          <w:color w:val="556274"/>
          <w:sz w:val="18"/>
        </w:rPr>
        <w:t>Figure 2 · The product to read, as the lab shows it (careerdesigns).</w:t>
      </w:r>
    </w:p>
    <w:p>
      <w:pPr>
        <w:spacing w:before="0" w:after="100"/>
      </w:pPr>
      <w:r>
        <w:rPr>
          <w:b/>
        </w:rPr>
        <w:t>Question 1 of 5 · Rate each variant on trust, motivation, safety, clarity and experience quality</w:t>
      </w:r>
    </w:p>
    <w:p>
      <w:pPr>
        <w:spacing w:before="0" w:after="100"/>
      </w:pPr>
      <w:r>
        <w:rPr/>
        <w:t>Write a few sentences for each variant that cover all five criteria. Many teams rate each criterion Low, Medium or High with a reason; you may do that or write it in your own words.</w:t>
      </w:r>
    </w:p>
    <w:p>
      <w:pPr>
        <w:spacing w:before="0" w:after="100"/>
      </w:pPr>
      <w:r>
        <w:rPr>
          <w:i/>
        </w:rPr>
        <w:t>How to build the answer:</w:t>
      </w:r>
    </w:p>
    <w:p>
      <w:pPr>
        <w:pStyle w:val="ListBullet"/>
        <w:spacing w:before="0" w:after="40"/>
      </w:pPr>
      <w:r>
        <w:rPr/>
        <w:t>Take one variant at a time and keep the target group in mind: working people from 25 to 60.</w:t>
      </w:r>
    </w:p>
    <w:p>
      <w:pPr>
        <w:pStyle w:val="ListBullet"/>
        <w:spacing w:before="0" w:after="40"/>
      </w:pPr>
      <w:r>
        <w:rPr/>
        <w:t>For each criterion, say how the variant does and why.</w:t>
      </w:r>
    </w:p>
    <w:p>
      <w:pPr>
        <w:pStyle w:val="ListBullet"/>
        <w:spacing w:before="0" w:after="100"/>
      </w:pPr>
      <w:r>
        <w:rPr/>
        <w:t>Use the same five criteria for every variant, so you can compare them.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78"/>
        <w:gridCol w:w="1571"/>
        <w:gridCol w:w="1571"/>
        <w:gridCol w:w="1571"/>
        <w:gridCol w:w="1571"/>
        <w:gridCol w:w="1576"/>
      </w:tblGrid>
      <w:tr>
        <w:trPr>
          <w:cantSplit/>
          <w:tblHeader/>
        </w:trPr>
        <w:tc>
          <w:tcPr>
            <w:tcW w:type="dxa" w:w="1778"/>
            <w:shd w:val="clear" w:color="auto" w:fill="E6ECF4"/>
          </w:tcPr>
          <w:p>
            <w:pPr>
              <w:spacing w:before="0" w:after="0"/>
            </w:pPr>
            <w:r>
              <w:rPr>
                <w:b/>
                <w:sz w:val="19"/>
              </w:rPr>
              <w:t>Variant</w:t>
            </w:r>
          </w:p>
        </w:tc>
        <w:tc>
          <w:tcPr>
            <w:tcW w:type="dxa" w:w="1571"/>
            <w:shd w:val="clear" w:color="auto" w:fill="E6ECF4"/>
          </w:tcPr>
          <w:p>
            <w:pPr>
              <w:spacing w:before="0" w:after="0"/>
            </w:pPr>
            <w:r>
              <w:rPr>
                <w:b/>
                <w:sz w:val="19"/>
              </w:rPr>
              <w:t>Trust</w:t>
            </w:r>
          </w:p>
        </w:tc>
        <w:tc>
          <w:tcPr>
            <w:tcW w:type="dxa" w:w="1571"/>
            <w:shd w:val="clear" w:color="auto" w:fill="E6ECF4"/>
          </w:tcPr>
          <w:p>
            <w:pPr>
              <w:spacing w:before="0" w:after="0"/>
            </w:pPr>
            <w:r>
              <w:rPr>
                <w:b/>
                <w:sz w:val="19"/>
              </w:rPr>
              <w:t>Motivation</w:t>
            </w:r>
          </w:p>
        </w:tc>
        <w:tc>
          <w:tcPr>
            <w:tcW w:type="dxa" w:w="1571"/>
            <w:shd w:val="clear" w:color="auto" w:fill="E6ECF4"/>
          </w:tcPr>
          <w:p>
            <w:pPr>
              <w:spacing w:before="0" w:after="0"/>
            </w:pPr>
            <w:r>
              <w:rPr>
                <w:b/>
                <w:sz w:val="19"/>
              </w:rPr>
              <w:t>Safety</w:t>
            </w:r>
          </w:p>
        </w:tc>
        <w:tc>
          <w:tcPr>
            <w:tcW w:type="dxa" w:w="1571"/>
            <w:shd w:val="clear" w:color="auto" w:fill="E6ECF4"/>
          </w:tcPr>
          <w:p>
            <w:pPr>
              <w:spacing w:before="0" w:after="0"/>
            </w:pPr>
            <w:r>
              <w:rPr>
                <w:b/>
                <w:sz w:val="19"/>
              </w:rPr>
              <w:t>Clarity</w:t>
            </w:r>
          </w:p>
        </w:tc>
        <w:tc>
          <w:tcPr>
            <w:tcW w:type="dxa" w:w="1576"/>
            <w:shd w:val="clear" w:color="auto" w:fill="E6ECF4"/>
          </w:tcPr>
          <w:p>
            <w:pPr>
              <w:spacing w:before="0" w:after="0"/>
            </w:pPr>
            <w:r>
              <w:rPr>
                <w:b/>
                <w:sz w:val="19"/>
              </w:rPr>
              <w:t>Experience quality</w:t>
            </w:r>
          </w:p>
        </w:tc>
      </w:tr>
      <w:tr>
        <w:trPr>
          <w:cantSplit/>
          <w:trHeight w:val="538" w:hRule="atLeast"/>
          <w:trHeight w:val="538" w:hRule="atLeast"/>
          <w:trHeight w:val="538" w:hRule="atLeast"/>
          <w:trHeight w:val="538" w:hRule="atLeast"/>
          <w:trHeight w:val="538" w:hRule="atLeast"/>
        </w:trPr>
        <w:tc>
          <w:tcPr>
            <w:tcW w:type="dxa" w:w="1778"/>
          </w:tcPr>
          <w:p>
            <w:pPr>
              <w:spacing w:before="0" w:after="0"/>
            </w:pPr>
            <w:r>
              <w:rPr>
                <w:sz w:val="19"/>
              </w:rPr>
              <w:t>Variant A · warm and motivating, many emotional stimuli</w:t>
            </w:r>
          </w:p>
        </w:tc>
        <w:tc>
          <w:tcPr>
            <w:tcW w:type="dxa" w:w="1571"/>
          </w:tcPr>
          <w:p/>
        </w:tc>
        <w:tc>
          <w:tcPr>
            <w:tcW w:type="dxa" w:w="1571"/>
          </w:tcPr>
          <w:p/>
        </w:tc>
        <w:tc>
          <w:tcPr>
            <w:tcW w:type="dxa" w:w="1571"/>
          </w:tcPr>
          <w:p/>
        </w:tc>
        <w:tc>
          <w:tcPr>
            <w:tcW w:type="dxa" w:w="1571"/>
          </w:tcPr>
          <w:p/>
        </w:tc>
        <w:tc>
          <w:tcPr>
            <w:tcW w:type="dxa" w:w="1576"/>
          </w:tcPr>
          <w:p/>
        </w:tc>
      </w:tr>
      <w:tr>
        <w:trPr>
          <w:cantSplit/>
          <w:trHeight w:val="538" w:hRule="atLeast"/>
          <w:trHeight w:val="538" w:hRule="atLeast"/>
          <w:trHeight w:val="538" w:hRule="atLeast"/>
          <w:trHeight w:val="538" w:hRule="atLeast"/>
          <w:trHeight w:val="538" w:hRule="atLeast"/>
        </w:trPr>
        <w:tc>
          <w:tcPr>
            <w:tcW w:type="dxa" w:w="1778"/>
          </w:tcPr>
          <w:p>
            <w:pPr>
              <w:spacing w:before="0" w:after="0"/>
            </w:pPr>
            <w:r>
              <w:rPr>
                <w:sz w:val="19"/>
              </w:rPr>
              <w:t>Variant B · factual and trustworthy, not inspiring</w:t>
            </w:r>
          </w:p>
        </w:tc>
        <w:tc>
          <w:tcPr>
            <w:tcW w:type="dxa" w:w="1571"/>
          </w:tcPr>
          <w:p/>
        </w:tc>
        <w:tc>
          <w:tcPr>
            <w:tcW w:type="dxa" w:w="1571"/>
          </w:tcPr>
          <w:p/>
        </w:tc>
        <w:tc>
          <w:tcPr>
            <w:tcW w:type="dxa" w:w="1571"/>
          </w:tcPr>
          <w:p/>
        </w:tc>
        <w:tc>
          <w:tcPr>
            <w:tcW w:type="dxa" w:w="1571"/>
          </w:tcPr>
          <w:p/>
        </w:tc>
        <w:tc>
          <w:tcPr>
            <w:tcW w:type="dxa" w:w="1576"/>
          </w:tcPr>
          <w:p/>
        </w:tc>
      </w:tr>
      <w:tr>
        <w:trPr>
          <w:cantSplit/>
          <w:trHeight w:val="538" w:hRule="atLeast"/>
          <w:trHeight w:val="538" w:hRule="atLeast"/>
          <w:trHeight w:val="538" w:hRule="atLeast"/>
          <w:trHeight w:val="538" w:hRule="atLeast"/>
          <w:trHeight w:val="538" w:hRule="atLeast"/>
        </w:trPr>
        <w:tc>
          <w:tcPr>
            <w:tcW w:type="dxa" w:w="1778"/>
          </w:tcPr>
          <w:p>
            <w:pPr>
              <w:spacing w:before="0" w:after="0"/>
            </w:pPr>
            <w:r>
              <w:rPr>
                <w:sz w:val="19"/>
              </w:rPr>
              <w:t>Variant C · personal and high quality, feedback sometimes unclear</w:t>
            </w:r>
          </w:p>
        </w:tc>
        <w:tc>
          <w:tcPr>
            <w:tcW w:type="dxa" w:w="1571"/>
          </w:tcPr>
          <w:p/>
        </w:tc>
        <w:tc>
          <w:tcPr>
            <w:tcW w:type="dxa" w:w="1571"/>
          </w:tcPr>
          <w:p/>
        </w:tc>
        <w:tc>
          <w:tcPr>
            <w:tcW w:type="dxa" w:w="1571"/>
          </w:tcPr>
          <w:p/>
        </w:tc>
        <w:tc>
          <w:tcPr>
            <w:tcW w:type="dxa" w:w="1571"/>
          </w:tcPr>
          <w:p/>
        </w:tc>
        <w:tc>
          <w:tcPr>
            <w:tcW w:type="dxa" w:w="1576"/>
          </w:tcPr>
          <w:p/>
        </w:tc>
      </w:tr>
    </w:tbl>
    <w:p>
      <w:pPr>
        <w:spacing w:before="0" w:after="80"/>
      </w:pPr>
    </w:p>
    <w:p>
      <w:pPr>
        <w:spacing w:before="0" w:after="100"/>
      </w:pPr>
      <w:r>
        <w:rPr>
          <w:b/>
        </w:rPr>
        <w:t>Question 2 of 5 · Decide which variant is the most viable under the given conditions</w:t>
      </w:r>
    </w:p>
    <w:p>
      <w:pPr>
        <w:spacing w:before="0" w:after="100"/>
      </w:pPr>
      <w:r>
        <w:rPr/>
        <w:t>Choose one variant, then give your reason below. There is no single right choice; the reason has to rest on the users and the conditions.</w:t>
      </w:r>
    </w:p>
    <w:p>
      <w:pPr>
        <w:spacing w:before="0" w:after="100"/>
      </w:pPr>
      <w:r>
        <w:rPr>
          <w:i/>
        </w:rPr>
        <w:t>How to build the answer:</w:t>
      </w:r>
    </w:p>
    <w:p>
      <w:pPr>
        <w:pStyle w:val="ListBullet"/>
        <w:spacing w:before="0" w:after="40"/>
      </w:pPr>
      <w:r>
        <w:rPr/>
        <w:t>Say which condition weighs most for you.</w:t>
      </w:r>
    </w:p>
    <w:p>
      <w:pPr>
        <w:pStyle w:val="ListBullet"/>
        <w:spacing w:before="0" w:after="100"/>
      </w:pPr>
      <w:r>
        <w:rPr/>
        <w:t>Say how your choice meets it better than the other two.</w:t>
      </w:r>
    </w:p>
    <w:p>
      <w:pPr>
        <w:keepNext/>
        <w:spacing w:before="0" w:after="20"/>
      </w:pPr>
      <w:r>
        <w:rPr>
          <w:i/>
          <w:color w:val="556274"/>
          <w:sz w:val="19"/>
        </w:rPr>
        <w:t xml:space="preserve">Tick one:  </w:t>
      </w:r>
    </w:p>
    <w:p>
      <w:pPr>
        <w:spacing w:before="0" w:after="20"/>
        <w:ind w:left="340" w:hanging="340"/>
      </w:pPr>
      <w:r>
        <w:rPr/>
        <w:t>☐ Variant A · warm and motivating, many emotional stimuli</w:t>
      </w:r>
    </w:p>
    <w:p>
      <w:pPr>
        <w:spacing w:before="0" w:after="20"/>
        <w:ind w:left="340" w:hanging="340"/>
      </w:pPr>
      <w:r>
        <w:rPr/>
        <w:t>☐ Variant B · factual and trustworthy, not inspiring</w:t>
      </w:r>
    </w:p>
    <w:p>
      <w:pPr>
        <w:spacing w:before="0" w:after="120"/>
        <w:ind w:left="340" w:hanging="340"/>
      </w:pPr>
      <w:r>
        <w:rPr/>
        <w:t>☐ Variant C · personal and high quality, feedback sometimes unclear</w:t>
      </w:r>
    </w:p>
    <w:p>
      <w:pPr>
        <w:spacing w:before="0" w:after="100"/>
      </w:pPr>
      <w:r>
        <w:rPr>
          <w:b/>
        </w:rPr>
        <w:t>Why this variant, under these conditions?</w:t>
      </w:r>
    </w:p>
    <w:p>
      <w:pPr>
        <w:spacing w:before="0" w:after="100"/>
      </w:pPr>
      <w:r>
        <w:rPr/>
        <w:t>Give your reason with the conditions: working people from 25 to 60, professional and approachable, a limited budget, no tests, 9 weeks, the department against marketing.</w:t>
      </w:r>
    </w:p>
    <w:p>
      <w:pPr>
        <w:spacing w:before="0" w:after="100"/>
      </w:pPr>
      <w:r>
        <w:rPr>
          <w:i/>
        </w:rPr>
        <w:t>How to build the answer:</w:t>
      </w:r>
    </w:p>
    <w:p>
      <w:pPr>
        <w:pStyle w:val="ListBullet"/>
        <w:spacing w:before="0" w:after="40"/>
      </w:pPr>
      <w:r>
        <w:rPr/>
        <w:t>Name the condition that weighs most for you.</w:t>
      </w:r>
    </w:p>
    <w:p>
      <w:pPr>
        <w:pStyle w:val="ListBullet"/>
        <w:spacing w:before="0" w:after="40"/>
      </w:pPr>
      <w:r>
        <w:rPr/>
        <w:t>Say how your variant meets it and why the other two meet it less well.</w:t>
      </w:r>
    </w:p>
    <w:p>
      <w:pPr>
        <w:pStyle w:val="ListBullet"/>
        <w:spacing w:before="0" w:after="100"/>
      </w:pPr>
      <w:r>
        <w:rPr/>
        <w:t>Say what your choice gives up and how you would deal with its weakness.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3 of 5 · Name the conflicts of goals between emotionalisation and professional credibility</w:t>
      </w:r>
    </w:p>
    <w:p>
      <w:pPr>
        <w:spacing w:before="0" w:after="100"/>
      </w:pPr>
      <w:r>
        <w:rPr/>
        <w:t>Name at least two conflicts, each as an emotional goal against a goal of credibility.</w:t>
      </w:r>
    </w:p>
    <w:p>
      <w:pPr>
        <w:spacing w:before="0" w:after="100"/>
      </w:pPr>
      <w:r>
        <w:rPr>
          <w:i/>
        </w:rPr>
        <w:t>How to build the answer:</w:t>
      </w:r>
    </w:p>
    <w:p>
      <w:pPr>
        <w:pStyle w:val="ListBullet"/>
        <w:spacing w:before="0" w:after="40"/>
      </w:pPr>
      <w:r>
        <w:rPr/>
        <w:t>Look at what activation and warmth would give, and what seriousness and credibility need.</w:t>
      </w:r>
    </w:p>
    <w:p>
      <w:pPr>
        <w:pStyle w:val="ListBullet"/>
        <w:spacing w:before="0" w:after="100"/>
      </w:pPr>
      <w:r>
        <w:rPr/>
        <w:t>Write each conflict as “… against …” and say who stands for each side.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5 · Which risks remain despite your decision?</w:t>
      </w:r>
    </w:p>
    <w:p>
      <w:pPr>
        <w:spacing w:before="0" w:after="100"/>
      </w:pPr>
      <w:r>
        <w:rPr/>
        <w:t>Name at least one risk that remains and who would feel it.</w:t>
      </w:r>
    </w:p>
    <w:p>
      <w:pPr>
        <w:spacing w:before="0" w:after="100"/>
      </w:pPr>
      <w:r>
        <w:rPr>
          <w:i/>
        </w:rPr>
        <w:t>How to build the answer:</w:t>
      </w:r>
    </w:p>
    <w:p>
      <w:pPr>
        <w:pStyle w:val="ListBullet"/>
        <w:spacing w:before="0" w:after="40"/>
      </w:pPr>
      <w:r>
        <w:rPr/>
        <w:t>Think of what your chosen variant is weak at.</w:t>
      </w:r>
    </w:p>
    <w:p>
      <w:pPr>
        <w:pStyle w:val="ListBullet"/>
        <w:spacing w:before="0" w:after="100"/>
      </w:pPr>
      <w:r>
        <w:rPr/>
        <w:t>Say who would notice and what would happen.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5 of 5 · Formulate a recommendation to the project management</w:t>
      </w:r>
    </w:p>
    <w:p>
      <w:pPr>
        <w:spacing w:before="0" w:after="100"/>
      </w:pPr>
      <w:r>
        <w:rPr/>
        <w:t>Two to four sentences: what you recommend, why, and what you will check next.</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Give the one reason the project management can follow.</w:t>
      </w:r>
    </w:p>
    <w:p>
      <w:pPr>
        <w:pStyle w:val="ListBullet"/>
        <w:spacing w:before="0" w:after="100"/>
      </w:pPr>
      <w:r>
        <w:rPr/>
        <w:t>Say what you will check after the release.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The case study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results with your group and for the trainer's closing. The block below needs about 15 minutes of writing; the rest of the time is discussion.</w:t>
            </w:r>
          </w:p>
        </w:tc>
      </w:tr>
    </w:tbl>
    <w:p>
      <w:pPr>
        <w:spacing w:before="0" w:after="80"/>
      </w:pPr>
    </w:p>
    <w:p>
      <w:pPr>
        <w:pStyle w:val="Heading2"/>
      </w:pPr>
      <w:r>
        <w:rPr/>
        <w:t>Block 2.1 · Case study: realigning the service portal LifeSupport · JUDGED · Core · about 15 min</w:t>
      </w:r>
    </w:p>
    <w:p>
      <w:pPr>
        <w:spacing w:before="0" w:after="100"/>
      </w:pPr>
      <w:r>
        <w:rPr>
          <w:b/>
        </w:rPr>
        <w:t>Draws on:</w:t>
      </w:r>
      <w:r>
        <w:rPr/>
        <w:t xml:space="preserve"> A1 · Emotions steer behaviour · A2 · Usable is not enough · A3 · Where feelings come from · A4 · Activation, overload and manipulation · A5 · Trust and perceived competence, and weighing a measure.</w:t>
      </w:r>
    </w:p>
    <w:p>
      <w:pPr>
        <w:spacing w:before="0" w:after="100"/>
      </w:pPr>
      <w:r>
        <w:rPr/>
        <w:t>A provider of health prevention runs LifeSupport, a digital portal for advice, appointment booking and document management. Technically the system does its job, but users perceive it as “impersonal”, “exhausting” and “not very supportive”. Use stays below expectations although the range of functions is large. The observed problems: the visual language is factual but emotionally distant, feedback after actions is technical instead of supportive, critical situations such as error messages create uncertainty instead of orientation, positive experiences are not visibly reinforced, the tone is correct but does not build trust or motivate, and the interaction is functional but does not build a relationship. The conditions: a budget of €145,000, 12 weeks for the implementation, no complete relaunch, the brand should stay serious but become emotionally more approachable, user data is only partly available, and the department and marketing set different priorities. You work through six steps.</w:t>
      </w:r>
    </w:p>
    <w:p>
      <w:pPr>
        <w:keepNext/>
        <w:spacing w:before="80" w:after="40"/>
        <w:jc w:val="center"/>
      </w:pPr>
      <w:r>
        <w:drawing>
          <wp:inline xmlns:a="http://schemas.openxmlformats.org/drawingml/2006/main" xmlns:pic="http://schemas.openxmlformats.org/drawingml/2006/picture">
            <wp:extent cx="5750816" cy="5580000"/>
            <wp:docPr id="3" name="Picture 3"/>
            <wp:cNvGraphicFramePr>
              <a:graphicFrameLocks noChangeAspect="1"/>
            </wp:cNvGraphicFramePr>
            <a:graphic>
              <a:graphicData uri="http://schemas.openxmlformats.org/drawingml/2006/picture">
                <pic:pic>
                  <pic:nvPicPr>
                    <pic:cNvPr id="0" name="d7_b2-1_0-cc43a7701ed8.png"/>
                    <pic:cNvPicPr/>
                  </pic:nvPicPr>
                  <pic:blipFill>
                    <a:blip r:embed="rId12"/>
                    <a:stretch>
                      <a:fillRect/>
                    </a:stretch>
                  </pic:blipFill>
                  <pic:spPr>
                    <a:xfrm>
                      <a:off x="0" y="0"/>
                      <a:ext cx="5750816" cy="5580000"/>
                    </a:xfrm>
                    <a:prstGeom prst="rect"/>
                  </pic:spPr>
                </pic:pic>
              </a:graphicData>
            </a:graphic>
          </wp:inline>
        </w:drawing>
      </w:r>
    </w:p>
    <w:p>
      <w:pPr>
        <w:spacing w:before="0" w:after="160"/>
        <w:jc w:val="center"/>
      </w:pPr>
      <w:r>
        <w:rPr>
          <w:i/>
          <w:color w:val="556274"/>
          <w:sz w:val="18"/>
        </w:rPr>
        <w:t>Figure 3 · LifeSupport today, as the portal shows it.</w:t>
      </w:r>
    </w:p>
    <w:p>
      <w:pPr>
        <w:spacing w:before="0" w:after="100"/>
      </w:pPr>
      <w:r>
        <w:rPr>
          <w:b/>
        </w:rPr>
        <w:t>Question 1 of 6 · Analyse the central emotional deficits of the portal</w:t>
      </w:r>
    </w:p>
    <w:p>
      <w:pPr>
        <w:spacing w:before="0" w:after="100"/>
      </w:pPr>
      <w:r>
        <w:rPr>
          <w:i/>
        </w:rPr>
        <w:t>How to build the answer:</w:t>
      </w:r>
    </w:p>
    <w:p>
      <w:pPr>
        <w:pStyle w:val="ListBullet"/>
        <w:spacing w:before="0" w:after="40"/>
      </w:pPr>
      <w:r>
        <w:rPr/>
        <w:t>Open LifeSupport, book a check-up, cause an error, and open your results, as a customer would.</w:t>
      </w:r>
    </w:p>
    <w:p>
      <w:pPr>
        <w:pStyle w:val="ListBullet"/>
        <w:spacing w:before="0" w:after="100"/>
      </w:pPr>
      <w:r>
        <w:rPr/>
        <w:t>Write one deficit per line as a feeling it creates or fails to create.</w:t>
      </w:r>
    </w:p>
    <w:p>
      <w:pPr>
        <w:spacing w:before="0" w:after="100"/>
      </w:pPr>
      <w:r>
        <w:rPr/>
        <w:t>Write them as a list, one deficit per line, each as a feeling. At least five.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630" w:hRule="atLeast"/>
        </w:trPr>
        <w:tc>
          <w:tcPr>
            <w:tcW w:type="dxa" w:w="9598"/>
          </w:tcPr>
          <w:p/>
        </w:tc>
      </w:tr>
    </w:tbl>
    <w:p>
      <w:pPr>
        <w:spacing w:before="0" w:after="80"/>
      </w:pPr>
    </w:p>
    <w:p>
      <w:pPr>
        <w:spacing w:before="0" w:after="100"/>
      </w:pPr>
      <w:r>
        <w:rPr>
          <w:b/>
        </w:rPr>
        <w:t>Question 2 of 6 · Assign the problems to the categories trust, emotional safety, motivation, reducing frustration and experience quality</w:t>
      </w:r>
    </w:p>
    <w:p>
      <w:pPr>
        <w:spacing w:before="0" w:after="100"/>
      </w:pPr>
      <w:r>
        <w:rPr/>
        <w:t>Write the problems that belong to each category in a few words. A problem may fit two categories.</w:t>
      </w:r>
    </w:p>
    <w:p>
      <w:pPr>
        <w:spacing w:before="0" w:after="100"/>
      </w:pPr>
      <w:r>
        <w:rPr>
          <w:i/>
        </w:rPr>
        <w:t>How to build the answer:</w:t>
      </w:r>
    </w:p>
    <w:p>
      <w:pPr>
        <w:pStyle w:val="ListBullet"/>
        <w:spacing w:before="0" w:after="40"/>
      </w:pPr>
      <w:r>
        <w:rPr/>
        <w:t>Take your problems from question 1.</w:t>
      </w:r>
    </w:p>
    <w:p>
      <w:pPr>
        <w:pStyle w:val="ListBullet"/>
        <w:spacing w:before="0" w:after="100"/>
      </w:pPr>
      <w:r>
        <w:rPr/>
        <w:t>Ask which of the five categories each one affects most, and write it there.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758"/>
        <w:gridCol w:w="4880"/>
      </w:tblGrid>
      <w:tr>
        <w:trPr>
          <w:cantSplit/>
          <w:tblHeader/>
        </w:trPr>
        <w:tc>
          <w:tcPr>
            <w:tcW w:type="dxa" w:w="4758"/>
            <w:shd w:val="clear" w:color="auto" w:fill="E6ECF4"/>
          </w:tcPr>
          <w:p>
            <w:pPr>
              <w:spacing w:before="0" w:after="0"/>
            </w:pPr>
            <w:r>
              <w:rPr>
                <w:b/>
                <w:sz w:val="20"/>
              </w:rPr>
              <w:t>Category</w:t>
            </w:r>
          </w:p>
        </w:tc>
        <w:tc>
          <w:tcPr>
            <w:tcW w:type="dxa" w:w="4880"/>
            <w:shd w:val="clear" w:color="auto" w:fill="E6ECF4"/>
          </w:tcPr>
          <w:p>
            <w:pPr>
              <w:spacing w:before="0" w:after="0"/>
            </w:pPr>
            <w:r>
              <w:rPr>
                <w:b/>
                <w:sz w:val="20"/>
              </w:rPr>
              <w:t>The problems in this category</w:t>
            </w:r>
          </w:p>
        </w:tc>
      </w:tr>
      <w:tr>
        <w:trPr>
          <w:cantSplit/>
          <w:trHeight w:val="538" w:hRule="atLeast"/>
        </w:trPr>
        <w:tc>
          <w:tcPr>
            <w:tcW w:type="dxa" w:w="4758"/>
          </w:tcPr>
          <w:p>
            <w:pPr>
              <w:spacing w:before="0" w:after="0"/>
            </w:pPr>
            <w:r>
              <w:rPr>
                <w:sz w:val="20"/>
              </w:rPr>
              <w:t>Trust</w:t>
            </w:r>
          </w:p>
        </w:tc>
        <w:tc>
          <w:tcPr>
            <w:tcW w:type="dxa" w:w="4880"/>
          </w:tcPr>
          <w:p/>
        </w:tc>
      </w:tr>
      <w:tr>
        <w:trPr>
          <w:cantSplit/>
          <w:trHeight w:val="538" w:hRule="atLeast"/>
        </w:trPr>
        <w:tc>
          <w:tcPr>
            <w:tcW w:type="dxa" w:w="4758"/>
          </w:tcPr>
          <w:p>
            <w:pPr>
              <w:spacing w:before="0" w:after="0"/>
            </w:pPr>
            <w:r>
              <w:rPr>
                <w:sz w:val="20"/>
              </w:rPr>
              <w:t>Emotional safety</w:t>
            </w:r>
          </w:p>
        </w:tc>
        <w:tc>
          <w:tcPr>
            <w:tcW w:type="dxa" w:w="4880"/>
          </w:tcPr>
          <w:p/>
        </w:tc>
      </w:tr>
      <w:tr>
        <w:trPr>
          <w:cantSplit/>
          <w:trHeight w:val="538" w:hRule="atLeast"/>
        </w:trPr>
        <w:tc>
          <w:tcPr>
            <w:tcW w:type="dxa" w:w="4758"/>
          </w:tcPr>
          <w:p>
            <w:pPr>
              <w:spacing w:before="0" w:after="0"/>
            </w:pPr>
            <w:r>
              <w:rPr>
                <w:sz w:val="20"/>
              </w:rPr>
              <w:t>Motivation</w:t>
            </w:r>
          </w:p>
        </w:tc>
        <w:tc>
          <w:tcPr>
            <w:tcW w:type="dxa" w:w="4880"/>
          </w:tcPr>
          <w:p/>
        </w:tc>
      </w:tr>
      <w:tr>
        <w:trPr>
          <w:cantSplit/>
          <w:trHeight w:val="538" w:hRule="atLeast"/>
        </w:trPr>
        <w:tc>
          <w:tcPr>
            <w:tcW w:type="dxa" w:w="4758"/>
          </w:tcPr>
          <w:p>
            <w:pPr>
              <w:spacing w:before="0" w:after="0"/>
            </w:pPr>
            <w:r>
              <w:rPr>
                <w:sz w:val="20"/>
              </w:rPr>
              <w:t>Reducing frustration</w:t>
            </w:r>
          </w:p>
        </w:tc>
        <w:tc>
          <w:tcPr>
            <w:tcW w:type="dxa" w:w="4880"/>
          </w:tcPr>
          <w:p/>
        </w:tc>
      </w:tr>
      <w:tr>
        <w:trPr>
          <w:cantSplit/>
          <w:trHeight w:val="538" w:hRule="atLeast"/>
        </w:trPr>
        <w:tc>
          <w:tcPr>
            <w:tcW w:type="dxa" w:w="4758"/>
          </w:tcPr>
          <w:p>
            <w:pPr>
              <w:spacing w:before="0" w:after="0"/>
            </w:pPr>
            <w:r>
              <w:rPr>
                <w:sz w:val="20"/>
              </w:rPr>
              <w:t>Experience quality</w:t>
            </w:r>
          </w:p>
        </w:tc>
        <w:tc>
          <w:tcPr>
            <w:tcW w:type="dxa" w:w="4880"/>
          </w:tcPr>
          <w:p/>
        </w:tc>
      </w:tr>
    </w:tbl>
    <w:p>
      <w:pPr>
        <w:spacing w:before="0" w:after="80"/>
      </w:pPr>
    </w:p>
    <w:p>
      <w:pPr>
        <w:spacing w:before="0" w:after="100"/>
      </w:pPr>
      <w:r>
        <w:rPr>
          <w:b/>
        </w:rPr>
        <w:t>Question 3 of 6 · Develop 4 prioritised measures for improvement</w:t>
      </w:r>
    </w:p>
    <w:p>
      <w:pPr>
        <w:spacing w:before="0" w:after="100"/>
      </w:pPr>
      <w:r>
        <w:rPr>
          <w:i/>
        </w:rPr>
        <w:t>How to build the answer:</w:t>
      </w:r>
    </w:p>
    <w:p>
      <w:pPr>
        <w:pStyle w:val="ListBullet"/>
        <w:spacing w:before="0" w:after="40"/>
      </w:pPr>
      <w:r>
        <w:rPr/>
        <w:t>Turn each group of problems into something you could change within 12 weeks, without a relaunch and while the brand stays serious.</w:t>
      </w:r>
    </w:p>
    <w:p>
      <w:pPr>
        <w:pStyle w:val="ListBullet"/>
        <w:spacing w:before="0" w:after="100"/>
      </w:pPr>
      <w:r>
        <w:rPr/>
        <w:t>Put them in order: what gives safety in the moments that matter most first.</w:t>
      </w:r>
    </w:p>
    <w:p>
      <w:pPr>
        <w:spacing w:before="0" w:after="100"/>
      </w:pPr>
      <w:r>
        <w:rPr/>
        <w:t>Write them as a numbered list, the first priority first, each with what it changes for users.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2279" w:hRule="atLeast"/>
        </w:trPr>
        <w:tc>
          <w:tcPr>
            <w:tcW w:type="dxa" w:w="9598"/>
          </w:tcPr>
          <w:p/>
        </w:tc>
      </w:tr>
    </w:tbl>
    <w:p>
      <w:pPr>
        <w:spacing w:before="0" w:after="80"/>
      </w:pPr>
    </w:p>
    <w:p>
      <w:pPr>
        <w:spacing w:before="0" w:after="100"/>
      </w:pPr>
      <w:r>
        <w:rPr>
          <w:b/>
        </w:rPr>
        <w:t>Question 4 of 6 · Justify your selection using effect on users, feasibility, risk and time pressure</w:t>
      </w:r>
    </w:p>
    <w:p>
      <w:pPr>
        <w:spacing w:before="0" w:after="100"/>
      </w:pPr>
      <w:r>
        <w:rPr/>
        <w:t>Use all four criteria and say how they support your selection and its order.</w:t>
      </w:r>
    </w:p>
    <w:p>
      <w:pPr>
        <w:spacing w:before="0" w:after="100"/>
      </w:pPr>
      <w:r>
        <w:rPr>
          <w:i/>
        </w:rPr>
        <w:t>How to build the answer:</w:t>
      </w:r>
    </w:p>
    <w:p>
      <w:pPr>
        <w:pStyle w:val="ListBullet"/>
        <w:spacing w:before="0" w:after="40"/>
      </w:pPr>
      <w:r>
        <w:rPr/>
        <w:t>Say for your first measure what it changes in the moments that matter most.</w:t>
      </w:r>
    </w:p>
    <w:p>
      <w:pPr>
        <w:pStyle w:val="ListBullet"/>
        <w:spacing w:before="0" w:after="40"/>
      </w:pPr>
      <w:r>
        <w:rPr/>
        <w:t>Say what is feasible without a relaunch and with a serious brand, and the risk of each.</w:t>
      </w:r>
    </w:p>
    <w:p>
      <w:pPr>
        <w:pStyle w:val="ListBullet"/>
        <w:spacing w:before="0" w:after="100"/>
      </w:pPr>
      <w:r>
        <w:rPr/>
        <w:t>Keep the department and marketing and the 12 weeks in mind.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6 · Make a prioritisation decision for the first 12 weeks</w:t>
      </w:r>
    </w:p>
    <w:p>
      <w:pPr>
        <w:spacing w:before="0" w:after="100"/>
      </w:pPr>
      <w:r>
        <w:rPr/>
        <w:t>Say what you do in the first 12 weeks, in which order, and what you leave for later, with the reason.</w:t>
      </w:r>
    </w:p>
    <w:p>
      <w:pPr>
        <w:spacing w:before="0" w:after="100"/>
      </w:pPr>
      <w:r>
        <w:rPr>
          <w:i/>
        </w:rPr>
        <w:t>How to build the answer:</w:t>
      </w:r>
    </w:p>
    <w:p>
      <w:pPr>
        <w:pStyle w:val="ListBullet"/>
        <w:spacing w:before="0" w:after="40"/>
      </w:pPr>
      <w:r>
        <w:rPr/>
        <w:t>Say what comes first and why.</w:t>
      </w:r>
    </w:p>
    <w:p>
      <w:pPr>
        <w:pStyle w:val="ListBullet"/>
        <w:spacing w:before="0" w:after="40"/>
      </w:pPr>
      <w:r>
        <w:rPr/>
        <w:t>Say what you do in parallel and what waits.</w:t>
      </w:r>
    </w:p>
    <w:p>
      <w:pPr>
        <w:pStyle w:val="ListBullet"/>
        <w:spacing w:before="0" w:after="100"/>
      </w:pPr>
      <w:r>
        <w:rPr/>
        <w:t>Say how you deal with the department and marketing.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6 · Formulate a recommendation to the division management</w:t>
      </w:r>
    </w:p>
    <w:p>
      <w:pPr>
        <w:spacing w:before="0" w:after="100"/>
      </w:pPr>
      <w:r>
        <w:rPr/>
        <w:t>Three to five sentences: what you recommend, what has priority, and what you expect to change.</w:t>
      </w:r>
    </w:p>
    <w:p>
      <w:pPr>
        <w:spacing w:before="0" w:after="100"/>
      </w:pPr>
      <w:r>
        <w:rPr>
          <w:i/>
        </w:rPr>
        <w:t>How to build the answer:</w:t>
      </w:r>
    </w:p>
    <w:p>
      <w:pPr>
        <w:pStyle w:val="ListBullet"/>
        <w:spacing w:before="0" w:after="40"/>
      </w:pPr>
      <w:r>
        <w:rPr/>
        <w:t>Lead with the recommendation.</w:t>
      </w:r>
    </w:p>
    <w:p>
      <w:pPr>
        <w:pStyle w:val="ListBullet"/>
        <w:spacing w:before="0" w:after="40"/>
      </w:pPr>
      <w:r>
        <w:rPr/>
        <w:t>Name the priorities.</w:t>
      </w:r>
    </w:p>
    <w:p>
      <w:pPr>
        <w:pStyle w:val="ListBullet"/>
        <w:spacing w:before="0" w:after="100"/>
      </w:pPr>
      <w:r>
        <w:rPr/>
        <w:t>Say what you expect to change for users and for the company.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pStyle w:val="Heading1"/>
        <w:pBdr>
          <w:bottom w:val="single" w:sz="8" w:space="2" w:color="17212E"/>
        </w:pBdr>
      </w:pPr>
      <w:r>
        <w:rPr/>
        <w:t>Task 2 · Route 2 · UX Strategy Memo: decide as Chief Experience Officer</w:t>
      </w:r>
    </w:p>
    <w:p>
      <w:pPr>
        <w:pStyle w:val="Heading2"/>
      </w:pPr>
      <w:r>
        <w:rPr/>
        <w:t>The situation: the provider behind LifeSupport, functionally solid and emotionally distant</w:t>
      </w:r>
    </w:p>
    <w:p>
      <w:pPr>
        <w:spacing w:before="0" w:after="100"/>
      </w:pPr>
      <w:r>
        <w:rPr>
          <w:i/>
        </w:rPr>
        <w:t>Read once · about 2 min</w:t>
      </w:r>
    </w:p>
    <w:p>
      <w:pPr>
        <w:spacing w:before="0" w:after="100"/>
      </w:pPr>
      <w:r>
        <w:rPr/>
        <w:t>You take the perspective of the Chief Experience Officer of the health-prevention provider that runs LifeSupport. The company has a website, a customer portal and an app. Its digital offers are functionally solid but create little emotional bond: users find them correct, but not supportive, trust-building or motivating. Inside the company, emotion is mostly seen as a question of communication or marketing, not as part of the UX architecture. The management expects a sound strategy for building emotional quality systematically into the digital product experience. You are not to polish single screens but to develop a sound decision architecture for emotional bonding, trust design and experience quality.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89"/>
        <w:gridCol w:w="6749"/>
      </w:tblGrid>
      <w:tr>
        <w:trPr>
          <w:cantSplit/>
          <w:tblHeader/>
        </w:trPr>
        <w:tc>
          <w:tcPr>
            <w:tcW w:type="dxa" w:w="2889"/>
            <w:shd w:val="clear" w:color="auto" w:fill="E6ECF4"/>
          </w:tcPr>
          <w:p>
            <w:pPr>
              <w:spacing w:before="0" w:after="0"/>
            </w:pPr>
            <w:r>
              <w:rPr>
                <w:b/>
                <w:sz w:val="20"/>
              </w:rPr>
              <w:t>The framework</w:t>
            </w:r>
          </w:p>
        </w:tc>
        <w:tc>
          <w:tcPr>
            <w:tcW w:type="dxa" w:w="6749"/>
            <w:shd w:val="clear" w:color="auto" w:fill="E6ECF4"/>
          </w:tcPr>
          <w:p>
            <w:pPr>
              <w:spacing w:before="0" w:after="0"/>
            </w:pPr>
            <w:r>
              <w:rPr>
                <w:b/>
                <w:sz w:val="20"/>
              </w:rPr>
              <w:t>How the task runs · one block</w:t>
            </w:r>
          </w:p>
        </w:tc>
      </w:tr>
      <w:tr>
        <w:trPr>
          <w:cantSplit/>
        </w:trPr>
        <w:tc>
          <w:tcPr>
            <w:tcW w:type="dxa" w:w="2889"/>
          </w:tcPr>
          <w:p>
            <w:pPr>
              <w:spacing w:before="0" w:after="0"/>
            </w:pPr>
            <w:r>
              <w:rPr>
                <w:sz w:val="20"/>
              </w:rPr>
              <w:t>• The budget is limited</w:t>
            </w:r>
            <w:r>
              <w:br/>
            </w:r>
            <w:r>
              <w:rPr>
                <w:sz w:val="20"/>
              </w:rPr>
              <w:t>• Different stakeholders pursue different goals</w:t>
            </w:r>
            <w:r>
              <w:br/>
            </w:r>
            <w:r>
              <w:rPr>
                <w:sz w:val="20"/>
              </w:rPr>
              <w:t>• The brand must stay professional</w:t>
            </w:r>
            <w:r>
              <w:br/>
            </w:r>
            <w:r>
              <w:rPr>
                <w:sz w:val="20"/>
              </w:rPr>
              <w:t>• Not all systems can be adapted at the same time</w:t>
            </w:r>
            <w:r>
              <w:br/>
            </w:r>
            <w:r>
              <w:rPr>
                <w:sz w:val="20"/>
              </w:rPr>
              <w:t>• Data on emotional effect is only partly available</w:t>
            </w:r>
            <w:r>
              <w:br/>
            </w:r>
            <w:r>
              <w:rPr>
                <w:sz w:val="20"/>
              </w:rPr>
              <w:t>• First improvements must be visible at short notice</w:t>
            </w:r>
            <w:r>
              <w:br/>
            </w:r>
            <w:r>
              <w:rPr>
                <w:sz w:val="20"/>
              </w:rPr>
              <w:t>• Wrong decisions can weaken credibility and user acceptance</w:t>
            </w:r>
          </w:p>
        </w:tc>
        <w:tc>
          <w:tcPr>
            <w:tcW w:type="dxa" w:w="6749"/>
          </w:tcPr>
          <w:p>
            <w:pPr>
              <w:spacing w:before="0" w:after="0"/>
            </w:pPr>
            <w:r>
              <w:rPr>
                <w:sz w:val="20"/>
              </w:rPr>
              <w:t>• Block 3.1 asks seven questions: a guiding vision for emotional UX, three strategic decisions, a prioritised architecture of measures, a risk analysis, a governance model, one decision under uncertainty and a management statement.</w:t>
            </w:r>
          </w:p>
        </w:tc>
      </w:tr>
    </w:tbl>
    <w:p>
      <w:pPr>
        <w:spacing w:before="0" w:after="80"/>
      </w:pPr>
    </w:p>
    <w:p>
      <w:pPr>
        <w:spacing w:before="0" w:after="100"/>
      </w:pPr>
      <w:r>
        <w:rPr>
          <w:b/>
        </w:rPr>
        <w:t>What is known and what is open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132"/>
        <w:gridCol w:w="4043"/>
        <w:gridCol w:w="2463"/>
      </w:tblGrid>
      <w:tr>
        <w:trPr>
          <w:cantSplit/>
          <w:tblHeader/>
        </w:trPr>
        <w:tc>
          <w:tcPr>
            <w:tcW w:type="dxa" w:w="3132"/>
            <w:shd w:val="clear" w:color="auto" w:fill="E6ECF4"/>
          </w:tcPr>
          <w:p>
            <w:pPr>
              <w:spacing w:before="0" w:after="0"/>
            </w:pPr>
            <w:r>
              <w:rPr>
                <w:b/>
                <w:sz w:val="20"/>
              </w:rPr>
              <w:t>In the brief</w:t>
            </w:r>
          </w:p>
        </w:tc>
        <w:tc>
          <w:tcPr>
            <w:tcW w:type="dxa" w:w="4043"/>
            <w:shd w:val="clear" w:color="auto" w:fill="E6ECF4"/>
          </w:tcPr>
          <w:p>
            <w:pPr>
              <w:spacing w:before="0" w:after="0"/>
            </w:pPr>
            <w:r>
              <w:rPr>
                <w:b/>
                <w:sz w:val="20"/>
              </w:rPr>
              <w:t>Clear · Case assumption</w:t>
            </w:r>
          </w:p>
        </w:tc>
        <w:tc>
          <w:tcPr>
            <w:tcW w:type="dxa" w:w="2463"/>
            <w:shd w:val="clear" w:color="auto" w:fill="E6ECF4"/>
          </w:tcPr>
          <w:p>
            <w:pPr>
              <w:spacing w:before="0" w:after="0"/>
            </w:pPr>
            <w:r>
              <w:rPr>
                <w:b/>
                <w:sz w:val="20"/>
              </w:rPr>
              <w:t>Open · on purpose</w:t>
            </w:r>
          </w:p>
        </w:tc>
      </w:tr>
      <w:tr>
        <w:trPr>
          <w:cantSplit/>
        </w:trPr>
        <w:tc>
          <w:tcPr>
            <w:tcW w:type="dxa" w:w="3132"/>
          </w:tcPr>
          <w:p>
            <w:pPr>
              <w:spacing w:before="0" w:after="0"/>
            </w:pPr>
            <w:r>
              <w:rPr>
                <w:sz w:val="20"/>
              </w:rPr>
              <w:t>• A website, a customer portal and an app.</w:t>
            </w:r>
            <w:r>
              <w:br/>
            </w:r>
            <w:r>
              <w:rPr>
                <w:sz w:val="20"/>
              </w:rPr>
              <w:t>• Functionally solid, but correct rather than supportive, trust-building or motivating.</w:t>
            </w:r>
            <w:r>
              <w:br/>
            </w:r>
            <w:r>
              <w:rPr>
                <w:sz w:val="20"/>
              </w:rPr>
              <w:t>• Inside, emotion counts as a marketing question, not part of the UX architecture.</w:t>
            </w:r>
            <w:r>
              <w:br/>
            </w:r>
            <w:r>
              <w:rPr>
                <w:sz w:val="20"/>
              </w:rPr>
              <w:t>• The brand must stay professional; first improvements must show soon.</w:t>
            </w:r>
          </w:p>
        </w:tc>
        <w:tc>
          <w:tcPr>
            <w:tcW w:type="dxa" w:w="4043"/>
          </w:tcPr>
          <w:p>
            <w:pPr>
              <w:spacing w:before="0" w:after="0"/>
            </w:pPr>
            <w:r>
              <w:rPr>
                <w:sz w:val="20"/>
              </w:rPr>
              <w:t>• The company is the health-prevention provider behind LifeSupport in Route 1.</w:t>
            </w:r>
            <w:r>
              <w:br/>
            </w:r>
            <w:r>
              <w:rPr>
                <w:sz w:val="20"/>
              </w:rPr>
              <w:t>• Marketing writes the website's texts; each product team writes its own messages and error texts in the portal and the app.</w:t>
            </w:r>
            <w:r>
              <w:br/>
            </w:r>
            <w:r>
              <w:rPr>
                <w:sz w:val="20"/>
              </w:rPr>
              <w:t>• Support records the subject of each contact; the app store reviews are the only written source on how people feel.</w:t>
            </w:r>
          </w:p>
        </w:tc>
        <w:tc>
          <w:tcPr>
            <w:tcW w:type="dxa" w:w="2463"/>
          </w:tcPr>
          <w:p>
            <w:pPr>
              <w:spacing w:before="0" w:after="0"/>
            </w:pPr>
            <w:r>
              <w:rPr>
                <w:sz w:val="20"/>
              </w:rPr>
              <w:t>• How large the budget is: “limited” is all the plan says.</w:t>
            </w:r>
            <w:r>
              <w:br/>
            </w:r>
            <w:r>
              <w:rPr>
                <w:sz w:val="20"/>
              </w:rPr>
              <w:t>• How emotional effect could be measured: data is only partly available.</w:t>
            </w:r>
            <w:r>
              <w:br/>
            </w:r>
            <w:r>
              <w:rPr>
                <w:sz w:val="20"/>
              </w:rPr>
              <w:t>• How users would react to a warmer tone: never tested.</w:t>
            </w:r>
          </w:p>
        </w:tc>
      </w:tr>
    </w:tbl>
    <w:p>
      <w:pPr>
        <w:spacing w:before="0" w:after="80"/>
      </w:pPr>
    </w:p>
    <w:p>
      <w:pPr>
        <w:spacing w:before="0" w:after="100"/>
      </w:pPr>
      <w:r>
        <w:rPr>
          <w:i/>
        </w:rPr>
        <w:t>As in most projects, not everything is known. Decide anyway, and say what you assume.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company with a website, a customer portal and an app, functionally solid offers with little emotional bond, users who find them correct but not supportive, trust-building or motivating, emotion seen inside as communication or marketing, a limited budget, different stakeholders, a professional brand, not all systems at once, partial data on emotional effect, first improvements soon, and the warning that wrong decisions can weaken credibility and acceptance. Those are the plan's facts. That the company is the provider of Route 1 and the facts marked “Clear” are made up for this exercise.</w:t>
            </w:r>
          </w:p>
        </w:tc>
      </w:tr>
    </w:tbl>
    <w:p>
      <w:pPr>
        <w:spacing w:before="0" w:after="80"/>
      </w:pPr>
    </w:p>
    <w:p>
      <w:pPr>
        <w:spacing w:before="0" w:after="100"/>
      </w:pPr>
      <w:r>
        <w:rPr>
          <w:i/>
        </w:rPr>
        <w:t>The memo is addressed to: The management. Subject: An emotionally effective UX strategy for our digital services.</w:t>
      </w:r>
    </w:p>
    <w:p>
      <w:pPr>
        <w:pStyle w:val="Heading1"/>
        <w:pBdr>
          <w:bottom w:val="single" w:sz="8" w:space="2" w:color="17212E"/>
        </w:pBdr>
      </w:pPr>
      <w:r>
        <w:rPr/>
        <w:t>Part 3 · Level 3 · Management decision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UE8: the trainer presents Materi B and sets the role. UE9: you write the memo. UE10: you present the decision and what you give up; the trainer debriefs.</w:t>
            </w:r>
          </w:p>
        </w:tc>
      </w:tr>
    </w:tbl>
    <w:p>
      <w:pPr>
        <w:spacing w:before="0" w:after="80"/>
      </w:pPr>
    </w:p>
    <w:p>
      <w:pPr>
        <w:pStyle w:val="Heading2"/>
      </w:pPr>
      <w:r>
        <w:rPr/>
        <w:t>Block 3.1 · An emotionally effective UX strategy for a digital service · JUDGED · Core · about 20 min</w:t>
      </w:r>
    </w:p>
    <w:p>
      <w:pPr>
        <w:spacing w:before="0" w:after="100"/>
      </w:pPr>
      <w:r>
        <w:rPr>
          <w:b/>
        </w:rPr>
        <w:t>Draws on:</w:t>
      </w:r>
      <w:r>
        <w:rPr/>
        <w:t xml:space="preserve"> B1 · Emotional UX as part of the UX architecture, not a campaign · B2 · Seriousness against closeness · B3 · Who owns emotional UX, and deciding with little data on feelings.</w:t>
      </w:r>
    </w:p>
    <w:p>
      <w:pPr>
        <w:spacing w:before="0" w:after="100"/>
      </w:pPr>
      <w:r>
        <w:rPr/>
        <w:t>Develop a strategic concept for the provider. Your desk holds what the management, marketing, the department and the data say. Open it, then answer the seven questions; your answers build the memo below.</w:t>
      </w:r>
    </w:p>
    <w:p>
      <w:pPr>
        <w:keepNext/>
        <w:spacing w:before="80" w:after="40"/>
        <w:jc w:val="center"/>
      </w:pPr>
      <w:r>
        <w:drawing>
          <wp:inline xmlns:a="http://schemas.openxmlformats.org/drawingml/2006/main" xmlns:pic="http://schemas.openxmlformats.org/drawingml/2006/picture">
            <wp:extent cx="5006355" cy="5580000"/>
            <wp:docPr id="4" name="Picture 4"/>
            <wp:cNvGraphicFramePr>
              <a:graphicFrameLocks noChangeAspect="1"/>
            </wp:cNvGraphicFramePr>
            <a:graphic>
              <a:graphicData uri="http://schemas.openxmlformats.org/drawingml/2006/picture">
                <pic:pic>
                  <pic:nvPicPr>
                    <pic:cNvPr id="0" name="d7_b3-1_0-9b2b394e7067.png"/>
                    <pic:cNvPicPr/>
                  </pic:nvPicPr>
                  <pic:blipFill>
                    <a:blip r:embed="rId1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4 · Your desk: the messages that wait for you, shown in the lab as a mailbox (1 of 6).</w:t>
      </w:r>
    </w:p>
    <w:p>
      <w:pPr>
        <w:keepNext/>
        <w:spacing w:before="80" w:after="40"/>
        <w:jc w:val="center"/>
      </w:pPr>
      <w:r>
        <w:drawing>
          <wp:inline xmlns:a="http://schemas.openxmlformats.org/drawingml/2006/main" xmlns:pic="http://schemas.openxmlformats.org/drawingml/2006/picture">
            <wp:extent cx="5006355" cy="5580000"/>
            <wp:docPr id="5" name="Picture 5"/>
            <wp:cNvGraphicFramePr>
              <a:graphicFrameLocks noChangeAspect="1"/>
            </wp:cNvGraphicFramePr>
            <a:graphic>
              <a:graphicData uri="http://schemas.openxmlformats.org/drawingml/2006/picture">
                <pic:pic>
                  <pic:nvPicPr>
                    <pic:cNvPr id="0" name="d7_b3-1_1-3423286f2e38.png"/>
                    <pic:cNvPicPr/>
                  </pic:nvPicPr>
                  <pic:blipFill>
                    <a:blip r:embed="rId14"/>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5 · Your desk: the messages that wait for you, shown in the lab as a mailbox (2 of 6).</w:t>
      </w:r>
    </w:p>
    <w:p>
      <w:pPr>
        <w:keepNext/>
        <w:spacing w:before="80" w:after="40"/>
        <w:jc w:val="center"/>
      </w:pPr>
      <w:r>
        <w:drawing>
          <wp:inline xmlns:a="http://schemas.openxmlformats.org/drawingml/2006/main" xmlns:pic="http://schemas.openxmlformats.org/drawingml/2006/picture">
            <wp:extent cx="5006355" cy="5580000"/>
            <wp:docPr id="6" name="Picture 6"/>
            <wp:cNvGraphicFramePr>
              <a:graphicFrameLocks noChangeAspect="1"/>
            </wp:cNvGraphicFramePr>
            <a:graphic>
              <a:graphicData uri="http://schemas.openxmlformats.org/drawingml/2006/picture">
                <pic:pic>
                  <pic:nvPicPr>
                    <pic:cNvPr id="0" name="d7_b3-1_2-f702878b6cb4.png"/>
                    <pic:cNvPicPr/>
                  </pic:nvPicPr>
                  <pic:blipFill>
                    <a:blip r:embed="rId15"/>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6 · Your desk: the messages that wait for you, shown in the lab as a mailbox (3 of 6).</w:t>
      </w:r>
    </w:p>
    <w:p>
      <w:pPr>
        <w:keepNext/>
        <w:spacing w:before="80" w:after="40"/>
        <w:jc w:val="center"/>
      </w:pPr>
      <w:r>
        <w:drawing>
          <wp:inline xmlns:a="http://schemas.openxmlformats.org/drawingml/2006/main" xmlns:pic="http://schemas.openxmlformats.org/drawingml/2006/picture">
            <wp:extent cx="5006355" cy="5580000"/>
            <wp:docPr id="7" name="Picture 7"/>
            <wp:cNvGraphicFramePr>
              <a:graphicFrameLocks noChangeAspect="1"/>
            </wp:cNvGraphicFramePr>
            <a:graphic>
              <a:graphicData uri="http://schemas.openxmlformats.org/drawingml/2006/picture">
                <pic:pic>
                  <pic:nvPicPr>
                    <pic:cNvPr id="0" name="d7_b3-1_3-ba4cc17693a6.png"/>
                    <pic:cNvPicPr/>
                  </pic:nvPicPr>
                  <pic:blipFill>
                    <a:blip r:embed="rId16"/>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7 · Your desk: the messages that wait for you, shown in the lab as a mailbox (4 of 6).</w:t>
      </w:r>
    </w:p>
    <w:p>
      <w:pPr>
        <w:keepNext/>
        <w:spacing w:before="80" w:after="40"/>
        <w:jc w:val="center"/>
      </w:pPr>
      <w:r>
        <w:drawing>
          <wp:inline xmlns:a="http://schemas.openxmlformats.org/drawingml/2006/main" xmlns:pic="http://schemas.openxmlformats.org/drawingml/2006/picture">
            <wp:extent cx="5006355" cy="5580000"/>
            <wp:docPr id="8" name="Picture 8"/>
            <wp:cNvGraphicFramePr>
              <a:graphicFrameLocks noChangeAspect="1"/>
            </wp:cNvGraphicFramePr>
            <a:graphic>
              <a:graphicData uri="http://schemas.openxmlformats.org/drawingml/2006/picture">
                <pic:pic>
                  <pic:nvPicPr>
                    <pic:cNvPr id="0" name="d7_b3-1_4-fc1813fa73aa.png"/>
                    <pic:cNvPicPr/>
                  </pic:nvPicPr>
                  <pic:blipFill>
                    <a:blip r:embed="rId17"/>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8 · Your desk: the messages that wait for you, shown in the lab as a mailbox (5 of 6).</w:t>
      </w:r>
    </w:p>
    <w:p>
      <w:pPr>
        <w:keepNext/>
        <w:spacing w:before="80" w:after="40"/>
        <w:jc w:val="center"/>
      </w:pPr>
      <w:r>
        <w:drawing>
          <wp:inline xmlns:a="http://schemas.openxmlformats.org/drawingml/2006/main" xmlns:pic="http://schemas.openxmlformats.org/drawingml/2006/picture">
            <wp:extent cx="5006355" cy="5580000"/>
            <wp:docPr id="9" name="Picture 9"/>
            <wp:cNvGraphicFramePr>
              <a:graphicFrameLocks noChangeAspect="1"/>
            </wp:cNvGraphicFramePr>
            <a:graphic>
              <a:graphicData uri="http://schemas.openxmlformats.org/drawingml/2006/picture">
                <pic:pic>
                  <pic:nvPicPr>
                    <pic:cNvPr id="0" name="d7_b3-1_5-c9c909635c54.png"/>
                    <pic:cNvPicPr/>
                  </pic:nvPicPr>
                  <pic:blipFill>
                    <a:blip r:embed="rId18"/>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9 · Your desk: the messages that wait for you, shown in the lab as a mailbox (6 of 6).</w:t>
      </w:r>
    </w:p>
    <w:p>
      <w:pPr>
        <w:keepNext/>
        <w:spacing w:before="80" w:after="40"/>
        <w:jc w:val="center"/>
      </w:pPr>
      <w:r>
        <w:drawing>
          <wp:inline xmlns:a="http://schemas.openxmlformats.org/drawingml/2006/main" xmlns:pic="http://schemas.openxmlformats.org/drawingml/2006/picture">
            <wp:extent cx="5006355" cy="5580000"/>
            <wp:docPr id="10" name="Picture 10"/>
            <wp:cNvGraphicFramePr>
              <a:graphicFrameLocks noChangeAspect="1"/>
            </wp:cNvGraphicFramePr>
            <a:graphic>
              <a:graphicData uri="http://schemas.openxmlformats.org/drawingml/2006/picture">
                <pic:pic>
                  <pic:nvPicPr>
                    <pic:cNvPr id="0" name="d7_b3-1_6-056e9ce87785.png"/>
                    <pic:cNvPicPr/>
                  </pic:nvPicPr>
                  <pic:blipFill>
                    <a:blip r:embed="rId19"/>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10 · The platform as it is today, as the lab lets you observe it (1 of 5).</w:t>
      </w:r>
    </w:p>
    <w:p>
      <w:pPr>
        <w:keepNext/>
        <w:spacing w:before="80" w:after="40"/>
        <w:jc w:val="center"/>
      </w:pPr>
      <w:r>
        <w:drawing>
          <wp:inline xmlns:a="http://schemas.openxmlformats.org/drawingml/2006/main" xmlns:pic="http://schemas.openxmlformats.org/drawingml/2006/picture">
            <wp:extent cx="5006355" cy="5580000"/>
            <wp:docPr id="11" name="Picture 11"/>
            <wp:cNvGraphicFramePr>
              <a:graphicFrameLocks noChangeAspect="1"/>
            </wp:cNvGraphicFramePr>
            <a:graphic>
              <a:graphicData uri="http://schemas.openxmlformats.org/drawingml/2006/picture">
                <pic:pic>
                  <pic:nvPicPr>
                    <pic:cNvPr id="0" name="d7_b3-1_7-633b2f7142c2.png"/>
                    <pic:cNvPicPr/>
                  </pic:nvPicPr>
                  <pic:blipFill>
                    <a:blip r:embed="rId20"/>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11 · The platform as it is today, as the lab lets you observe it (2 of 5).</w:t>
      </w:r>
    </w:p>
    <w:p>
      <w:pPr>
        <w:keepNext/>
        <w:spacing w:before="80" w:after="40"/>
        <w:jc w:val="center"/>
      </w:pPr>
      <w:r>
        <w:drawing>
          <wp:inline xmlns:a="http://schemas.openxmlformats.org/drawingml/2006/main" xmlns:pic="http://schemas.openxmlformats.org/drawingml/2006/picture">
            <wp:extent cx="5006355" cy="5580000"/>
            <wp:docPr id="12" name="Picture 12"/>
            <wp:cNvGraphicFramePr>
              <a:graphicFrameLocks noChangeAspect="1"/>
            </wp:cNvGraphicFramePr>
            <a:graphic>
              <a:graphicData uri="http://schemas.openxmlformats.org/drawingml/2006/picture">
                <pic:pic>
                  <pic:nvPicPr>
                    <pic:cNvPr id="0" name="d7_b3-1_8-de6d1e97b6ce.png"/>
                    <pic:cNvPicPr/>
                  </pic:nvPicPr>
                  <pic:blipFill>
                    <a:blip r:embed="rId21"/>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12 · The platform as it is today, as the lab lets you observe it (3 of 5).</w:t>
      </w:r>
    </w:p>
    <w:p>
      <w:pPr>
        <w:keepNext/>
        <w:spacing w:before="80" w:after="40"/>
        <w:jc w:val="center"/>
      </w:pPr>
      <w:r>
        <w:drawing>
          <wp:inline xmlns:a="http://schemas.openxmlformats.org/drawingml/2006/main" xmlns:pic="http://schemas.openxmlformats.org/drawingml/2006/picture">
            <wp:extent cx="5006355" cy="5580000"/>
            <wp:docPr id="13" name="Picture 13"/>
            <wp:cNvGraphicFramePr>
              <a:graphicFrameLocks noChangeAspect="1"/>
            </wp:cNvGraphicFramePr>
            <a:graphic>
              <a:graphicData uri="http://schemas.openxmlformats.org/drawingml/2006/picture">
                <pic:pic>
                  <pic:nvPicPr>
                    <pic:cNvPr id="0" name="d7_b3-1_9-4c47953495c8.png"/>
                    <pic:cNvPicPr/>
                  </pic:nvPicPr>
                  <pic:blipFill>
                    <a:blip r:embed="rId22"/>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13 · The platform as it is today, as the lab lets you observe it (4 of 5).</w:t>
      </w:r>
    </w:p>
    <w:p>
      <w:pPr>
        <w:keepNext/>
        <w:spacing w:before="80" w:after="40"/>
        <w:jc w:val="center"/>
      </w:pPr>
      <w:r>
        <w:drawing>
          <wp:inline xmlns:a="http://schemas.openxmlformats.org/drawingml/2006/main" xmlns:pic="http://schemas.openxmlformats.org/drawingml/2006/picture">
            <wp:extent cx="5006355" cy="5580000"/>
            <wp:docPr id="14" name="Picture 14"/>
            <wp:cNvGraphicFramePr>
              <a:graphicFrameLocks noChangeAspect="1"/>
            </wp:cNvGraphicFramePr>
            <a:graphic>
              <a:graphicData uri="http://schemas.openxmlformats.org/drawingml/2006/picture">
                <pic:pic>
                  <pic:nvPicPr>
                    <pic:cNvPr id="0" name="d7_b3-1_10-4867e992a857.png"/>
                    <pic:cNvPicPr/>
                  </pic:nvPicPr>
                  <pic:blipFill>
                    <a:blip r:embed="rId23"/>
                    <a:stretch>
                      <a:fillRect/>
                    </a:stretch>
                  </pic:blipFill>
                  <pic:spPr>
                    <a:xfrm>
                      <a:off x="0" y="0"/>
                      <a:ext cx="5006355" cy="5580000"/>
                    </a:xfrm>
                    <a:prstGeom prst="rect"/>
                  </pic:spPr>
                </pic:pic>
              </a:graphicData>
            </a:graphic>
          </wp:inline>
        </w:drawing>
      </w:r>
    </w:p>
    <w:p>
      <w:pPr>
        <w:spacing w:before="0" w:after="160"/>
        <w:jc w:val="center"/>
      </w:pPr>
      <w:r>
        <w:rPr>
          <w:i/>
          <w:color w:val="556274"/>
          <w:sz w:val="18"/>
        </w:rPr>
        <w:t>Figure 14 · The platform as it is today, as the lab lets you observe it (5 of 5).</w:t>
      </w:r>
    </w:p>
    <w:p>
      <w:pPr>
        <w:spacing w:before="0" w:after="100"/>
      </w:pPr>
      <w:r>
        <w:rPr>
          <w:b/>
        </w:rPr>
        <w:t>Question 1 of 7 · A guiding vision for emotional UX: which emotional effect and which experience quality should users experience systematically?</w:t>
      </w:r>
    </w:p>
    <w:p>
      <w:pPr>
        <w:spacing w:before="0" w:after="100"/>
      </w:pPr>
      <w:r>
        <w:rPr/>
        <w:t>One or two sentences about what users should feel in every touchpoint, also when something goes wrong.</w:t>
      </w:r>
    </w:p>
    <w:p>
      <w:pPr>
        <w:spacing w:before="0" w:after="100"/>
      </w:pPr>
      <w:r>
        <w:rPr>
          <w:i/>
        </w:rPr>
        <w:t>How to build the answer:</w:t>
      </w:r>
    </w:p>
    <w:p>
      <w:pPr>
        <w:pStyle w:val="ListBullet"/>
        <w:spacing w:before="0" w:after="40"/>
      </w:pPr>
      <w:r>
        <w:rPr/>
        <w:t>Say what users should feel when they come, when they act and when something goes wrong.</w:t>
      </w:r>
    </w:p>
    <w:p>
      <w:pPr>
        <w:pStyle w:val="ListBullet"/>
        <w:spacing w:before="0" w:after="100"/>
      </w:pPr>
      <w:r>
        <w:rPr/>
        <w:t>Keep it serious enough for a health brand and warm enough to build a bond.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Question 2 of 7 · Three strategic guiding decisions on trust, emotional safety, motivation and supportive interaction</w:t>
      </w:r>
    </w:p>
    <w:p>
      <w:pPr>
        <w:spacing w:before="0" w:after="100"/>
      </w:pPr>
      <w:r>
        <w:rPr>
          <w:i/>
        </w:rPr>
        <w:t>How to build the answer:</w:t>
      </w:r>
    </w:p>
    <w:p>
      <w:pPr>
        <w:pStyle w:val="ListBullet"/>
        <w:spacing w:before="0" w:after="40"/>
      </w:pPr>
      <w:r>
        <w:rPr/>
        <w:t>Take your vision and ask which three choices would make it real.</w:t>
      </w:r>
    </w:p>
    <w:p>
      <w:pPr>
        <w:pStyle w:val="ListBullet"/>
        <w:spacing w:before="0" w:after="100"/>
      </w:pPr>
      <w:r>
        <w:rPr/>
        <w:t>Write each as “we will …, even though that means …”.</w:t>
      </w:r>
    </w:p>
    <w:p>
      <w:pPr>
        <w:spacing w:before="0" w:after="100"/>
      </w:pPr>
      <w:r>
        <w:rPr/>
        <w:t>Write them as a list, one decision per line, each with what it gives up.</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3 of 7 · A prioritised architecture of measures: which touchpoints, interactions or communication patterns are improved first, and why?</w:t>
      </w:r>
    </w:p>
    <w:p>
      <w:pPr>
        <w:spacing w:before="0" w:after="100"/>
      </w:pPr>
      <w:r>
        <w:rPr/>
        <w:t>Put the touchpoints, interactions or patterns in an order and give the reason for the first ones.</w:t>
      </w:r>
    </w:p>
    <w:p>
      <w:pPr>
        <w:spacing w:before="0" w:after="100"/>
      </w:pPr>
      <w:r>
        <w:rPr>
          <w:i/>
        </w:rPr>
        <w:t>How to build the answer:</w:t>
      </w:r>
    </w:p>
    <w:p>
      <w:pPr>
        <w:pStyle w:val="ListBullet"/>
        <w:spacing w:before="0" w:after="40"/>
      </w:pPr>
      <w:r>
        <w:rPr/>
        <w:t>List the candidates: the critical moments, the most used flows, the communication patterns (confirmations, errors, reminders) and the touchpoints.</w:t>
      </w:r>
    </w:p>
    <w:p>
      <w:pPr>
        <w:pStyle w:val="ListBullet"/>
        <w:spacing w:before="0" w:after="40"/>
      </w:pPr>
      <w:r>
        <w:rPr/>
        <w:t>Put first what affects how people feel at the moments that matter most.</w:t>
      </w:r>
    </w:p>
    <w:p>
      <w:pPr>
        <w:pStyle w:val="ListBullet"/>
        <w:spacing w:before="0" w:after="100"/>
      </w:pPr>
      <w:r>
        <w:rPr/>
        <w:t>Say why the others can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Question 4 of 7 · A risk analysis: which wrong assumptions about emotional effect, credibility and user behaviour would be especially critical?</w:t>
      </w:r>
    </w:p>
    <w:p>
      <w:pPr>
        <w:spacing w:before="0" w:after="100"/>
      </w:pPr>
      <w:r>
        <w:rPr/>
        <w:t>Name two or three assumptions about how emotion works, what keeps credibility, or how users behave, and the harm if each is wrong.</w:t>
      </w:r>
    </w:p>
    <w:p>
      <w:pPr>
        <w:spacing w:before="0" w:after="100"/>
      </w:pPr>
      <w:r>
        <w:rPr>
          <w:i/>
        </w:rPr>
        <w:t>How to build the answer:</w:t>
      </w:r>
    </w:p>
    <w:p>
      <w:pPr>
        <w:pStyle w:val="ListBullet"/>
        <w:spacing w:before="0" w:after="40"/>
      </w:pPr>
      <w:r>
        <w:rPr/>
        <w:t>Write down what your concept assumes about emotional effect.</w:t>
      </w:r>
    </w:p>
    <w:p>
      <w:pPr>
        <w:pStyle w:val="ListBullet"/>
        <w:spacing w:before="0" w:after="40"/>
      </w:pPr>
      <w:r>
        <w:rPr/>
        <w:t>Write down what it assumes about credibility.</w:t>
      </w:r>
    </w:p>
    <w:p>
      <w:pPr>
        <w:pStyle w:val="ListBullet"/>
        <w:spacing w:before="0" w:after="100"/>
      </w:pPr>
      <w:r>
        <w:rPr/>
        <w:t>Write down what it assumes about how users behave.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5 of 7 · A governance model: who is responsible for the emotional UX principles, and how are conflicts between brand, expertise and user effect decided?</w:t>
      </w:r>
    </w:p>
    <w:p>
      <w:pPr>
        <w:spacing w:before="0" w:after="100"/>
      </w:pPr>
      <w:r>
        <w:rPr/>
        <w:t>Name roles, not people: who owns the emotional UX principles and the tone guide, how a conflict between marketing, the department and the effect on users is decided, and on what basis.</w:t>
      </w:r>
    </w:p>
    <w:p>
      <w:pPr>
        <w:spacing w:before="0" w:after="100"/>
      </w:pPr>
      <w:r>
        <w:rPr>
          <w:i/>
        </w:rPr>
        <w:t>How to build the answer:</w:t>
      </w:r>
    </w:p>
    <w:p>
      <w:pPr>
        <w:pStyle w:val="ListBullet"/>
        <w:spacing w:before="0" w:after="40"/>
      </w:pPr>
      <w:r>
        <w:rPr/>
        <w:t>Name who owns the emotional UX principles and the tone guide.</w:t>
      </w:r>
    </w:p>
    <w:p>
      <w:pPr>
        <w:pStyle w:val="ListBullet"/>
        <w:spacing w:before="0" w:after="40"/>
      </w:pPr>
      <w:r>
        <w:rPr/>
        <w:t>Name the roles of marketing and the department.</w:t>
      </w:r>
    </w:p>
    <w:p>
      <w:pPr>
        <w:pStyle w:val="ListBullet"/>
        <w:spacing w:before="0" w:after="100"/>
      </w:pPr>
      <w:r>
        <w:rPr/>
        <w:t>Say how a conflict between brand, expertise and user effect is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6 of 7 · A decision under uncertainty: make at least one prioritised decision despite patchy data and justify it responsibly</w:t>
      </w:r>
    </w:p>
    <w:p>
      <w:pPr>
        <w:spacing w:before="0" w:after="100"/>
      </w:pPr>
      <w:r>
        <w:rPr/>
        <w:t>Say what you decide, what you do not know, and why the decision is responsible all the same, for example when you would reverse it.</w:t>
      </w:r>
    </w:p>
    <w:p>
      <w:pPr>
        <w:spacing w:before="0" w:after="100"/>
      </w:pPr>
      <w:r>
        <w:rPr>
          <w:i/>
        </w:rPr>
        <w:t>How to build the answer:</w:t>
      </w:r>
    </w:p>
    <w:p>
      <w:pPr>
        <w:pStyle w:val="ListBullet"/>
        <w:spacing w:before="0" w:after="40"/>
      </w:pPr>
      <w:r>
        <w:rPr/>
        <w:t>State the decision in one sentence.</w:t>
      </w:r>
    </w:p>
    <w:p>
      <w:pPr>
        <w:pStyle w:val="ListBullet"/>
        <w:spacing w:before="0" w:after="40"/>
      </w:pPr>
      <w:r>
        <w:rPr/>
        <w:t>Name what you do not know.</w:t>
      </w:r>
    </w:p>
    <w:p>
      <w:pPr>
        <w:pStyle w:val="ListBullet"/>
        <w:spacing w:before="0" w:after="100"/>
      </w:pPr>
      <w:r>
        <w:rPr/>
        <w:t>Say why it is still responsible: it can be reversed, it can be checked soon, or waiting costs more.</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pPr>
        <w:spacing w:before="0" w:after="100"/>
      </w:pPr>
      <w:r>
        <w:rPr>
          <w:b/>
        </w:rPr>
        <w:t>Question 7 of 7 · A management statement: a recommendation to the management with a clear priority and a strategic reason</w:t>
      </w:r>
    </w:p>
    <w:p>
      <w:pPr>
        <w:spacing w:before="0" w:after="100"/>
      </w:pPr>
      <w:r>
        <w:rPr/>
        <w:t>Four to six sentences: the direction first, then the priority, the reason and what you ask of the management.</w:t>
      </w:r>
    </w:p>
    <w:p>
      <w:pPr>
        <w:spacing w:before="0" w:after="100"/>
      </w:pPr>
      <w:r>
        <w:rPr>
          <w:i/>
        </w:rPr>
        <w:t>How to build the answer:</w:t>
      </w:r>
    </w:p>
    <w:p>
      <w:pPr>
        <w:pStyle w:val="ListBullet"/>
        <w:spacing w:before="0" w:after="40"/>
      </w:pPr>
      <w:r>
        <w:rPr/>
        <w:t>Start with the direction in one sentence.</w:t>
      </w:r>
    </w:p>
    <w:p>
      <w:pPr>
        <w:pStyle w:val="ListBullet"/>
        <w:spacing w:before="0" w:after="40"/>
      </w:pPr>
      <w:r>
        <w:rPr/>
        <w:t>Name the priority and the reason that carries it.</w:t>
      </w:r>
    </w:p>
    <w:p>
      <w:pPr>
        <w:pStyle w:val="ListBullet"/>
        <w:spacing w:before="0" w:after="100"/>
      </w:pPr>
      <w:r>
        <w:rPr/>
        <w:t>Say what you ask of the management and what you will report back.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927" w:hRule="atLeast"/>
        </w:trPr>
        <w:tc>
          <w:tcPr>
            <w:tcW w:type="dxa" w:w="9598"/>
          </w:tcP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03"/>
        <w:gridCol w:w="3369"/>
        <w:gridCol w:w="2266"/>
      </w:tblGrid>
      <w:tr>
        <w:trPr>
          <w:cantSplit/>
          <w:tblHeader/>
        </w:trPr>
        <w:tc>
          <w:tcPr>
            <w:tcW w:type="dxa" w:w="4003"/>
            <w:shd w:val="clear" w:color="auto" w:fill="E6ECF4"/>
          </w:tcPr>
          <w:p>
            <w:pPr>
              <w:spacing w:before="0" w:after="0"/>
            </w:pPr>
            <w:r>
              <w:rPr>
                <w:b/>
                <w:sz w:val="20"/>
              </w:rPr>
              <w:t>Part of the worksheet</w:t>
            </w:r>
          </w:p>
        </w:tc>
        <w:tc>
          <w:tcPr>
            <w:tcW w:type="dxa" w:w="3369"/>
            <w:shd w:val="clear" w:color="auto" w:fill="E6ECF4"/>
          </w:tcPr>
          <w:p>
            <w:pPr>
              <w:spacing w:before="0" w:after="0"/>
            </w:pPr>
            <w:r>
              <w:rPr>
                <w:b/>
                <w:sz w:val="20"/>
              </w:rPr>
              <w:t>Presentation (shown in the Neuro-UX Lab)</w:t>
            </w:r>
          </w:p>
        </w:tc>
        <w:tc>
          <w:tcPr>
            <w:tcW w:type="dxa" w:w="2266"/>
            <w:shd w:val="clear" w:color="auto" w:fill="E6ECF4"/>
          </w:tcPr>
          <w:p>
            <w:pPr>
              <w:spacing w:before="0" w:after="0"/>
            </w:pPr>
            <w:r>
              <w:rPr>
                <w:b/>
                <w:sz w:val="20"/>
              </w:rPr>
              <w:t>Handout</w:t>
            </w:r>
          </w:p>
        </w:tc>
      </w:tr>
      <w:tr>
        <w:trPr>
          <w:cantSplit/>
        </w:trPr>
        <w:tc>
          <w:tcPr>
            <w:tcW w:type="dxa" w:w="4003"/>
          </w:tcPr>
          <w:p>
            <w:pPr>
              <w:spacing w:before="0" w:after="0"/>
            </w:pPr>
            <w:r>
              <w:rPr>
                <w:sz w:val="20"/>
              </w:rPr>
              <w:t>The case: three platforms on the UX team's desk, and LifeSupport</w:t>
            </w:r>
          </w:p>
        </w:tc>
        <w:tc>
          <w:tcPr>
            <w:tcW w:type="dxa" w:w="3369"/>
          </w:tcPr>
          <w:p>
            <w:pPr>
              <w:spacing w:before="0" w:after="0"/>
            </w:pPr>
            <w:r>
              <w:rPr>
                <w:sz w:val="20"/>
              </w:rPr>
              <w:t>The case read aloud or on screen</w:t>
            </w:r>
          </w:p>
        </w:tc>
        <w:tc>
          <w:tcPr>
            <w:tcW w:type="dxa" w:w="2266"/>
          </w:tcPr>
          <w:p>
            <w:pPr>
              <w:spacing w:before="0" w:after="0"/>
            </w:pPr>
            <w:r>
              <w:rPr>
                <w:sz w:val="20"/>
              </w:rPr>
              <w:t>The case text</w:t>
            </w:r>
          </w:p>
        </w:tc>
      </w:tr>
      <w:tr>
        <w:trPr>
          <w:cantSplit/>
        </w:trPr>
        <w:tc>
          <w:tcPr>
            <w:tcW w:type="dxa" w:w="4003"/>
          </w:tcPr>
          <w:p>
            <w:pPr>
              <w:spacing w:before="0" w:after="0"/>
            </w:pPr>
            <w:r>
              <w:rPr>
                <w:sz w:val="20"/>
              </w:rPr>
              <w:t xml:space="preserve">Block 1.1 · Analyse the emotional effect of a digital offer from the user's side: </w:t>
            </w:r>
          </w:p>
        </w:tc>
        <w:tc>
          <w:tcPr>
            <w:tcW w:type="dxa" w:w="3369"/>
          </w:tcPr>
          <w:p>
            <w:pPr>
              <w:spacing w:before="0" w:after="0"/>
            </w:pPr>
            <w:r>
              <w:rPr>
                <w:sz w:val="20"/>
              </w:rPr>
              <w:t>The task wording at the start of the block (no answers are shown)</w:t>
            </w:r>
          </w:p>
        </w:tc>
        <w:tc>
          <w:tcPr>
            <w:tcW w:type="dxa" w:w="2266"/>
          </w:tcPr>
          <w:p>
            <w:pPr>
              <w:spacing w:before="0" w:after="0"/>
            </w:pPr>
            <w:r>
              <w:rPr>
                <w:sz w:val="20"/>
              </w:rPr>
              <w:t>Worksheet block with answer boxes (Core)</w:t>
            </w:r>
          </w:p>
        </w:tc>
      </w:tr>
      <w:tr>
        <w:trPr>
          <w:cantSplit/>
        </w:trPr>
        <w:tc>
          <w:tcPr>
            <w:tcW w:type="dxa" w:w="4003"/>
          </w:tcPr>
          <w:p>
            <w:pPr>
              <w:spacing w:before="0" w:after="0"/>
            </w:pPr>
            <w:r>
              <w:rPr>
                <w:sz w:val="20"/>
              </w:rPr>
              <w:t>Block 1.2 · Rate emotional UX under conflicting goals: CareerPath</w:t>
            </w:r>
          </w:p>
        </w:tc>
        <w:tc>
          <w:tcPr>
            <w:tcW w:type="dxa" w:w="3369"/>
          </w:tcPr>
          <w:p>
            <w:pPr>
              <w:spacing w:before="0" w:after="0"/>
            </w:pPr>
            <w:r>
              <w:rPr>
                <w:sz w:val="20"/>
              </w:rPr>
              <w:t>The task wording at the start of the block (no answers are shown)</w:t>
            </w:r>
          </w:p>
        </w:tc>
        <w:tc>
          <w:tcPr>
            <w:tcW w:type="dxa" w:w="2266"/>
          </w:tcPr>
          <w:p>
            <w:pPr>
              <w:spacing w:before="0" w:after="0"/>
            </w:pPr>
            <w:r>
              <w:rPr>
                <w:sz w:val="20"/>
              </w:rPr>
              <w:t>Worksheet block with answer boxes (Core)</w:t>
            </w:r>
          </w:p>
        </w:tc>
      </w:tr>
      <w:tr>
        <w:trPr>
          <w:cantSplit/>
        </w:trPr>
        <w:tc>
          <w:tcPr>
            <w:tcW w:type="dxa" w:w="4003"/>
          </w:tcPr>
          <w:p>
            <w:pPr>
              <w:spacing w:before="0" w:after="0"/>
            </w:pPr>
            <w:r>
              <w:rPr>
                <w:sz w:val="20"/>
              </w:rPr>
              <w:t>Block 2.1 · Case study: realigning the service portal LifeSupport</w:t>
            </w:r>
          </w:p>
        </w:tc>
        <w:tc>
          <w:tcPr>
            <w:tcW w:type="dxa" w:w="3369"/>
          </w:tcPr>
          <w:p>
            <w:pPr>
              <w:spacing w:before="0" w:after="0"/>
            </w:pPr>
            <w:r>
              <w:rPr>
                <w:sz w:val="20"/>
              </w:rPr>
              <w:t>The task wording at the start of the block (no answers are shown)</w:t>
            </w:r>
          </w:p>
        </w:tc>
        <w:tc>
          <w:tcPr>
            <w:tcW w:type="dxa" w:w="2266"/>
          </w:tcPr>
          <w:p>
            <w:pPr>
              <w:spacing w:before="0" w:after="0"/>
            </w:pPr>
            <w:r>
              <w:rPr>
                <w:sz w:val="20"/>
              </w:rPr>
              <w:t>Worksheet block with answer boxes (Core)</w:t>
            </w:r>
          </w:p>
        </w:tc>
      </w:tr>
      <w:tr>
        <w:trPr>
          <w:cantSplit/>
        </w:trPr>
        <w:tc>
          <w:tcPr>
            <w:tcW w:type="dxa" w:w="4003"/>
          </w:tcPr>
          <w:p>
            <w:pPr>
              <w:spacing w:before="0" w:after="0"/>
            </w:pPr>
            <w:r>
              <w:rPr>
                <w:sz w:val="20"/>
              </w:rPr>
              <w:t>The situation: the provider behind LifeSupport, functionally solid and emotionally distant</w:t>
            </w:r>
          </w:p>
        </w:tc>
        <w:tc>
          <w:tcPr>
            <w:tcW w:type="dxa" w:w="3369"/>
          </w:tcPr>
          <w:p>
            <w:pPr>
              <w:spacing w:before="0" w:after="0"/>
            </w:pPr>
            <w:r>
              <w:rPr>
                <w:sz w:val="20"/>
              </w:rPr>
              <w:t>The case read aloud or on screen</w:t>
            </w:r>
          </w:p>
        </w:tc>
        <w:tc>
          <w:tcPr>
            <w:tcW w:type="dxa" w:w="2266"/>
          </w:tcPr>
          <w:p>
            <w:pPr>
              <w:spacing w:before="0" w:after="0"/>
            </w:pPr>
            <w:r>
              <w:rPr>
                <w:sz w:val="20"/>
              </w:rPr>
              <w:t>The case text</w:t>
            </w:r>
          </w:p>
        </w:tc>
      </w:tr>
      <w:tr>
        <w:trPr>
          <w:cantSplit/>
        </w:trPr>
        <w:tc>
          <w:tcPr>
            <w:tcW w:type="dxa" w:w="4003"/>
          </w:tcPr>
          <w:p>
            <w:pPr>
              <w:spacing w:before="0" w:after="0"/>
            </w:pPr>
            <w:r>
              <w:rPr>
                <w:sz w:val="20"/>
              </w:rPr>
              <w:t>Block 3.1 · An emotionally effective UX strategy for a digital service</w:t>
            </w:r>
          </w:p>
        </w:tc>
        <w:tc>
          <w:tcPr>
            <w:tcW w:type="dxa" w:w="3369"/>
          </w:tcPr>
          <w:p>
            <w:pPr>
              <w:spacing w:before="0" w:after="0"/>
            </w:pPr>
            <w:r>
              <w:rPr>
                <w:sz w:val="20"/>
              </w:rPr>
              <w:t>The task wording at the start of the block (no answers are shown)</w:t>
            </w:r>
          </w:p>
        </w:tc>
        <w:tc>
          <w:tcPr>
            <w:tcW w:type="dxa" w:w="2266"/>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83"/>
        <w:gridCol w:w="5542"/>
        <w:gridCol w:w="1184"/>
        <w:gridCol w:w="929"/>
      </w:tblGrid>
      <w:tr>
        <w:trPr>
          <w:cantSplit/>
          <w:tblHeader/>
        </w:trPr>
        <w:tc>
          <w:tcPr>
            <w:tcW w:type="dxa" w:w="1983"/>
            <w:shd w:val="clear" w:color="auto" w:fill="E6ECF4"/>
          </w:tcPr>
          <w:p>
            <w:pPr>
              <w:spacing w:before="0" w:after="0"/>
            </w:pPr>
            <w:r>
              <w:rPr>
                <w:b/>
                <w:sz w:val="19"/>
              </w:rPr>
              <w:t>Term</w:t>
            </w:r>
          </w:p>
        </w:tc>
        <w:tc>
          <w:tcPr>
            <w:tcW w:type="dxa" w:w="5542"/>
            <w:shd w:val="clear" w:color="auto" w:fill="E6ECF4"/>
          </w:tcPr>
          <w:p>
            <w:pPr>
              <w:spacing w:before="0" w:after="0"/>
            </w:pPr>
            <w:r>
              <w:rPr>
                <w:b/>
                <w:sz w:val="19"/>
              </w:rPr>
              <w:t>In plain words</w:t>
            </w:r>
          </w:p>
        </w:tc>
        <w:tc>
          <w:tcPr>
            <w:tcW w:type="dxa" w:w="1184"/>
            <w:shd w:val="clear" w:color="auto" w:fill="E6ECF4"/>
          </w:tcPr>
          <w:p>
            <w:pPr>
              <w:spacing w:before="0" w:after="0"/>
            </w:pPr>
            <w:r>
              <w:rPr>
                <w:b/>
                <w:sz w:val="19"/>
              </w:rPr>
              <w:t>Example</w:t>
            </w:r>
          </w:p>
        </w:tc>
        <w:tc>
          <w:tcPr>
            <w:tcW w:type="dxa" w:w="929"/>
            <w:shd w:val="clear" w:color="auto" w:fill="E6ECF4"/>
          </w:tcPr>
          <w:p>
            <w:pPr>
              <w:spacing w:before="0" w:after="0"/>
            </w:pPr>
            <w:r>
              <w:rPr>
                <w:b/>
                <w:sz w:val="19"/>
              </w:rPr>
              <w:t>Comes from</w:t>
            </w:r>
          </w:p>
        </w:tc>
      </w:tr>
      <w:tr>
        <w:trPr>
          <w:cantSplit/>
        </w:trPr>
        <w:tc>
          <w:tcPr>
            <w:tcW w:type="dxa" w:w="1983"/>
          </w:tcPr>
          <w:p>
            <w:pPr>
              <w:spacing w:before="0" w:after="0"/>
            </w:pPr>
            <w:r>
              <w:rPr>
                <w:b/>
                <w:sz w:val="19"/>
              </w:rPr>
              <w:t>Activation</w:t>
            </w:r>
          </w:p>
        </w:tc>
        <w:tc>
          <w:tcPr>
            <w:tcW w:type="dxa" w:w="5542"/>
          </w:tcPr>
          <w:p>
            <w:pPr>
              <w:spacing w:before="0" w:after="0"/>
            </w:pPr>
            <w:r>
              <w:rPr>
                <w:sz w:val="19"/>
              </w:rPr>
              <w:t>Getting people to act now, often with strong stimuli. It can help for a moment and tire or push people if overdone.</w:t>
            </w:r>
          </w:p>
        </w:tc>
        <w:tc>
          <w:tcPr>
            <w:tcW w:type="dxa" w:w="1184"/>
          </w:tcPr>
          <w:p>
            <w:pPr>
              <w:spacing w:before="0" w:after="0"/>
            </w:pPr>
            <w:r>
              <w:rPr>
                <w:sz w:val="19"/>
              </w:rPr>
              <w:t>—</w:t>
            </w:r>
          </w:p>
        </w:tc>
        <w:tc>
          <w:tcPr>
            <w:tcW w:type="dxa" w:w="929"/>
          </w:tcPr>
          <w:p>
            <w:pPr>
              <w:spacing w:before="0" w:after="0"/>
            </w:pPr>
            <w:r>
              <w:rPr>
                <w:sz w:val="19"/>
              </w:rPr>
              <w:t>Day 7</w:t>
            </w:r>
          </w:p>
        </w:tc>
      </w:tr>
      <w:tr>
        <w:trPr>
          <w:cantSplit/>
        </w:trPr>
        <w:tc>
          <w:tcPr>
            <w:tcW w:type="dxa" w:w="1983"/>
          </w:tcPr>
          <w:p>
            <w:pPr>
              <w:spacing w:before="0" w:after="0"/>
            </w:pPr>
            <w:r>
              <w:rPr>
                <w:b/>
                <w:sz w:val="19"/>
              </w:rPr>
              <w:t>Case assumption</w:t>
            </w:r>
          </w:p>
        </w:tc>
        <w:tc>
          <w:tcPr>
            <w:tcW w:type="dxa" w:w="5542"/>
          </w:tcPr>
          <w:p>
            <w:pPr>
              <w:spacing w:before="0" w:after="0"/>
            </w:pPr>
            <w:r>
              <w:rPr>
                <w:sz w:val="19"/>
              </w:rPr>
              <w:t>A fact made up for this exercise to fill a gap in the plan's case. It is marked so you know it is not part of the plan.</w:t>
            </w:r>
          </w:p>
        </w:tc>
        <w:tc>
          <w:tcPr>
            <w:tcW w:type="dxa" w:w="1184"/>
          </w:tcPr>
          <w:p>
            <w:pPr>
              <w:spacing w:before="0" w:after="0"/>
            </w:pPr>
            <w:r>
              <w:rPr>
                <w:sz w:val="19"/>
              </w:rPr>
              <w:t>—</w:t>
            </w:r>
          </w:p>
        </w:tc>
        <w:tc>
          <w:tcPr>
            <w:tcW w:type="dxa" w:w="929"/>
          </w:tcPr>
          <w:p>
            <w:pPr>
              <w:spacing w:before="0" w:after="0"/>
            </w:pPr>
            <w:r>
              <w:rPr>
                <w:sz w:val="19"/>
              </w:rPr>
              <w:t>Day 1</w:t>
            </w:r>
          </w:p>
        </w:tc>
      </w:tr>
      <w:tr>
        <w:trPr>
          <w:cantSplit/>
        </w:trPr>
        <w:tc>
          <w:tcPr>
            <w:tcW w:type="dxa" w:w="1983"/>
          </w:tcPr>
          <w:p>
            <w:pPr>
              <w:spacing w:before="0" w:after="0"/>
            </w:pPr>
            <w:r>
              <w:rPr>
                <w:b/>
                <w:sz w:val="19"/>
              </w:rPr>
              <w:t>Chief Experience Officer</w:t>
            </w:r>
          </w:p>
        </w:tc>
        <w:tc>
          <w:tcPr>
            <w:tcW w:type="dxa" w:w="5542"/>
          </w:tcPr>
          <w:p>
            <w:pPr>
              <w:spacing w:before="0" w:after="0"/>
            </w:pPr>
            <w:r>
              <w:rPr>
                <w:sz w:val="19"/>
              </w:rPr>
              <w:t>The manager who is responsible for the experience customers have across all channels, and who decides where the company invests in it.</w:t>
            </w:r>
          </w:p>
        </w:tc>
        <w:tc>
          <w:tcPr>
            <w:tcW w:type="dxa" w:w="1184"/>
          </w:tcPr>
          <w:p>
            <w:pPr>
              <w:spacing w:before="0" w:after="0"/>
            </w:pPr>
            <w:r>
              <w:rPr>
                <w:sz w:val="19"/>
              </w:rPr>
              <w:t>—</w:t>
            </w:r>
          </w:p>
        </w:tc>
        <w:tc>
          <w:tcPr>
            <w:tcW w:type="dxa" w:w="929"/>
          </w:tcPr>
          <w:p>
            <w:pPr>
              <w:spacing w:before="0" w:after="0"/>
            </w:pPr>
            <w:r>
              <w:rPr>
                <w:sz w:val="19"/>
              </w:rPr>
              <w:t>Day 1</w:t>
            </w:r>
          </w:p>
        </w:tc>
      </w:tr>
      <w:tr>
        <w:trPr>
          <w:cantSplit/>
        </w:trPr>
        <w:tc>
          <w:tcPr>
            <w:tcW w:type="dxa" w:w="1983"/>
          </w:tcPr>
          <w:p>
            <w:pPr>
              <w:spacing w:before="0" w:after="0"/>
            </w:pPr>
            <w:r>
              <w:rPr>
                <w:b/>
                <w:sz w:val="19"/>
              </w:rPr>
              <w:t>Dark pattern</w:t>
            </w:r>
          </w:p>
        </w:tc>
        <w:tc>
          <w:tcPr>
            <w:tcW w:type="dxa" w:w="5542"/>
          </w:tcPr>
          <w:p>
            <w:pPr>
              <w:spacing w:before="0" w:after="0"/>
            </w:pPr>
            <w:r>
              <w:rPr>
                <w:sz w:val="19"/>
              </w:rPr>
              <w:t>A design that uses emotion against people's own interest, such as false urgency, guilt or hidden costs.</w:t>
            </w:r>
          </w:p>
        </w:tc>
        <w:tc>
          <w:tcPr>
            <w:tcW w:type="dxa" w:w="1184"/>
          </w:tcPr>
          <w:p>
            <w:pPr>
              <w:spacing w:before="0" w:after="0"/>
            </w:pPr>
            <w:r>
              <w:rPr>
                <w:sz w:val="19"/>
              </w:rPr>
              <w:t>—</w:t>
            </w:r>
          </w:p>
        </w:tc>
        <w:tc>
          <w:tcPr>
            <w:tcW w:type="dxa" w:w="929"/>
          </w:tcPr>
          <w:p>
            <w:pPr>
              <w:spacing w:before="0" w:after="0"/>
            </w:pPr>
            <w:r>
              <w:rPr>
                <w:sz w:val="19"/>
              </w:rPr>
              <w:t>Day 7</w:t>
            </w:r>
          </w:p>
        </w:tc>
      </w:tr>
      <w:tr>
        <w:trPr>
          <w:cantSplit/>
        </w:trPr>
        <w:tc>
          <w:tcPr>
            <w:tcW w:type="dxa" w:w="1983"/>
          </w:tcPr>
          <w:p>
            <w:pPr>
              <w:spacing w:before="0" w:after="0"/>
            </w:pPr>
            <w:r>
              <w:rPr>
                <w:b/>
                <w:sz w:val="19"/>
              </w:rPr>
              <w:t>Decision architecture</w:t>
            </w:r>
          </w:p>
        </w:tc>
        <w:tc>
          <w:tcPr>
            <w:tcW w:type="dxa" w:w="5542"/>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184"/>
          </w:tcPr>
          <w:p>
            <w:pPr>
              <w:spacing w:before="0" w:after="0"/>
            </w:pPr>
            <w:r>
              <w:rPr>
                <w:sz w:val="19"/>
              </w:rPr>
              <w:t>—</w:t>
            </w:r>
          </w:p>
        </w:tc>
        <w:tc>
          <w:tcPr>
            <w:tcW w:type="dxa" w:w="929"/>
          </w:tcPr>
          <w:p>
            <w:pPr>
              <w:spacing w:before="0" w:after="0"/>
            </w:pPr>
            <w:r>
              <w:rPr>
                <w:sz w:val="19"/>
              </w:rPr>
              <w:t>Day 1</w:t>
            </w:r>
          </w:p>
        </w:tc>
      </w:tr>
      <w:tr>
        <w:trPr>
          <w:cantSplit/>
        </w:trPr>
        <w:tc>
          <w:tcPr>
            <w:tcW w:type="dxa" w:w="1983"/>
          </w:tcPr>
          <w:p>
            <w:pPr>
              <w:spacing w:before="0" w:after="0"/>
            </w:pPr>
            <w:r>
              <w:rPr>
                <w:b/>
                <w:sz w:val="19"/>
              </w:rPr>
              <w:t>Emotional bond</w:t>
            </w:r>
          </w:p>
        </w:tc>
        <w:tc>
          <w:tcPr>
            <w:tcW w:type="dxa" w:w="5542"/>
          </w:tcPr>
          <w:p>
            <w:pPr>
              <w:spacing w:before="0" w:after="0"/>
            </w:pPr>
            <w:r>
              <w:rPr>
                <w:sz w:val="19"/>
              </w:rPr>
              <w:t>The sense, built over time, that a product is on your side. It makes people trust it and come back.</w:t>
            </w:r>
          </w:p>
        </w:tc>
        <w:tc>
          <w:tcPr>
            <w:tcW w:type="dxa" w:w="1184"/>
          </w:tcPr>
          <w:p>
            <w:pPr>
              <w:spacing w:before="0" w:after="0"/>
            </w:pPr>
            <w:r>
              <w:rPr>
                <w:sz w:val="19"/>
              </w:rPr>
              <w:t>—</w:t>
            </w:r>
          </w:p>
        </w:tc>
        <w:tc>
          <w:tcPr>
            <w:tcW w:type="dxa" w:w="929"/>
          </w:tcPr>
          <w:p>
            <w:pPr>
              <w:spacing w:before="0" w:after="0"/>
            </w:pPr>
            <w:r>
              <w:rPr>
                <w:sz w:val="19"/>
              </w:rPr>
              <w:t>Day 7</w:t>
            </w:r>
          </w:p>
        </w:tc>
      </w:tr>
      <w:tr>
        <w:trPr>
          <w:cantSplit/>
        </w:trPr>
        <w:tc>
          <w:tcPr>
            <w:tcW w:type="dxa" w:w="1983"/>
          </w:tcPr>
          <w:p>
            <w:pPr>
              <w:spacing w:before="0" w:after="0"/>
            </w:pPr>
            <w:r>
              <w:rPr>
                <w:b/>
                <w:sz w:val="19"/>
              </w:rPr>
              <w:t>Emotional safety</w:t>
            </w:r>
          </w:p>
        </w:tc>
        <w:tc>
          <w:tcPr>
            <w:tcW w:type="dxa" w:w="5542"/>
          </w:tcPr>
          <w:p>
            <w:pPr>
              <w:spacing w:before="0" w:after="0"/>
            </w:pPr>
            <w:r>
              <w:rPr>
                <w:sz w:val="19"/>
              </w:rPr>
              <w:t>Feeling that you know what is happening, that nothing bad will follow from a mistake, and that help is there.</w:t>
            </w:r>
          </w:p>
        </w:tc>
        <w:tc>
          <w:tcPr>
            <w:tcW w:type="dxa" w:w="1184"/>
          </w:tcPr>
          <w:p>
            <w:pPr>
              <w:spacing w:before="0" w:after="0"/>
            </w:pPr>
            <w:r>
              <w:rPr>
                <w:sz w:val="19"/>
              </w:rPr>
              <w:t>—</w:t>
            </w:r>
          </w:p>
        </w:tc>
        <w:tc>
          <w:tcPr>
            <w:tcW w:type="dxa" w:w="929"/>
          </w:tcPr>
          <w:p>
            <w:pPr>
              <w:spacing w:before="0" w:after="0"/>
            </w:pPr>
            <w:r>
              <w:rPr>
                <w:sz w:val="19"/>
              </w:rPr>
              <w:t>Day 7</w:t>
            </w:r>
          </w:p>
        </w:tc>
      </w:tr>
      <w:tr>
        <w:trPr>
          <w:cantSplit/>
        </w:trPr>
        <w:tc>
          <w:tcPr>
            <w:tcW w:type="dxa" w:w="1983"/>
          </w:tcPr>
          <w:p>
            <w:pPr>
              <w:spacing w:before="0" w:after="0"/>
            </w:pPr>
            <w:r>
              <w:rPr>
                <w:b/>
                <w:sz w:val="19"/>
              </w:rPr>
              <w:t>Experience quality</w:t>
            </w:r>
          </w:p>
        </w:tc>
        <w:tc>
          <w:tcPr>
            <w:tcW w:type="dxa" w:w="5542"/>
          </w:tcPr>
          <w:p>
            <w:pPr>
              <w:spacing w:before="0" w:after="0"/>
            </w:pPr>
            <w:r>
              <w:rPr>
                <w:sz w:val="19"/>
              </w:rPr>
              <w:t>How using a product feels, on the way and afterwards. It goes beyond usability, which only asks whether people reach their goal.</w:t>
            </w:r>
          </w:p>
        </w:tc>
        <w:tc>
          <w:tcPr>
            <w:tcW w:type="dxa" w:w="1184"/>
          </w:tcPr>
          <w:p>
            <w:pPr>
              <w:spacing w:before="0" w:after="0"/>
            </w:pPr>
            <w:r>
              <w:rPr>
                <w:sz w:val="19"/>
              </w:rPr>
              <w:t>—</w:t>
            </w:r>
          </w:p>
        </w:tc>
        <w:tc>
          <w:tcPr>
            <w:tcW w:type="dxa" w:w="929"/>
          </w:tcPr>
          <w:p>
            <w:pPr>
              <w:spacing w:before="0" w:after="0"/>
            </w:pPr>
            <w:r>
              <w:rPr>
                <w:sz w:val="19"/>
              </w:rPr>
              <w:t>Day 7</w:t>
            </w:r>
          </w:p>
        </w:tc>
      </w:tr>
      <w:tr>
        <w:trPr>
          <w:cantSplit/>
        </w:trPr>
        <w:tc>
          <w:tcPr>
            <w:tcW w:type="dxa" w:w="1983"/>
          </w:tcPr>
          <w:p>
            <w:pPr>
              <w:spacing w:before="0" w:after="0"/>
            </w:pPr>
            <w:r>
              <w:rPr>
                <w:b/>
                <w:sz w:val="19"/>
              </w:rPr>
              <w:t>Governance</w:t>
            </w:r>
          </w:p>
        </w:tc>
        <w:tc>
          <w:tcPr>
            <w:tcW w:type="dxa" w:w="5542"/>
          </w:tcPr>
          <w:p>
            <w:pPr>
              <w:spacing w:before="0" w:after="0"/>
            </w:pPr>
            <w:r>
              <w:rPr>
                <w:sz w:val="19"/>
              </w:rPr>
              <w:t>The rules about who may decide what, who is answerable for it and how disagreements are settled.</w:t>
            </w:r>
          </w:p>
        </w:tc>
        <w:tc>
          <w:tcPr>
            <w:tcW w:type="dxa" w:w="1184"/>
          </w:tcPr>
          <w:p>
            <w:pPr>
              <w:spacing w:before="0" w:after="0"/>
            </w:pPr>
            <w:r>
              <w:rPr>
                <w:sz w:val="19"/>
              </w:rPr>
              <w:t>—</w:t>
            </w:r>
          </w:p>
        </w:tc>
        <w:tc>
          <w:tcPr>
            <w:tcW w:type="dxa" w:w="929"/>
          </w:tcPr>
          <w:p>
            <w:pPr>
              <w:spacing w:before="0" w:after="0"/>
            </w:pPr>
            <w:r>
              <w:rPr>
                <w:sz w:val="19"/>
              </w:rPr>
              <w:t>Day 1</w:t>
            </w:r>
          </w:p>
        </w:tc>
      </w:tr>
      <w:tr>
        <w:trPr>
          <w:cantSplit/>
        </w:trPr>
        <w:tc>
          <w:tcPr>
            <w:tcW w:type="dxa" w:w="1983"/>
          </w:tcPr>
          <w:p>
            <w:pPr>
              <w:spacing w:before="0" w:after="0"/>
            </w:pPr>
            <w:r>
              <w:rPr>
                <w:b/>
                <w:sz w:val="19"/>
              </w:rPr>
              <w:t>Orientation</w:t>
            </w:r>
          </w:p>
        </w:tc>
        <w:tc>
          <w:tcPr>
            <w:tcW w:type="dxa" w:w="5542"/>
          </w:tcPr>
          <w:p>
            <w:pPr>
              <w:spacing w:before="0" w:after="0"/>
            </w:pPr>
            <w:r>
              <w:rPr>
                <w:sz w:val="19"/>
              </w:rPr>
              <w:t>Knowing where you are, what you can do here and what happens next.</w:t>
            </w:r>
          </w:p>
        </w:tc>
        <w:tc>
          <w:tcPr>
            <w:tcW w:type="dxa" w:w="1184"/>
          </w:tcPr>
          <w:p>
            <w:pPr>
              <w:spacing w:before="0" w:after="0"/>
            </w:pPr>
            <w:r>
              <w:rPr>
                <w:sz w:val="19"/>
              </w:rPr>
              <w:t>—</w:t>
            </w:r>
          </w:p>
        </w:tc>
        <w:tc>
          <w:tcPr>
            <w:tcW w:type="dxa" w:w="929"/>
          </w:tcPr>
          <w:p>
            <w:pPr>
              <w:spacing w:before="0" w:after="0"/>
            </w:pPr>
            <w:r>
              <w:rPr>
                <w:sz w:val="19"/>
              </w:rPr>
              <w:t>Day 1</w:t>
            </w:r>
          </w:p>
        </w:tc>
      </w:tr>
      <w:tr>
        <w:trPr>
          <w:cantSplit/>
        </w:trPr>
        <w:tc>
          <w:tcPr>
            <w:tcW w:type="dxa" w:w="1983"/>
          </w:tcPr>
          <w:p>
            <w:pPr>
              <w:spacing w:before="0" w:after="0"/>
            </w:pPr>
            <w:r>
              <w:rPr>
                <w:b/>
                <w:sz w:val="19"/>
              </w:rPr>
              <w:t>Perceived competence</w:t>
            </w:r>
          </w:p>
        </w:tc>
        <w:tc>
          <w:tcPr>
            <w:tcW w:type="dxa" w:w="5542"/>
          </w:tcPr>
          <w:p>
            <w:pPr>
              <w:spacing w:before="0" w:after="0"/>
            </w:pPr>
            <w:r>
              <w:rPr>
                <w:sz w:val="19"/>
              </w:rPr>
              <w:t>How capable a product or company seems to people, judged from small signals such as clear feedback and careful wording.</w:t>
            </w:r>
          </w:p>
        </w:tc>
        <w:tc>
          <w:tcPr>
            <w:tcW w:type="dxa" w:w="1184"/>
          </w:tcPr>
          <w:p>
            <w:pPr>
              <w:spacing w:before="0" w:after="0"/>
            </w:pPr>
            <w:r>
              <w:rPr>
                <w:sz w:val="19"/>
              </w:rPr>
              <w:t>—</w:t>
            </w:r>
          </w:p>
        </w:tc>
        <w:tc>
          <w:tcPr>
            <w:tcW w:type="dxa" w:w="929"/>
          </w:tcPr>
          <w:p>
            <w:pPr>
              <w:spacing w:before="0" w:after="0"/>
            </w:pPr>
            <w:r>
              <w:rPr>
                <w:sz w:val="19"/>
              </w:rPr>
              <w:t>Day 7</w:t>
            </w:r>
          </w:p>
        </w:tc>
      </w:tr>
      <w:tr>
        <w:trPr>
          <w:cantSplit/>
        </w:trPr>
        <w:tc>
          <w:tcPr>
            <w:tcW w:type="dxa" w:w="1983"/>
          </w:tcPr>
          <w:p>
            <w:pPr>
              <w:spacing w:before="0" w:after="0"/>
            </w:pPr>
            <w:r>
              <w:rPr>
                <w:b/>
                <w:sz w:val="19"/>
              </w:rPr>
              <w:t>Stakeholder</w:t>
            </w:r>
          </w:p>
        </w:tc>
        <w:tc>
          <w:tcPr>
            <w:tcW w:type="dxa" w:w="5542"/>
          </w:tcPr>
          <w:p>
            <w:pPr>
              <w:spacing w:before="0" w:after="0"/>
            </w:pPr>
            <w:r>
              <w:rPr>
                <w:sz w:val="19"/>
              </w:rPr>
              <w:t>A person or department with an interest in a decision, such as marketing, compliance, IT or sales.</w:t>
            </w:r>
          </w:p>
        </w:tc>
        <w:tc>
          <w:tcPr>
            <w:tcW w:type="dxa" w:w="1184"/>
          </w:tcPr>
          <w:p>
            <w:pPr>
              <w:spacing w:before="0" w:after="0"/>
            </w:pPr>
            <w:r>
              <w:rPr>
                <w:sz w:val="19"/>
              </w:rPr>
              <w:t>—</w:t>
            </w:r>
          </w:p>
        </w:tc>
        <w:tc>
          <w:tcPr>
            <w:tcW w:type="dxa" w:w="929"/>
          </w:tcPr>
          <w:p>
            <w:pPr>
              <w:spacing w:before="0" w:after="0"/>
            </w:pPr>
            <w:r>
              <w:rPr>
                <w:sz w:val="19"/>
              </w:rPr>
              <w:t>Day 1</w:t>
            </w:r>
          </w:p>
        </w:tc>
      </w:tr>
      <w:tr>
        <w:trPr>
          <w:cantSplit/>
        </w:trPr>
        <w:tc>
          <w:tcPr>
            <w:tcW w:type="dxa" w:w="1983"/>
          </w:tcPr>
          <w:p>
            <w:pPr>
              <w:spacing w:before="0" w:after="0"/>
            </w:pPr>
            <w:r>
              <w:rPr>
                <w:b/>
                <w:sz w:val="19"/>
              </w:rPr>
              <w:t>Tone guide</w:t>
            </w:r>
          </w:p>
        </w:tc>
        <w:tc>
          <w:tcPr>
            <w:tcW w:type="dxa" w:w="5542"/>
          </w:tcPr>
          <w:p>
            <w:pPr>
              <w:spacing w:before="0" w:after="0"/>
            </w:pPr>
            <w:r>
              <w:rPr>
                <w:sz w:val="19"/>
              </w:rPr>
              <w:t>A short written rule for how a product speaks: which words, how formal, how it sounds when something goes wrong.</w:t>
            </w:r>
          </w:p>
        </w:tc>
        <w:tc>
          <w:tcPr>
            <w:tcW w:type="dxa" w:w="1184"/>
          </w:tcPr>
          <w:p>
            <w:pPr>
              <w:spacing w:before="0" w:after="0"/>
            </w:pPr>
            <w:r>
              <w:rPr>
                <w:sz w:val="19"/>
              </w:rPr>
              <w:t>—</w:t>
            </w:r>
          </w:p>
        </w:tc>
        <w:tc>
          <w:tcPr>
            <w:tcW w:type="dxa" w:w="929"/>
          </w:tcPr>
          <w:p>
            <w:pPr>
              <w:spacing w:before="0" w:after="0"/>
            </w:pPr>
            <w:r>
              <w:rPr>
                <w:sz w:val="19"/>
              </w:rPr>
              <w:t>Day 7</w:t>
            </w:r>
          </w:p>
        </w:tc>
      </w:tr>
      <w:tr>
        <w:trPr>
          <w:cantSplit/>
        </w:trPr>
        <w:tc>
          <w:tcPr>
            <w:tcW w:type="dxa" w:w="1983"/>
          </w:tcPr>
          <w:p>
            <w:pPr>
              <w:spacing w:before="0" w:after="0"/>
            </w:pPr>
            <w:r>
              <w:rPr>
                <w:b/>
                <w:sz w:val="19"/>
              </w:rPr>
              <w:t>Touchpoint</w:t>
            </w:r>
          </w:p>
        </w:tc>
        <w:tc>
          <w:tcPr>
            <w:tcW w:type="dxa" w:w="5542"/>
          </w:tcPr>
          <w:p>
            <w:pPr>
              <w:spacing w:before="0" w:after="0"/>
            </w:pPr>
            <w:r>
              <w:rPr>
                <w:sz w:val="19"/>
              </w:rPr>
              <w:t>Any place where a person meets the company: the website, the customer portal, the app, a chatbot or a phone call.</w:t>
            </w:r>
          </w:p>
        </w:tc>
        <w:tc>
          <w:tcPr>
            <w:tcW w:type="dxa" w:w="1184"/>
          </w:tcPr>
          <w:p>
            <w:pPr>
              <w:spacing w:before="0" w:after="0"/>
            </w:pPr>
            <w:r>
              <w:rPr>
                <w:sz w:val="19"/>
              </w:rPr>
              <w:t>—</w:t>
            </w:r>
          </w:p>
        </w:tc>
        <w:tc>
          <w:tcPr>
            <w:tcW w:type="dxa" w:w="929"/>
          </w:tcPr>
          <w:p>
            <w:pPr>
              <w:spacing w:before="0" w:after="0"/>
            </w:pPr>
            <w:r>
              <w:rPr>
                <w:sz w:val="19"/>
              </w:rPr>
              <w:t>Day 1</w:t>
            </w:r>
          </w:p>
        </w:tc>
      </w:tr>
      <w:tr>
        <w:trPr>
          <w:cantSplit/>
        </w:trPr>
        <w:tc>
          <w:tcPr>
            <w:tcW w:type="dxa" w:w="1983"/>
          </w:tcPr>
          <w:p>
            <w:pPr>
              <w:spacing w:before="0" w:after="0"/>
            </w:pPr>
            <w:r>
              <w:rPr>
                <w:b/>
                <w:sz w:val="19"/>
              </w:rPr>
              <w:t>UX (user experience)</w:t>
            </w:r>
          </w:p>
        </w:tc>
        <w:tc>
          <w:tcPr>
            <w:tcW w:type="dxa" w:w="5542"/>
          </w:tcPr>
          <w:p>
            <w:pPr>
              <w:spacing w:before="0" w:after="0"/>
            </w:pPr>
            <w:r>
              <w:rPr>
                <w:sz w:val="19"/>
              </w:rPr>
              <w:t>Everything a person goes through when using a product: what they notice, understand, feel and do, from the first look to the last step. The screens are only one part of it.</w:t>
            </w:r>
          </w:p>
        </w:tc>
        <w:tc>
          <w:tcPr>
            <w:tcW w:type="dxa" w:w="1184"/>
          </w:tcPr>
          <w:p>
            <w:pPr>
              <w:spacing w:before="0" w:after="0"/>
            </w:pPr>
            <w:r>
              <w:rPr>
                <w:sz w:val="19"/>
              </w:rPr>
              <w:t>Finding the booking you want at once and feeling sure it went through is a good UX.</w:t>
            </w:r>
          </w:p>
        </w:tc>
        <w:tc>
          <w:tcPr>
            <w:tcW w:type="dxa" w:w="929"/>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7</w:t>
            </w:r>
          </w:p>
        </w:tc>
        <w:tc>
          <w:tcPr>
            <w:tcW w:type="dxa" w:w="7102"/>
          </w:tcPr>
          <w:p>
            <w:pPr>
              <w:spacing w:before="0" w:after="0"/>
            </w:pPr>
            <w:r>
              <w:rPr>
                <w:sz w:val="20"/>
              </w:rPr>
              <w:t>https://aion-ux-lab.vercel.app/day/7/</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7 · Task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LifeSupport: UX Analysis File and UX Strategy Memo</dc:title>
  <dc:subject>DAY 7 · TASK 1 AND TASK 2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