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8" w:name="content"/>
    <w:bookmarkStart w:id="27" w:name="Xd6f50d10b0cc02ad1fa8c378655cf597bbfdf9a"/>
    <w:p>
      <w:pPr>
        <w:pStyle w:val="Heading1"/>
      </w:pPr>
      <w:r>
        <w:t xml:space="preserve">Guía de Manejo – Indicaciones del Dímero D en ETEV/TEP (Urgencias HM Montepríncipe)</w:t>
      </w:r>
    </w:p>
    <w:bookmarkStart w:id="21" w:name="concepto-de-dímero-d"/>
    <w:p>
      <w:pPr>
        <w:pStyle w:val="Heading2"/>
      </w:pPr>
      <w:r>
        <w:t xml:space="preserve">Concepto de Dímero D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b/>
          <w:bCs/>
        </w:rPr>
        <w:t xml:space="preserve">dímero D</w:t>
      </w:r>
      <w:r>
        <w:t xml:space="preserve"> </w:t>
      </w:r>
      <w:r>
        <w:t xml:space="preserve">es un fragmento proteico que resulta de la degradación de la fibrina. Sus niveles se elevan en procesos trombóticos (trombosis venosa profunda [TVP], tromboembolismo pulmonar [TEP]) y en multitud de situaciones (cirugía, embarazo, inflamación). Por ello, su utilidad principal es la</w:t>
      </w:r>
      <w:r>
        <w:t xml:space="preserve"> </w:t>
      </w:r>
      <w:r>
        <w:rPr>
          <w:b/>
          <w:bCs/>
        </w:rPr>
        <w:t xml:space="preserve">alta capacidad para excluir</w:t>
      </w:r>
      <w:r>
        <w:t xml:space="preserve"> </w:t>
      </w:r>
      <w:r>
        <w:t xml:space="preserve">enfermedad tromboembólica cuando es normal, pero tiene</w:t>
      </w:r>
      <w:r>
        <w:t xml:space="preserve"> </w:t>
      </w:r>
      <w:r>
        <w:rPr>
          <w:b/>
          <w:bCs/>
        </w:rPr>
        <w:t xml:space="preserve">baja especificidad</w:t>
      </w:r>
      <w:r>
        <w:t xml:space="preserve"> </w:t>
      </w:r>
      <w:r>
        <w:t xml:space="preserve">cuando está elevado.</w:t>
      </w:r>
    </w:p>
    <w:bookmarkEnd w:id="21"/>
    <w:bookmarkStart w:id="22" w:name="uso-en-la-trombosis-venosa-profunda-tvp"/>
    <w:p>
      <w:pPr>
        <w:pStyle w:val="Heading2"/>
      </w:pPr>
      <w:r>
        <w:t xml:space="preserve">Uso en la trombosis venosa profunda (TVP)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Estratificar la probabilidad clínica mediante la escala de Wells</w:t>
      </w:r>
      <w:r>
        <w:t xml:space="preserve"> </w:t>
      </w:r>
      <w:r>
        <w:t xml:space="preserve">(TVP):</w:t>
      </w:r>
    </w:p>
    <w:p>
      <w:pPr>
        <w:pStyle w:val="Compact"/>
        <w:numPr>
          <w:ilvl w:val="0"/>
          <w:numId w:val="1001"/>
        </w:numPr>
      </w:pPr>
      <w:r>
        <w:t xml:space="preserve">Cáncer activo, inmovilización reciente, sensibilidad del sistema venoso profundo, edema unilateral de pierna, aumento de perímetro &gt;3 cm, edema con fóvea, venas colaterales superficiales, antecedentes de TVP, reposo en cama ≥3 días o cirugía mayor reciente. Restar 2 puntos si el diagnóstico alternativo es al menos tan probable.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Baja probabilidad</w:t>
      </w:r>
      <w:r>
        <w:t xml:space="preserve">: ≤0 puntos;</w:t>
      </w:r>
      <w:r>
        <w:t xml:space="preserve"> </w:t>
      </w:r>
      <w:r>
        <w:rPr>
          <w:b/>
          <w:bCs/>
        </w:rPr>
        <w:t xml:space="preserve">probabilidad intermedia</w:t>
      </w:r>
      <w:r>
        <w:t xml:space="preserve">: 1–2 puntos;</w:t>
      </w:r>
      <w:r>
        <w:t xml:space="preserve"> </w:t>
      </w:r>
      <w:r>
        <w:rPr>
          <w:b/>
          <w:bCs/>
        </w:rPr>
        <w:t xml:space="preserve">probabilidad alta</w:t>
      </w:r>
      <w:r>
        <w:t xml:space="preserve">: ≥3 puntos.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Manejo según probabilidad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Baja</w:t>
      </w:r>
      <w:r>
        <w:t xml:space="preserve">: solicitar dímero D. Si es negativo, se descarta TVP y no se requieren pruebas de imagen. Si es positivo, realizar eco‑Doppler venoso.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Intermedia o alta</w:t>
      </w:r>
      <w:r>
        <w:t xml:space="preserve">: no realizar dímero D (poca utilidad); se realiza directamente</w:t>
      </w:r>
      <w:r>
        <w:t xml:space="preserve"> </w:t>
      </w:r>
      <w:r>
        <w:rPr>
          <w:b/>
          <w:bCs/>
        </w:rPr>
        <w:t xml:space="preserve">ecografía Doppler</w:t>
      </w:r>
      <w:r>
        <w:t xml:space="preserve"> </w:t>
      </w:r>
      <w:r>
        <w:t xml:space="preserve">de miembros inferiores.</w:t>
      </w:r>
    </w:p>
    <w:bookmarkEnd w:id="22"/>
    <w:bookmarkStart w:id="23" w:name="uso-en-el-tromboembolismo-pulmonar-tep"/>
    <w:p>
      <w:pPr>
        <w:pStyle w:val="Heading2"/>
      </w:pPr>
      <w:r>
        <w:t xml:space="preserve">Uso en el tromboembolismo pulmonar (TEP)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Calcular la escala de Wells para TEP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</w:t>
            </w:r>
          </w:p>
        </w:tc>
        <w:tc>
          <w:tcPr/>
          <w:p>
            <w:pPr>
              <w:pStyle w:val="Compact"/>
            </w:pPr>
            <w:r>
              <w:t xml:space="preserve">Puntos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 TEP es el diagnóstico más probable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Signos clínicos de TVP (tumefacción, dolor en pantorrilla)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Cirugía o inmovilización ≥3 días en las últimas 4 semanas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Frecuencia cardiaca &gt;100 lpm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Antecedentes de TEP/TVP</w:t>
            </w:r>
          </w:p>
        </w:tc>
        <w:tc>
          <w:tcPr/>
          <w:p>
            <w:pPr>
              <w:pStyle w:val="Compact"/>
            </w:pPr>
            <w:r>
              <w:t xml:space="preserve">1,5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Hemoptisis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Cáncer en tratamiento o paliación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La suma permite clasificar la probabilidad:</w:t>
      </w:r>
      <w:r>
        <w:t xml:space="preserve"> </w:t>
      </w:r>
      <w:r>
        <w:rPr>
          <w:b/>
          <w:bCs/>
        </w:rPr>
        <w:t xml:space="preserve">baja (0–1 punto)</w:t>
      </w:r>
      <w:r>
        <w:t xml:space="preserve">,</w:t>
      </w:r>
      <w:r>
        <w:t xml:space="preserve"> </w:t>
      </w:r>
      <w:r>
        <w:rPr>
          <w:b/>
          <w:bCs/>
        </w:rPr>
        <w:t xml:space="preserve">intermedia (2–6 puntos)</w:t>
      </w:r>
      <w:r>
        <w:t xml:space="preserve">,</w:t>
      </w:r>
      <w:r>
        <w:t xml:space="preserve"> </w:t>
      </w:r>
      <w:r>
        <w:rPr>
          <w:b/>
          <w:bCs/>
        </w:rPr>
        <w:t xml:space="preserve">alta (≥7 puntos)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Manejo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Probabilidad alta</w:t>
      </w:r>
      <w:r>
        <w:t xml:space="preserve">: realizar</w:t>
      </w:r>
      <w:r>
        <w:t xml:space="preserve"> </w:t>
      </w:r>
      <w:r>
        <w:rPr>
          <w:b/>
          <w:bCs/>
        </w:rPr>
        <w:t xml:space="preserve">angio‑TC pulmonar</w:t>
      </w:r>
      <w:r>
        <w:t xml:space="preserve"> </w:t>
      </w:r>
      <w:r>
        <w:t xml:space="preserve">(o angio‑RM/ventilación‑perfusión si hay contraindicaciones al contraste) sin determinar dímero D.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Probabilidad intermedia o baja</w:t>
      </w:r>
      <w:r>
        <w:t xml:space="preserve">: indicar dímero D. Si es negativo, descarta TEP con un valor predictivo negativo del 99 %. Si es positivo, se realiza angio‑TC pulmonar.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Nota</w:t>
      </w:r>
      <w:r>
        <w:t xml:space="preserve">: El dímero D no está indicado en otros contextos de urgencias (traumatismo, cirugía, sepsis), pues su positividad no aporta valor diagnóstico y puede inducir a pruebas innecesarias.</w:t>
      </w:r>
    </w:p>
    <w:bookmarkEnd w:id="23"/>
    <w:bookmarkStart w:id="25" w:name="ageadjusted-dímero-d"/>
    <w:p>
      <w:pPr>
        <w:pStyle w:val="Heading2"/>
      </w:pPr>
      <w:r>
        <w:t xml:space="preserve">Age‑adjusted Dímero D</w:t>
      </w:r>
    </w:p>
    <w:p>
      <w:pPr>
        <w:pStyle w:val="FirstParagraph"/>
      </w:pPr>
      <w:r>
        <w:t xml:space="preserve">Los valores de dímero D aumentan con la edad. Diversas guías internacionales recomiendan utilizar un</w:t>
      </w:r>
      <w:r>
        <w:t xml:space="preserve"> </w:t>
      </w:r>
      <w:r>
        <w:rPr>
          <w:b/>
          <w:bCs/>
        </w:rPr>
        <w:t xml:space="preserve">punto de corte ajustado a la edad</w:t>
      </w:r>
      <w:r>
        <w:t xml:space="preserve"> </w:t>
      </w:r>
      <w:r>
        <w:t xml:space="preserve">(edad × 10 µg/L para pacientes ≥50 años) en lugar del umbral estándar de 500 µg/L. Esto reduce falsos positivos y evita pruebas de imagen innecesarias en pacientes de baja probabilidad</w:t>
      </w:r>
      <w:hyperlink r:id="rId24">
        <w:r>
          <w:rPr>
            <w:rStyle w:val="Hyperlink"/>
          </w:rPr>
          <w:t xml:space="preserve">[1]</w:t>
        </w:r>
      </w:hyperlink>
      <w:r>
        <w:t xml:space="preserve">.</w:t>
      </w:r>
    </w:p>
    <w:bookmarkEnd w:id="25"/>
    <w:bookmarkStart w:id="26" w:name="actualización-bibliográfica"/>
    <w:p>
      <w:pPr>
        <w:pStyle w:val="Heading2"/>
      </w:pPr>
      <w:r>
        <w:t xml:space="preserve">Actualización bibliográfica</w:t>
      </w:r>
    </w:p>
    <w:p>
      <w:pPr>
        <w:pStyle w:val="FirstParagraph"/>
      </w:pPr>
      <w:r>
        <w:t xml:space="preserve">Los protocolos de uso del dímero D se integran en las guías internacionales para la enfermedad tromboembólica venosa. Una revisión de guías de 2024 resalta que todas recomiendan emplear el dímero D en pacientes con</w:t>
      </w:r>
      <w:r>
        <w:t xml:space="preserve"> </w:t>
      </w:r>
      <w:r>
        <w:rPr>
          <w:b/>
          <w:bCs/>
        </w:rPr>
        <w:t xml:space="preserve">probabilidad clínica baja</w:t>
      </w:r>
      <w:r>
        <w:t xml:space="preserve"> </w:t>
      </w:r>
      <w:r>
        <w:t xml:space="preserve">y aplicar puntos de corte ajustados a la edad</w:t>
      </w:r>
      <w:hyperlink r:id="rId24">
        <w:r>
          <w:rPr>
            <w:rStyle w:val="Hyperlink"/>
          </w:rPr>
          <w:t xml:space="preserve">[1]</w:t>
        </w:r>
      </w:hyperlink>
      <w:r>
        <w:t xml:space="preserve">. Es aconsejable revisar las guías de la ESC/ACC y la SEMES para incorporar los valores ajustados y algoritmos actualizados, y descartar su uso en situaciones no relacionadas con la trombosis venosa.</w:t>
      </w:r>
    </w:p>
    <w:bookmarkEnd w:id="26"/>
    <w:bookmarkEnd w:id="27"/>
    <w:bookmarkEnd w:id="28"/>
    <w:p>
      <w:r>
        <w:pict>
          <v:rect style="width:0;height:1.5pt" o:hralign="center" o:hrstd="t" o:hr="t"/>
        </w:pict>
      </w:r>
    </w:p>
    <w:bookmarkStart w:id="30" w:name="citations"/>
    <w:p>
      <w:pPr>
        <w:pStyle w:val="FirstParagraph"/>
      </w:pPr>
      <w:hyperlink r:id="rId24">
        <w:r>
          <w:rPr>
            <w:rStyle w:val="Hyperlink"/>
          </w:rPr>
          <w:t xml:space="preserve">[1]</w:t>
        </w:r>
      </w:hyperlink>
      <w:r>
        <w:t xml:space="preserve"> </w:t>
      </w:r>
      <w:r>
        <w:t xml:space="preserve">Pulmonary Embolism Guideline Comparison: Key Points - American College of Cardiology</w:t>
      </w:r>
    </w:p>
    <w:p>
      <w:pPr>
        <w:pStyle w:val="BodyText"/>
      </w:pPr>
      <w:hyperlink r:id="rId29">
        <w:r>
          <w:rPr>
            <w:rStyle w:val="Hyperlink"/>
          </w:rPr>
          <w:t xml:space="preserve">https://www.acc.org/Latest-in-Cardiology/ten-points-to-remember/2024/10/07/15/41/international-clinical-practice</w:t>
        </w:r>
      </w:hyperlink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9" Target="https://www.acc.org/Latest-in-Cardiology/ten-points-to-remember/2024/10/07/15/41/international-clinical-practice" TargetMode="External" /><Relationship Type="http://schemas.openxmlformats.org/officeDocument/2006/relationships/hyperlink" Id="rId24" Target="https://www.acc.org/Latest-in-Cardiology/ten-points-to-remember/2024/10/07/15/41/international-clinical-practice#:~:text=2,adjusted%20cutoff%20for%20patients%20age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www.acc.org/Latest-in-Cardiology/ten-points-to-remember/2024/10/07/15/41/international-clinical-practice" TargetMode="External" /><Relationship Type="http://schemas.openxmlformats.org/officeDocument/2006/relationships/hyperlink" Id="rId24" Target="https://www.acc.org/Latest-in-Cardiology/ten-points-to-remember/2024/10/07/15/41/international-clinical-practice#:~:text=2,adjusted%20cutoff%20for%20patients%20age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2025-08-18T12:38:04Z</dcterms:created>
  <dcterms:modified xsi:type="dcterms:W3CDTF">2025-08-18T12:38:04Z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