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A3558"/>
          <w:sz w:val="40"/>
          <w:szCs w:val="40"/>
        </w:rPr>
        <w:t xml:space="preserve">SALES PERFORMANCE REVIEW</w:t>
      </w:r>
    </w:p>
    <w:p>
      <w:pPr>
        <w:spacing w:after="30" w:before="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Superstore  |  Fiscal Years 2014 to 2017</w:t>
      </w:r>
    </w:p>
    <w:p>
      <w:pPr>
        <w:pBdr>
          <w:bottom w:val="single" w:color="1A3558" w:sz="8" w:space="8"/>
        </w:pBdr>
        <w:spacing w:after="180" w:before="0"/>
        <w:jc w:val="lef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Prepared: June 2026   |   Confidential</w:t>
      </w:r>
    </w:p>
    <w:p>
      <w:pPr>
        <w:pBdr>
          <w:bottom w:val="single" w:color="D0D8E4" w:sz="4" w:space="5"/>
        </w:pBdr>
        <w:spacing w:after="70" w:before="220"/>
      </w:pPr>
      <w:r>
        <w:rPr>
          <w:rFonts w:ascii="Arial" w:cs="Arial" w:eastAsia="Arial" w:hAnsi="Arial"/>
          <w:b/>
          <w:bCs/>
          <w:caps/>
          <w:color w:val="1A3558"/>
          <w:sz w:val="24"/>
          <w:szCs w:val="24"/>
        </w:rPr>
        <w:t xml:space="preserve">Executive Summary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report covers company sales from January 2014 through December 2017. Over the four-year period, the business generated $2.3 million in revenue across 5,009 orders, serving 793 customers and 1,862 products. Total profit reached $286,000, representing a net margin of 12.5%.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Revenue nearly doubled over the period, rising from $484,000 in 2014 to $733,000 in 2017. That growth, however, obscures three structural problems that are measurably suppressing profitability: an uncontrolled discounting policy, a loss-generating Furniture category, and five states where operations consistently run at a loss. Each of these is correctable.</w:t>
      </w:r>
    </w:p>
    <w:p>
      <w:pPr>
        <w:pBdr>
          <w:bottom w:val="single" w:color="D0D8E4" w:sz="4" w:space="5"/>
        </w:pBdr>
        <w:spacing w:after="70" w:before="220"/>
      </w:pPr>
      <w:r>
        <w:rPr>
          <w:rFonts w:ascii="Arial" w:cs="Arial" w:eastAsia="Arial" w:hAnsi="Arial"/>
          <w:b/>
          <w:bCs/>
          <w:caps/>
          <w:color w:val="1A3558"/>
          <w:sz w:val="24"/>
          <w:szCs w:val="24"/>
        </w:rPr>
        <w:t xml:space="preserve">Key Findings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Furniture category accounts for 32% of total revenue ($741,000) but produces only $18,000 in profit, a 2.5% margin. Within it, Tables generated a loss of $17,700 and Bookcases a loss of $3,500, together erasing $21,200 in profit. The category is consuming operational resources while contributing almost nothing to the bottom line.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Discounts above 20% are the single largest driver of losses. Transactions discounted between 21% and 30% carry a 91.6% loss rate; those above 50% lose money on every single transaction. Combined, discounts above this threshold have produced $135,000 in negative profit. By comparison, transactions with no discount generated $320,000 in positive profit over the same period.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Five states are consistently unprofitable: Texas ($25,700 loss on $170,000 in revenue), Ohio ($17,000 loss), Pennsylvania ($15,600 loss), Illinois ($12,600 loss), and North Carolina ($7,500 loss). Together they account for $78,400 in cumulative losses against $500,000 in revenue, with no mechanism currently in place to correct the trend.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Two additional observations are worth noting. Q4 accounts for 38% of annual revenue and 39% of annual profit; a single weak fourth quarter would materially damage full-year results. Separately, the Home Office segment, with only 148 customers, delivers a 14.0% profit margin, the highest of any customer segment and well above the Consumer segment's 11.5%.</w:t>
      </w:r>
    </w:p>
    <w:p>
      <w:pPr>
        <w:pBdr>
          <w:bottom w:val="single" w:color="D0D8E4" w:sz="4" w:space="5"/>
        </w:pBdr>
        <w:spacing w:after="70" w:before="220"/>
      </w:pPr>
      <w:r>
        <w:rPr>
          <w:rFonts w:ascii="Arial" w:cs="Arial" w:eastAsia="Arial" w:hAnsi="Arial"/>
          <w:b/>
          <w:bCs/>
          <w:caps/>
          <w:color w:val="1A3558"/>
          <w:sz w:val="24"/>
          <w:szCs w:val="24"/>
        </w:rPr>
        <w:t xml:space="preserve">Recommendations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first and most impactful action is to set a firm 20% ceiling on discounts, with any exceptions requiring documented management approval. Enforcing this cap is projected to recover approximately $135,000 in annual profit and can be implemented immediately.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second action is a structured review of the Furniture category, with specific attention to Tables and Bookcases. If these two sub-categories reach the company's overall average margin of 12.5%, the gain would be approximately $61,000. If that target cannot be reached through repricing or supplier renegotiation, discontinuation of the worst-performing SKUs should be considered.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third action is a market-level review for the five loss-making states. Each should be examined to determine whether losses stem from account-level discounting, freight costs, or product mix, with corrective pricing applied accordingly.</w:t>
      </w:r>
    </w:p>
    <w:p>
      <w:pPr>
        <w:pBdr>
          <w:bottom w:val="single" w:color="D0D8E4" w:sz="4" w:space="5"/>
        </w:pBdr>
        <w:spacing w:after="70" w:before="220"/>
      </w:pPr>
      <w:r>
        <w:rPr>
          <w:rFonts w:ascii="Arial" w:cs="Arial" w:eastAsia="Arial" w:hAnsi="Arial"/>
          <w:b/>
          <w:bCs/>
          <w:caps/>
          <w:color w:val="1A3558"/>
          <w:sz w:val="24"/>
          <w:szCs w:val="24"/>
        </w:rPr>
        <w:t xml:space="preserve">Bottom Line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Implementing the first two actions alone is estimated to raise total profit from $286,000 to approximately $482,000, a 68% improvement with no additional sales volume required. The revenue base is solid. What the business needs at this stage is tighter execution at the transaction level, not more transactions.</w:t>
      </w:r>
    </w:p>
    <w:p>
      <w:pPr>
        <w:pBdr>
          <w:top w:val="single" w:color="CCCCCC" w:sz="3" w:space="6"/>
        </w:pBdr>
        <w:spacing w:after="0" w:before="12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Data source: 9,986 transaction line items across 5,009 orders, 793 customers, and 1,862 products. January 2014 through December 2017.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2026-06-15T14:23:06.259Z</dcterms:created>
  <dcterms:modified xsi:type="dcterms:W3CDTF">2026-06-15T14:23:06.259Z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