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eastore部署文档"/>
    <w:p>
      <w:pPr>
        <w:pStyle w:val="1"/>
      </w:pPr>
      <w:r>
        <w:t xml:space="preserve">TeaStore部署文档</w:t>
      </w:r>
    </w:p>
    <w:bookmarkStart w:id="20" w:name="docker-手动配置参数"/>
    <w:p>
      <w:pPr>
        <w:pStyle w:val="2"/>
      </w:pPr>
      <w:r>
        <w:t xml:space="preserve">docker 手动配置参数</w:t>
      </w:r>
    </w:p>
    <w:p>
      <w:pPr>
        <w:numPr>
          <w:ilvl w:val="0"/>
          <w:numId w:val="1001"/>
        </w:numPr>
        <w:pStyle w:val="Compact"/>
      </w:pPr>
      <w:r>
        <w:t xml:space="preserve">环境要求</w:t>
      </w:r>
    </w:p>
    <w:p>
      <w:pPr>
        <w:numPr>
          <w:ilvl w:val="1"/>
          <w:numId w:val="1002"/>
        </w:numPr>
        <w:pStyle w:val="Compact"/>
      </w:pPr>
      <w:r>
        <w:t xml:space="preserve">安装docker与dockers hub</w:t>
      </w:r>
    </w:p>
    <w:p>
      <w:pPr>
        <w:numPr>
          <w:ilvl w:val="1"/>
          <w:numId w:val="1002"/>
        </w:numPr>
        <w:pStyle w:val="Compact"/>
      </w:pPr>
      <w:r>
        <w:t xml:space="preserve">克隆仓库到本地</w:t>
      </w:r>
      <w:r>
        <w:rPr>
          <w:rStyle w:val="VerbatimChar"/>
        </w:rPr>
        <w:t xml:space="preserve">git clone https://github.com/DescartesResearch/TeaStore</w:t>
      </w:r>
    </w:p>
    <w:p>
      <w:pPr>
        <w:numPr>
          <w:ilvl w:val="0"/>
          <w:numId w:val="1001"/>
        </w:numPr>
        <w:pStyle w:val="Compact"/>
      </w:pPr>
      <w:r>
        <w:t xml:space="preserve">参数配置</w:t>
      </w:r>
    </w:p>
    <w:p>
      <w:pPr>
        <w:numPr>
          <w:ilvl w:val="1"/>
          <w:numId w:val="1003"/>
        </w:numPr>
        <w:pStyle w:val="Compact"/>
      </w:pPr>
      <w:r>
        <w:rPr>
          <w:iCs/>
          <w:i/>
        </w:rPr>
        <w:t xml:space="preserve">REGISTRY_HOST</w:t>
      </w:r>
      <w:r>
        <w:t xml:space="preserve"> </w:t>
      </w:r>
      <w:r>
        <w:t xml:space="preserve">: 运行注册表容器的计算机的主机名或 IP。</w:t>
      </w:r>
    </w:p>
    <w:p>
      <w:pPr>
        <w:numPr>
          <w:ilvl w:val="1"/>
          <w:numId w:val="1003"/>
        </w:numPr>
        <w:pStyle w:val="Compact"/>
      </w:pPr>
      <w:r>
        <w:rPr>
          <w:iCs/>
          <w:i/>
        </w:rPr>
        <w:t xml:space="preserve">REGISTRY_PORT</w:t>
      </w:r>
      <w:r>
        <w:t xml:space="preserve"> </w:t>
      </w:r>
      <w:r>
        <w:t xml:space="preserve">: 运行注册表容器的计算机的端口。</w:t>
      </w:r>
    </w:p>
    <w:p>
      <w:pPr>
        <w:numPr>
          <w:ilvl w:val="1"/>
          <w:numId w:val="1003"/>
        </w:numPr>
        <w:pStyle w:val="Compact"/>
      </w:pPr>
      <w:r>
        <w:rPr>
          <w:iCs/>
          <w:i/>
        </w:rPr>
        <w:t xml:space="preserve">HOST_NAME</w:t>
      </w:r>
      <w:r>
        <w:t xml:space="preserve"> </w:t>
      </w:r>
      <w:r>
        <w:t xml:space="preserve">: 将运行容器的计算机的主机名或 IP。</w:t>
      </w:r>
    </w:p>
    <w:p>
      <w:pPr>
        <w:numPr>
          <w:ilvl w:val="1"/>
          <w:numId w:val="1003"/>
        </w:numPr>
        <w:pStyle w:val="Compact"/>
      </w:pPr>
      <w:r>
        <w:rPr>
          <w:iCs/>
          <w:i/>
        </w:rPr>
        <w:t xml:space="preserve">SERVICE_PORT</w:t>
      </w:r>
      <w:r>
        <w:t xml:space="preserve"> </w:t>
      </w:r>
      <w:r>
        <w:t xml:space="preserve">: 将运行容器并通过 发布的计算机的端口。该服务将使用此端口在注册表中注册。</w:t>
      </w:r>
      <w:r>
        <w:rPr>
          <w:rStyle w:val="VerbatimChar"/>
        </w:rPr>
        <w:t xml:space="preserve">-p</w:t>
      </w:r>
      <w:r>
        <w:t xml:space="preserve">.</w:t>
      </w:r>
    </w:p>
    <w:p>
      <w:pPr>
        <w:numPr>
          <w:ilvl w:val="1"/>
          <w:numId w:val="1003"/>
        </w:numPr>
        <w:pStyle w:val="Compact"/>
      </w:pPr>
      <w:r>
        <w:rPr>
          <w:iCs/>
          <w:i/>
        </w:rPr>
        <w:t xml:space="preserve">DB_HOST</w:t>
      </w:r>
      <w:r>
        <w:t xml:space="preserve"> </w:t>
      </w:r>
      <w:r>
        <w:t xml:space="preserve">: 运行数据库的计算机的主机名或 IP（仅用于持久性服务）。</w:t>
      </w:r>
    </w:p>
    <w:p>
      <w:pPr>
        <w:numPr>
          <w:ilvl w:val="1"/>
          <w:numId w:val="1003"/>
        </w:numPr>
        <w:pStyle w:val="Compact"/>
      </w:pPr>
      <w:r>
        <w:rPr>
          <w:iCs/>
          <w:i/>
        </w:rPr>
        <w:t xml:space="preserve">DB_PORT</w:t>
      </w:r>
      <w:r>
        <w:t xml:space="preserve"> </w:t>
      </w:r>
      <w:r>
        <w:t xml:space="preserve">: 数据库绑定到的端口（仅用于持久性服务）。</w:t>
      </w:r>
    </w:p>
    <w:p>
      <w:pPr>
        <w:numPr>
          <w:ilvl w:val="1"/>
          <w:numId w:val="1003"/>
        </w:numPr>
        <w:pStyle w:val="Compact"/>
      </w:pPr>
      <w:r>
        <w:rPr>
          <w:iCs/>
          <w:i/>
        </w:rPr>
        <w:t xml:space="preserve">PROXY_NAME</w:t>
      </w:r>
      <w:r>
        <w:t xml:space="preserve"> </w:t>
      </w:r>
      <w:r>
        <w:t xml:space="preserve">: 前端负载均衡器代理的名称（仅当 WebUI 使用前端负载均衡器时才需要）。</w:t>
      </w:r>
    </w:p>
    <w:p>
      <w:pPr>
        <w:numPr>
          <w:ilvl w:val="1"/>
          <w:numId w:val="1003"/>
        </w:numPr>
        <w:pStyle w:val="Compact"/>
      </w:pPr>
      <w:r>
        <w:rPr>
          <w:iCs/>
          <w:i/>
        </w:rPr>
        <w:t xml:space="preserve">PROXY_PORT</w:t>
      </w:r>
      <w:r>
        <w:t xml:space="preserve"> </w:t>
      </w:r>
      <w:r>
        <w:t xml:space="preserve">: 前端负载均衡器代理的端口（仅当 WebUI 使用前端负载均衡器时才需要）。</w:t>
      </w:r>
    </w:p>
    <w:p>
      <w:pPr>
        <w:numPr>
          <w:ilvl w:val="1"/>
          <w:numId w:val="1003"/>
        </w:numPr>
        <w:pStyle w:val="Compact"/>
      </w:pPr>
      <w:r>
        <w:rPr>
          <w:iCs/>
          <w:i/>
        </w:rPr>
        <w:t xml:space="preserve">RECOMMENDER_RETRAIN_LOOP_TIME</w:t>
      </w:r>
      <w:r>
        <w:t xml:space="preserve"> </w:t>
      </w:r>
      <w:r>
        <w:t xml:space="preserve">: 建议者在重新训练之前等待的时间（以毫秒为单位）。（推荐器的可选参数，默认设置为 0（禁用））。</w:t>
      </w:r>
    </w:p>
    <w:p>
      <w:pPr>
        <w:numPr>
          <w:ilvl w:val="1"/>
          <w:numId w:val="1003"/>
        </w:numPr>
        <w:pStyle w:val="Compact"/>
      </w:pPr>
      <w:r>
        <w:rPr>
          <w:iCs/>
          <w:i/>
        </w:rPr>
        <w:t xml:space="preserve">RECOMMENDER_ALGORITHM</w:t>
      </w:r>
      <w:r>
        <w:t xml:space="preserve"> </w:t>
      </w:r>
      <w:r>
        <w:t xml:space="preserve">: 推荐算法，有效值：</w:t>
      </w:r>
      <w:r>
        <w:t xml:space="preserve">“</w:t>
      </w:r>
      <w:r>
        <w:t xml:space="preserve">受欢迎程度</w:t>
      </w:r>
      <w:r>
        <w:t xml:space="preserve">”</w:t>
      </w:r>
      <w:r>
        <w:t xml:space="preserve">，</w:t>
      </w:r>
      <w:r>
        <w:t xml:space="preserve">“</w:t>
      </w:r>
      <w:r>
        <w:t xml:space="preserve">SlopeOne</w:t>
      </w:r>
      <w:r>
        <w:t xml:space="preserve">”</w:t>
      </w:r>
      <w:r>
        <w:t xml:space="preserve">，</w:t>
      </w:r>
      <w:r>
        <w:t xml:space="preserve">“</w:t>
      </w:r>
      <w:r>
        <w:t xml:space="preserve">预处理的SlopeOne</w:t>
      </w:r>
      <w:r>
        <w:t xml:space="preserve">”</w:t>
      </w:r>
      <w:r>
        <w:t xml:space="preserve">，</w:t>
      </w:r>
      <w:r>
        <w:t xml:space="preserve">“</w:t>
      </w:r>
      <w:r>
        <w:t xml:space="preserve">基于订单</w:t>
      </w:r>
      <w:r>
        <w:t xml:space="preserve">”</w:t>
      </w:r>
      <w:r>
        <w:t xml:space="preserve">。（推荐器的可选参数，默认设置为”SlopeOne”）。</w:t>
      </w:r>
    </w:p>
    <w:p>
      <w:pPr>
        <w:numPr>
          <w:ilvl w:val="0"/>
          <w:numId w:val="1001"/>
        </w:numPr>
        <w:pStyle w:val="Compact"/>
      </w:pPr>
      <w:r>
        <w:t xml:space="preserve">启动服务的命令</w:t>
      </w:r>
    </w:p>
    <w:p>
      <w:pPr>
        <w:numPr>
          <w:ilvl w:val="1"/>
          <w:numId w:val="1004"/>
        </w:numPr>
        <w:pStyle w:val="Compact"/>
      </w:pPr>
      <w:r>
        <w:t xml:space="preserve">注册表服务</w:t>
      </w:r>
      <w:r>
        <w:t xml:space="preserve"> </w:t>
      </w:r>
      <w:r>
        <w:rPr>
          <w:rStyle w:val="VerbatimChar"/>
        </w:rPr>
        <w:t xml:space="preserve">docker run -e "HOST_NAME=10.1.2.3" -e "SERVICE_PORT=10000" -p 10000:8080 -d descartesresearch/teastore-registry</w:t>
      </w:r>
    </w:p>
    <w:p>
      <w:pPr>
        <w:numPr>
          <w:ilvl w:val="1"/>
          <w:numId w:val="1004"/>
        </w:numPr>
        <w:pStyle w:val="Compact"/>
      </w:pPr>
      <w:r>
        <w:t xml:space="preserve">数据库服务: The database container is needed for the persistence service and can be started with the following command.</w:t>
      </w:r>
      <w:r>
        <w:t xml:space="preserve"> </w:t>
      </w:r>
      <w:r>
        <w:t xml:space="preserve">The image comes preconfigured and no configuration is necessary. This step can be skipped if you use your own MySQL or MariaDB. The host name or IP of your database server/container must be known to start the persistence service correctly.</w:t>
      </w:r>
      <w:r>
        <w:t xml:space="preserve"> </w:t>
      </w:r>
      <w:r>
        <w:rPr>
          <w:rStyle w:val="VerbatimChar"/>
        </w:rPr>
        <w:t xml:space="preserve">docker run -p 3306:3306 -d descartesresearch/teastore-db</w:t>
      </w:r>
    </w:p>
    <w:p>
      <w:pPr>
        <w:numPr>
          <w:ilvl w:val="1"/>
          <w:numId w:val="1004"/>
        </w:numPr>
        <w:pStyle w:val="Compact"/>
      </w:pPr>
      <w:r>
        <w:t xml:space="preserve">持续服务</w:t>
      </w:r>
      <w:r>
        <w:t xml:space="preserve"> </w:t>
      </w:r>
      <w:r>
        <w:rPr>
          <w:rStyle w:val="VerbatimChar"/>
        </w:rPr>
        <w:t xml:space="preserve">docker run -e "REGISTRY_HOST=10.1.2.3" -e "REGISTRY_PORT=10000" -e "HOST_NAME=10.1.2.30" -e "SERVICE_PORT=1111" -e "DB_HOST=10.1.2.20" -e "DB_PORT=3306" -p 1111:8080 -d descartesresearch/teastore-persistence</w:t>
      </w:r>
    </w:p>
    <w:p>
      <w:pPr>
        <w:numPr>
          <w:ilvl w:val="1"/>
          <w:numId w:val="1004"/>
        </w:numPr>
        <w:pStyle w:val="Compact"/>
      </w:pPr>
      <w:r>
        <w:t xml:space="preserve">商店服务</w:t>
      </w:r>
      <w:r>
        <w:t xml:space="preserve"> </w:t>
      </w:r>
      <w:r>
        <w:rPr>
          <w:rStyle w:val="VerbatimChar"/>
        </w:rPr>
        <w:t xml:space="preserve">docker run -e "REGISTRY_HOST=10.1.2.3" -e "REGISTRY_PORT=10000" -e "HOST_NAME=10.1.2.30" -e "SERVICE_PORT=2222" -p 2222:8080 -d descartesresearch/teastore-auth</w:t>
      </w:r>
    </w:p>
    <w:p>
      <w:pPr>
        <w:numPr>
          <w:ilvl w:val="1"/>
          <w:numId w:val="1004"/>
        </w:numPr>
        <w:pStyle w:val="Compact"/>
      </w:pPr>
      <w:r>
        <w:t xml:space="preserve">推荐服务</w:t>
      </w:r>
      <w:r>
        <w:t xml:space="preserve"> </w:t>
      </w:r>
      <w:r>
        <w:rPr>
          <w:rStyle w:val="VerbatimChar"/>
        </w:rPr>
        <w:t xml:space="preserve">docker run -e "REGISTRY_HOST=10.1.2.3" -e "REGISTRY_PORT=10000" -e "HOST_NAME=10.1.2.30" -e "SERVICE_PORT=3333" -p 3333:8080 -d descartesresearch/teastore-recommender</w:t>
      </w:r>
    </w:p>
    <w:p>
      <w:pPr>
        <w:numPr>
          <w:ilvl w:val="1"/>
          <w:numId w:val="1004"/>
        </w:numPr>
        <w:pStyle w:val="Compact"/>
      </w:pPr>
      <w:r>
        <w:t xml:space="preserve">图片提供服务</w:t>
      </w:r>
      <w:r>
        <w:t xml:space="preserve"> </w:t>
      </w:r>
      <w:r>
        <w:rPr>
          <w:rStyle w:val="VerbatimChar"/>
        </w:rPr>
        <w:t xml:space="preserve">docker run -e "REGISTRY_HOST=10.1.2.3" -e "REGISTRY_PORT=10000" -e "HOST_NAME=10.1.2.30" -e "SERVICE_PORT=4444" -p 4444:8080 -d descartesresearch/teastore-image</w:t>
      </w:r>
    </w:p>
    <w:p>
      <w:pPr>
        <w:numPr>
          <w:ilvl w:val="1"/>
          <w:numId w:val="1004"/>
        </w:numPr>
        <w:pStyle w:val="Compact"/>
      </w:pPr>
      <w:r>
        <w:t xml:space="preserve">网页交互服务</w:t>
      </w:r>
      <w:r>
        <w:t xml:space="preserve"> </w:t>
      </w:r>
      <w:r>
        <w:rPr>
          <w:rStyle w:val="VerbatimChar"/>
        </w:rPr>
        <w:t xml:space="preserve">docker run -e "REGISTRY_HOST=10.1.2.3" -e "REGISTRY_PORT=10000" -e "HOST_NAME=10.1.2.30" -e "SERVICE_PORT=8080" -p 8080:8080 -d descartesresearch/teastore-webui</w:t>
      </w:r>
    </w:p>
    <w:p>
      <w:pPr>
        <w:numPr>
          <w:ilvl w:val="0"/>
          <w:numId w:val="1001"/>
        </w:numPr>
        <w:pStyle w:val="Compact"/>
      </w:pPr>
      <w:r>
        <w:t xml:space="preserve">服务启动展示</w:t>
      </w:r>
    </w:p>
    <w:p>
      <w:pPr>
        <w:pStyle w:val="FirstParagraph"/>
      </w:pPr>
      <w:r>
        <w:t xml:space="preserve">访问</w:t>
      </w:r>
      <w:r>
        <w:rPr>
          <w:rStyle w:val="VerbatimChar"/>
        </w:rPr>
        <w:t xml:space="preserve">localhost:8080/</w:t>
      </w:r>
      <w:r>
        <w:t xml:space="preserve">网页交互服务，可以看到一个茶叶电商平台</w:t>
      </w:r>
    </w:p>
    <w:bookmarkEnd w:id="20"/>
    <w:bookmarkStart w:id="21" w:name="docker-compose-自动配置"/>
    <w:p>
      <w:pPr>
        <w:pStyle w:val="2"/>
      </w:pPr>
      <w:r>
        <w:t xml:space="preserve">docker compose 自动配置</w:t>
      </w:r>
    </w:p>
    <w:p>
      <w:pPr>
        <w:pStyle w:val="FirstParagraph"/>
      </w:pPr>
      <w:r>
        <w:t xml:space="preserve">TeaStore系统提供了自动配置的功能，在目录…/TeaStore-master下，执行</w:t>
      </w:r>
      <w:r>
        <w:rPr>
          <w:rStyle w:val="VerbatimChar"/>
        </w:rPr>
        <w:t xml:space="preserve">docker-compose -f ./examples/docker/docker-compose_kieker.yaml up -d</w:t>
      </w:r>
      <w:r>
        <w:t xml:space="preserve">命令，可以达到与手动部署一样的效果。</w:t>
      </w:r>
    </w:p>
    <w:bookmarkEnd w:id="21"/>
    <w:bookmarkEnd w:id="22"/>
    <w:sectPr w:rsidR="0039616D" w:rsidSect="00760EE5">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1446E50"/>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A5E6EEEA"/>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8312EC46"/>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5A4C803E"/>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CB04DA7A"/>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229299F0"/>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35847150"/>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227C5346"/>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10EA333C"/>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674416D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4747DB1"/>
    <w:multiLevelType w:val="hybridMultilevel"/>
    <w:tmpl w:val="AA842460"/>
    <w:lvl w:ilvl="0" w:tplc="1FF43B6C">
      <w:start w:val="1"/>
      <w:numFmt w:val="bullet"/>
      <w:lvlText w:val=""/>
      <w:lvlJc w:val="left"/>
      <w:pPr>
        <w:ind w:hanging="420" w:left="420"/>
      </w:pPr>
      <w:rPr>
        <w:rFonts w:ascii="Wingdings" w:hAnsi="Wingdings" w:hint="default"/>
      </w:rPr>
    </w:lvl>
    <w:lvl w:ilvl="1" w:tentative="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15:restartNumberingAfterBreak="0" w:abstractNumId="11">
    <w:nsid w:val="170CD2DE"/>
    <w:multiLevelType w:val="multilevel"/>
    <w:tmpl w:val="67D842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359F511F"/>
    <w:multiLevelType w:val="hybridMultilevel"/>
    <w:tmpl w:val="C694A7F6"/>
    <w:lvl w:ilvl="0" w:tplc="08FC2518">
      <w:start w:val="1"/>
      <w:numFmt w:val="bullet"/>
      <w:lvlText w:val=""/>
      <w:lvlJc w:val="left"/>
      <w:pPr>
        <w:ind w:hanging="420" w:left="1265"/>
      </w:pPr>
      <w:rPr>
        <w:rFonts w:ascii="Wingdings" w:hAnsi="Wingdings" w:hint="default"/>
      </w:rPr>
    </w:lvl>
    <w:lvl w:ilvl="1" w:tentative="1" w:tplc="04090003">
      <w:start w:val="1"/>
      <w:numFmt w:val="bullet"/>
      <w:lvlText w:val=""/>
      <w:lvlJc w:val="left"/>
      <w:pPr>
        <w:ind w:hanging="420" w:left="1685"/>
      </w:pPr>
      <w:rPr>
        <w:rFonts w:ascii="Wingdings" w:hAnsi="Wingdings" w:hint="default"/>
      </w:rPr>
    </w:lvl>
    <w:lvl w:ilvl="2" w:tentative="1" w:tplc="04090005">
      <w:start w:val="1"/>
      <w:numFmt w:val="bullet"/>
      <w:lvlText w:val=""/>
      <w:lvlJc w:val="left"/>
      <w:pPr>
        <w:ind w:hanging="420" w:left="2105"/>
      </w:pPr>
      <w:rPr>
        <w:rFonts w:ascii="Wingdings" w:hAnsi="Wingdings" w:hint="default"/>
      </w:rPr>
    </w:lvl>
    <w:lvl w:ilvl="3" w:tentative="1" w:tplc="04090001">
      <w:start w:val="1"/>
      <w:numFmt w:val="bullet"/>
      <w:lvlText w:val=""/>
      <w:lvlJc w:val="left"/>
      <w:pPr>
        <w:ind w:hanging="420" w:left="2525"/>
      </w:pPr>
      <w:rPr>
        <w:rFonts w:ascii="Wingdings" w:hAnsi="Wingdings" w:hint="default"/>
      </w:rPr>
    </w:lvl>
    <w:lvl w:ilvl="4" w:tentative="1" w:tplc="04090003">
      <w:start w:val="1"/>
      <w:numFmt w:val="bullet"/>
      <w:lvlText w:val=""/>
      <w:lvlJc w:val="left"/>
      <w:pPr>
        <w:ind w:hanging="420" w:left="2945"/>
      </w:pPr>
      <w:rPr>
        <w:rFonts w:ascii="Wingdings" w:hAnsi="Wingdings" w:hint="default"/>
      </w:rPr>
    </w:lvl>
    <w:lvl w:ilvl="5" w:tentative="1" w:tplc="04090005">
      <w:start w:val="1"/>
      <w:numFmt w:val="bullet"/>
      <w:lvlText w:val=""/>
      <w:lvlJc w:val="left"/>
      <w:pPr>
        <w:ind w:hanging="420" w:left="3365"/>
      </w:pPr>
      <w:rPr>
        <w:rFonts w:ascii="Wingdings" w:hAnsi="Wingdings" w:hint="default"/>
      </w:rPr>
    </w:lvl>
    <w:lvl w:ilvl="6" w:tentative="1" w:tplc="04090001">
      <w:start w:val="1"/>
      <w:numFmt w:val="bullet"/>
      <w:lvlText w:val=""/>
      <w:lvlJc w:val="left"/>
      <w:pPr>
        <w:ind w:hanging="420" w:left="3785"/>
      </w:pPr>
      <w:rPr>
        <w:rFonts w:ascii="Wingdings" w:hAnsi="Wingdings" w:hint="default"/>
      </w:rPr>
    </w:lvl>
    <w:lvl w:ilvl="7" w:tentative="1" w:tplc="04090003">
      <w:start w:val="1"/>
      <w:numFmt w:val="bullet"/>
      <w:lvlText w:val=""/>
      <w:lvlJc w:val="left"/>
      <w:pPr>
        <w:ind w:hanging="420" w:left="4205"/>
      </w:pPr>
      <w:rPr>
        <w:rFonts w:ascii="Wingdings" w:hAnsi="Wingdings" w:hint="default"/>
      </w:rPr>
    </w:lvl>
    <w:lvl w:ilvl="8" w:tentative="1" w:tplc="04090005">
      <w:start w:val="1"/>
      <w:numFmt w:val="bullet"/>
      <w:lvlText w:val=""/>
      <w:lvlJc w:val="left"/>
      <w:pPr>
        <w:ind w:hanging="420" w:left="4625"/>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1"/>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1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BD116D"/>
    <w:pPr>
      <w:keepNext/>
      <w:keepLines/>
      <w:spacing w:after="330" w:before="340" w:line="360" w:lineRule="auto"/>
      <w:ind w:hanging="425" w:left="425"/>
      <w:jc w:val="both"/>
      <w:outlineLvl w:val="0"/>
    </w:pPr>
    <w:rPr>
      <w:rFonts w:ascii="Times New Roman" w:cstheme="majorBidi" w:eastAsiaTheme="majorEastAsia" w:hAnsi="Times New Roman"/>
      <w:b/>
      <w:bCs/>
      <w:sz w:val="36"/>
      <w:szCs w:val="32"/>
    </w:rPr>
  </w:style>
  <w:style w:styleId="2" w:type="paragraph">
    <w:name w:val="heading 2"/>
    <w:basedOn w:val="a"/>
    <w:next w:val="a0"/>
    <w:uiPriority w:val="9"/>
    <w:unhideWhenUsed/>
    <w:qFormat/>
    <w:rsid w:val="003D3796"/>
    <w:pPr>
      <w:keepNext/>
      <w:keepLines/>
      <w:spacing w:after="260" w:before="260" w:line="360" w:lineRule="auto"/>
      <w:ind w:hanging="567" w:left="709"/>
      <w:jc w:val="both"/>
      <w:outlineLvl w:val="1"/>
    </w:pPr>
    <w:rPr>
      <w:rFonts w:ascii="Times New Roman" w:cstheme="majorBidi" w:eastAsiaTheme="majorEastAsia" w:hAnsi="Times New Roman"/>
      <w:b/>
      <w:bCs/>
      <w:color w:themeColor="text1" w:val="000000"/>
      <w:sz w:val="32"/>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3D3796"/>
    <w:pPr>
      <w:spacing w:after="0" w:line="360" w:lineRule="auto"/>
      <w:ind w:firstLine="200" w:firstLineChars="200"/>
      <w:jc w:val="both"/>
    </w:pPr>
    <w:rPr>
      <w:rFonts w:ascii="Times New Roman" w:hAnsi="Times New Roman"/>
      <w:color w:themeColor="text1" w:val="000000"/>
    </w:rPr>
  </w:style>
  <w:style w:customStyle="1" w:styleId="FirstParagraph" w:type="paragraph">
    <w:name w:val="First Paragraph"/>
    <w:basedOn w:val="a0"/>
    <w:next w:val="a0"/>
    <w:qFormat/>
  </w:style>
  <w:style w:customStyle="1" w:styleId="Compact" w:type="paragraph">
    <w:name w:val="Compact"/>
    <w:basedOn w:val="a0"/>
    <w:qFormat/>
    <w:rsid w:val="005D73F7"/>
    <w:pPr>
      <w:ind w:firstLine="0" w:firstLineChars="0"/>
    </w:pPr>
  </w:style>
  <w:style w:styleId="a5" w:type="paragraph">
    <w:name w:val="Title"/>
    <w:basedOn w:val="a"/>
    <w:next w:val="a0"/>
    <w:qFormat/>
    <w:rsid w:val="00BD116D"/>
    <w:pPr>
      <w:keepNext/>
      <w:keepLines/>
      <w:spacing w:after="60" w:before="240" w:line="360" w:lineRule="auto"/>
      <w:ind w:firstLine="879"/>
      <w:jc w:val="center"/>
    </w:pPr>
    <w:rPr>
      <w:rFonts w:ascii="Times New Roman" w:cstheme="majorBidi" w:eastAsiaTheme="majorEastAsia" w:hAnsi="Times New Roman"/>
      <w:b/>
      <w:bCs/>
      <w:color w:themeColor="text1" w:val="000000"/>
      <w:sz w:val="44"/>
      <w:szCs w:val="36"/>
    </w:rPr>
  </w:style>
  <w:style w:styleId="a6" w:type="paragraph">
    <w:name w:val="Subtitle"/>
    <w:basedOn w:val="a5"/>
    <w:next w:val="a0"/>
    <w:qFormat/>
    <w:pPr>
      <w:spacing w:after="240"/>
    </w:pPr>
    <w:rPr>
      <w:sz w:val="30"/>
      <w:szCs w:val="30"/>
    </w:rPr>
  </w:style>
  <w:style w:customStyle="1" w:styleId="Author" w:type="paragraph">
    <w:name w:val="Author"/>
    <w:next w:val="a0"/>
    <w:qFormat/>
    <w:pPr>
      <w:keepNext/>
      <w:keepLines/>
      <w:jc w:val="center"/>
    </w:pPr>
  </w:style>
  <w:style w:styleId="a7" w:type="paragraph">
    <w:name w:val="Date"/>
    <w:next w:val="a0"/>
    <w:qFormat/>
    <w:rsid w:val="00576962"/>
    <w:pPr>
      <w:keepNext/>
      <w:keepLines/>
      <w:spacing w:after="240" w:before="240" w:line="360" w:lineRule="auto"/>
      <w:ind w:firstLine="482"/>
      <w:jc w:val="right"/>
    </w:pPr>
    <w:rPr>
      <w:rFonts w:ascii="Times New Roman" w:hAnsi="Times New Roman"/>
      <w:b/>
      <w:color w:themeColor="text1" w:val="000000"/>
      <w:sz w:val="32"/>
    </w:r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style>
  <w:style w:styleId="a9" w:type="paragraph">
    <w:name w:val="Block Text"/>
    <w:basedOn w:val="a0"/>
    <w:next w:val="a0"/>
    <w:uiPriority w:val="9"/>
    <w:unhideWhenUsed/>
    <w:qFormat/>
    <w:pPr>
      <w:spacing w:after="100" w:before="100"/>
      <w:ind w:firstLine="0" w:left="480" w:right="480"/>
    </w:pPr>
  </w:style>
  <w:style w:styleId="aa"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b" w:type="paragraph">
    <w:name w:val="caption"/>
    <w:basedOn w:val="a"/>
    <w:link w:val="ac"/>
    <w:pPr>
      <w:spacing w:after="120"/>
    </w:pPr>
    <w:rPr>
      <w:i/>
    </w:r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style>
  <w:style w:customStyle="1" w:styleId="VerbatimChar" w:type="character">
    <w:name w:val="Verbatim Char"/>
    <w:basedOn w:val="ac"/>
    <w:rPr>
      <w:rFonts w:ascii="Consolas" w:hAnsi="Consolas"/>
      <w:sz w:val="22"/>
    </w:rPr>
  </w:style>
  <w:style w:customStyle="1" w:styleId="SectionNumber" w:type="character">
    <w:name w:val="Section Number"/>
    <w:basedOn w:val="ac"/>
  </w:style>
  <w:style w:styleId="ad" w:type="character">
    <w:name w:val="footnote reference"/>
    <w:basedOn w:val="ac"/>
    <w:rPr>
      <w:vertAlign w:val="superscript"/>
    </w:rPr>
  </w:style>
  <w:style w:styleId="ae" w:type="character">
    <w:name w:val="Hyperlink"/>
    <w:basedOn w:val="a1"/>
    <w:qFormat/>
    <w:rsid w:val="00D74E33"/>
    <w:rPr>
      <w:color w:val="0563C1"/>
      <w:u w:val="single"/>
    </w:rPr>
  </w:style>
  <w:style w:styleId="TOC" w:type="paragraph">
    <w:name w:val="TOC Heading"/>
    <w:basedOn w:val="1"/>
    <w:next w:val="a0"/>
    <w:uiPriority w:val="39"/>
    <w:unhideWhenUsed/>
    <w:qFormat/>
    <w:pPr>
      <w:spacing w:before="240" w:line="259" w:lineRule="auto"/>
      <w:outlineLvl w:val="9"/>
    </w:pPr>
    <w:rPr>
      <w:rFonts w:asciiTheme="majorHAnsi" w:hAnsiTheme="majorHAnsi"/>
      <w:b w:val="0"/>
      <w:bCs w:val="0"/>
      <w:color w:themeColor="accent1" w:themeShade="BF" w:val="365F91"/>
    </w:rPr>
  </w:style>
  <w:style w:styleId="af" w:type="paragraph">
    <w:name w:val="header"/>
    <w:basedOn w:val="a"/>
    <w:link w:val="af0"/>
    <w:unhideWhenUsed/>
    <w:rsid w:val="003E505D"/>
    <w:pPr>
      <w:pBdr>
        <w:bottom w:color="auto" w:space="1" w:sz="6" w:val="single"/>
      </w:pBdr>
      <w:tabs>
        <w:tab w:pos="4153" w:val="center"/>
        <w:tab w:pos="8306" w:val="right"/>
      </w:tabs>
      <w:snapToGrid w:val="0"/>
      <w:jc w:val="center"/>
    </w:pPr>
    <w:rPr>
      <w:sz w:val="18"/>
      <w:szCs w:val="18"/>
    </w:rPr>
  </w:style>
  <w:style w:customStyle="1" w:styleId="af0" w:type="character">
    <w:name w:val="页眉 字符"/>
    <w:basedOn w:val="a1"/>
    <w:link w:val="af"/>
    <w:rsid w:val="003E505D"/>
    <w:rPr>
      <w:sz w:val="18"/>
      <w:szCs w:val="18"/>
    </w:rPr>
  </w:style>
  <w:style w:styleId="af1" w:type="paragraph">
    <w:name w:val="footer"/>
    <w:basedOn w:val="a"/>
    <w:link w:val="af2"/>
    <w:unhideWhenUsed/>
    <w:rsid w:val="003E505D"/>
    <w:pPr>
      <w:tabs>
        <w:tab w:pos="4153" w:val="center"/>
        <w:tab w:pos="8306" w:val="right"/>
      </w:tabs>
      <w:snapToGrid w:val="0"/>
    </w:pPr>
    <w:rPr>
      <w:sz w:val="18"/>
      <w:szCs w:val="18"/>
    </w:rPr>
  </w:style>
  <w:style w:customStyle="1" w:styleId="af2" w:type="character">
    <w:name w:val="页脚 字符"/>
    <w:basedOn w:val="a1"/>
    <w:link w:val="af1"/>
    <w:rsid w:val="003E505D"/>
    <w:rPr>
      <w:sz w:val="18"/>
      <w:szCs w:val="18"/>
    </w:rPr>
  </w:style>
  <w:style w:customStyle="1" w:styleId="af3" w:type="paragraph">
    <w:name w:val="超链"/>
    <w:basedOn w:val="a0"/>
    <w:qFormat/>
    <w:rsid w:val="00D74E33"/>
    <w:pPr>
      <w:ind w:firstLine="480"/>
    </w:pPr>
  </w:style>
  <w:style w:customStyle="1" w:styleId="a4" w:type="character">
    <w:name w:val="正文文本 字符"/>
    <w:basedOn w:val="a1"/>
    <w:link w:val="a0"/>
    <w:rsid w:val="003D3796"/>
    <w:rPr>
      <w:rFonts w:ascii="Times New Roman" w:hAnsi="Times New Roman"/>
      <w:color w:themeColor="text1"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2022-04-01T03:29:01Z</dcterms:created>
  <dcterms:modified xsi:type="dcterms:W3CDTF">2022-04-01T03:29:01Z</dcterms:modified>
</cp:coreProperties>
</file>

<file path=docProps/custom.xml><?xml version="1.0" encoding="utf-8"?>
<Properties xmlns="http://schemas.openxmlformats.org/officeDocument/2006/custom-properties" xmlns:vt="http://schemas.openxmlformats.org/officeDocument/2006/docPropsVTypes"/>
</file>