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4282" w14:textId="2966CEE6" w:rsidR="00081DFB" w:rsidRDefault="00081DFB" w:rsidP="00ED083E"/>
    <w:tbl>
      <w:tblPr>
        <w:tblStyle w:val="a3"/>
        <w:tblpPr w:leftFromText="180" w:rightFromText="180" w:vertAnchor="page" w:horzAnchor="margin" w:tblpY="1791"/>
        <w:tblW w:w="0" w:type="auto"/>
        <w:tblLook w:val="04A0" w:firstRow="1" w:lastRow="0" w:firstColumn="1" w:lastColumn="0" w:noHBand="0" w:noVBand="1"/>
      </w:tblPr>
      <w:tblGrid>
        <w:gridCol w:w="1412"/>
        <w:gridCol w:w="2835"/>
        <w:gridCol w:w="1134"/>
        <w:gridCol w:w="425"/>
        <w:gridCol w:w="852"/>
        <w:gridCol w:w="1638"/>
      </w:tblGrid>
      <w:tr w:rsidR="007017C4" w14:paraId="46CF3EEE" w14:textId="77777777" w:rsidTr="007017C4">
        <w:tc>
          <w:tcPr>
            <w:tcW w:w="1412" w:type="dxa"/>
          </w:tcPr>
          <w:p w14:paraId="438EEE66" w14:textId="77777777" w:rsidR="007017C4" w:rsidRDefault="007017C4" w:rsidP="00ED083E">
            <w:r>
              <w:rPr>
                <w:rFonts w:hint="eastAsia"/>
              </w:rPr>
              <w:t>论文题目</w:t>
            </w:r>
          </w:p>
        </w:tc>
        <w:tc>
          <w:tcPr>
            <w:tcW w:w="4394" w:type="dxa"/>
            <w:gridSpan w:val="3"/>
          </w:tcPr>
          <w:p w14:paraId="58750C75" w14:textId="25EE3E1F" w:rsidR="007017C4" w:rsidRPr="00FD0327" w:rsidRDefault="00FD0327" w:rsidP="00ED083E">
            <w:r w:rsidRPr="00FD0327">
              <w:rPr>
                <w:rFonts w:hint="eastAsia"/>
              </w:rPr>
              <w:t>基于多任务联邦学习的微服务架构系统异常检测与诊断方法</w:t>
            </w:r>
          </w:p>
        </w:tc>
        <w:tc>
          <w:tcPr>
            <w:tcW w:w="852" w:type="dxa"/>
          </w:tcPr>
          <w:p w14:paraId="1D6BBAB6" w14:textId="6E380EEB" w:rsidR="007017C4" w:rsidRDefault="007017C4" w:rsidP="00ED083E">
            <w:r>
              <w:rPr>
                <w:rFonts w:hint="eastAsia"/>
              </w:rPr>
              <w:t>分类</w:t>
            </w:r>
          </w:p>
        </w:tc>
        <w:tc>
          <w:tcPr>
            <w:tcW w:w="1638" w:type="dxa"/>
          </w:tcPr>
          <w:p w14:paraId="5D5CA914" w14:textId="5F218FE8" w:rsidR="007017C4" w:rsidRDefault="007017C4" w:rsidP="00ED083E">
            <w:r>
              <w:rPr>
                <w:rFonts w:hint="eastAsia"/>
              </w:rPr>
              <w:t>微服务/故障检测/</w:t>
            </w:r>
            <w:r w:rsidR="006755C3">
              <w:rPr>
                <w:rFonts w:hint="eastAsia"/>
              </w:rPr>
              <w:t>联邦学习</w:t>
            </w:r>
            <w:r w:rsidR="006755C3">
              <w:t xml:space="preserve"> </w:t>
            </w:r>
          </w:p>
        </w:tc>
      </w:tr>
      <w:tr w:rsidR="00ED083E" w14:paraId="4A9327F9" w14:textId="77777777" w:rsidTr="007017C4">
        <w:tc>
          <w:tcPr>
            <w:tcW w:w="1412" w:type="dxa"/>
          </w:tcPr>
          <w:p w14:paraId="17AE0210" w14:textId="77777777" w:rsidR="00ED083E" w:rsidRDefault="00ED083E" w:rsidP="00ED083E">
            <w:r>
              <w:rPr>
                <w:rFonts w:hint="eastAsia"/>
              </w:rPr>
              <w:t>发表位置</w:t>
            </w:r>
          </w:p>
        </w:tc>
        <w:tc>
          <w:tcPr>
            <w:tcW w:w="4394" w:type="dxa"/>
            <w:gridSpan w:val="3"/>
          </w:tcPr>
          <w:p w14:paraId="0991CBE0" w14:textId="71D944A4" w:rsidR="00ED083E" w:rsidRDefault="00FD0327" w:rsidP="00ED083E">
            <w:r>
              <w:rPr>
                <w:rFonts w:hint="eastAsia"/>
              </w:rPr>
              <w:t>计算机学报</w:t>
            </w:r>
          </w:p>
        </w:tc>
        <w:tc>
          <w:tcPr>
            <w:tcW w:w="852" w:type="dxa"/>
          </w:tcPr>
          <w:p w14:paraId="3946FC5C" w14:textId="77777777" w:rsidR="00ED083E" w:rsidRDefault="00ED083E" w:rsidP="00ED083E">
            <w:r>
              <w:rPr>
                <w:rFonts w:hint="eastAsia"/>
              </w:rPr>
              <w:t>等级</w:t>
            </w:r>
          </w:p>
        </w:tc>
        <w:tc>
          <w:tcPr>
            <w:tcW w:w="1638" w:type="dxa"/>
          </w:tcPr>
          <w:p w14:paraId="734C20CC" w14:textId="700A135F" w:rsidR="00ED083E" w:rsidRDefault="00FD0327" w:rsidP="00ED083E">
            <w:r>
              <w:rPr>
                <w:rFonts w:hint="eastAsia"/>
              </w:rPr>
              <w:t>CCF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 </w:t>
            </w:r>
            <w:r>
              <w:rPr>
                <w:rFonts w:hint="eastAsia"/>
              </w:rPr>
              <w:t>二类贡献度</w:t>
            </w:r>
          </w:p>
        </w:tc>
      </w:tr>
      <w:tr w:rsidR="00ED083E" w14:paraId="169A23E9" w14:textId="77777777" w:rsidTr="007017C4">
        <w:tc>
          <w:tcPr>
            <w:tcW w:w="1412" w:type="dxa"/>
          </w:tcPr>
          <w:p w14:paraId="140F39B6" w14:textId="298BF15C" w:rsidR="00ED083E" w:rsidRDefault="00ED083E" w:rsidP="00ED083E">
            <w:r>
              <w:rPr>
                <w:rFonts w:hint="eastAsia"/>
              </w:rPr>
              <w:t>发表时间</w:t>
            </w:r>
          </w:p>
        </w:tc>
        <w:tc>
          <w:tcPr>
            <w:tcW w:w="6884" w:type="dxa"/>
            <w:gridSpan w:val="5"/>
          </w:tcPr>
          <w:p w14:paraId="0589E81C" w14:textId="71F1CB63" w:rsidR="00ED083E" w:rsidRDefault="00FD0327" w:rsidP="00ED083E">
            <w:r>
              <w:rPr>
                <w:rFonts w:hint="eastAsia"/>
              </w:rPr>
              <w:t>2</w:t>
            </w:r>
            <w:r>
              <w:t>023</w:t>
            </w:r>
          </w:p>
        </w:tc>
      </w:tr>
      <w:tr w:rsidR="00ED083E" w14:paraId="02750F5A" w14:textId="77777777" w:rsidTr="007017C4">
        <w:tc>
          <w:tcPr>
            <w:tcW w:w="1412" w:type="dxa"/>
          </w:tcPr>
          <w:p w14:paraId="0A714AA9" w14:textId="77777777" w:rsidR="00ED083E" w:rsidRDefault="00ED083E" w:rsidP="00ED083E">
            <w:r>
              <w:rPr>
                <w:rFonts w:hint="eastAsia"/>
              </w:rPr>
              <w:t>解决问题</w:t>
            </w:r>
          </w:p>
        </w:tc>
        <w:tc>
          <w:tcPr>
            <w:tcW w:w="6884" w:type="dxa"/>
            <w:gridSpan w:val="5"/>
          </w:tcPr>
          <w:p w14:paraId="1E56C94B" w14:textId="4AA4736A" w:rsidR="00ED083E" w:rsidRDefault="006755C3" w:rsidP="00ED083E">
            <w:pPr>
              <w:rPr>
                <w:rFonts w:hint="eastAsia"/>
              </w:rPr>
            </w:pPr>
            <w:r>
              <w:rPr>
                <w:rFonts w:hint="eastAsia"/>
              </w:rPr>
              <w:t>微服务系统通用问题，未针对特殊问题</w:t>
            </w:r>
          </w:p>
        </w:tc>
      </w:tr>
      <w:tr w:rsidR="00ED083E" w14:paraId="5DDCCC90" w14:textId="77777777" w:rsidTr="007017C4">
        <w:tc>
          <w:tcPr>
            <w:tcW w:w="1412" w:type="dxa"/>
          </w:tcPr>
          <w:p w14:paraId="5FDA9FA6" w14:textId="77777777" w:rsidR="00ED083E" w:rsidRDefault="00ED083E" w:rsidP="00ED083E">
            <w:r>
              <w:rPr>
                <w:rFonts w:hint="eastAsia"/>
              </w:rPr>
              <w:t>现状（趋势）不足</w:t>
            </w:r>
          </w:p>
        </w:tc>
        <w:tc>
          <w:tcPr>
            <w:tcW w:w="6884" w:type="dxa"/>
            <w:gridSpan w:val="5"/>
          </w:tcPr>
          <w:p w14:paraId="612B86BC" w14:textId="21EC7DE1" w:rsidR="00ED083E" w:rsidRDefault="00ED083E" w:rsidP="00ED083E"/>
        </w:tc>
      </w:tr>
      <w:tr w:rsidR="00ED083E" w14:paraId="75051DC7" w14:textId="77777777" w:rsidTr="007017C4">
        <w:tc>
          <w:tcPr>
            <w:tcW w:w="1412" w:type="dxa"/>
          </w:tcPr>
          <w:p w14:paraId="7AA08A39" w14:textId="77777777" w:rsidR="00ED083E" w:rsidRDefault="00ED083E" w:rsidP="00ED083E">
            <w:r>
              <w:rPr>
                <w:rFonts w:hint="eastAsia"/>
              </w:rPr>
              <w:t>研究内容</w:t>
            </w:r>
          </w:p>
        </w:tc>
        <w:tc>
          <w:tcPr>
            <w:tcW w:w="6884" w:type="dxa"/>
            <w:gridSpan w:val="5"/>
          </w:tcPr>
          <w:p w14:paraId="683F3A75" w14:textId="6FA21DA3" w:rsidR="00ED083E" w:rsidRDefault="006755C3" w:rsidP="00ED083E">
            <w:r>
              <w:rPr>
                <w:noProof/>
              </w:rPr>
              <w:drawing>
                <wp:inline distT="0" distB="0" distL="0" distR="0" wp14:anchorId="3957DB5E" wp14:editId="6E13028E">
                  <wp:extent cx="3558327" cy="2455318"/>
                  <wp:effectExtent l="0" t="0" r="4445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510" cy="2463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29682" w14:textId="50FD8554" w:rsidR="00ED083E" w:rsidRDefault="006755C3" w:rsidP="006755C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基于压缩激活（SE）和外部注意力（EA）的双网络特征提取器</w:t>
            </w:r>
          </w:p>
          <w:p w14:paraId="6A0AF233" w14:textId="055B2288" w:rsidR="006755C3" w:rsidRDefault="006755C3" w:rsidP="006755C3">
            <w:r>
              <w:t>L</w:t>
            </w:r>
            <w:r>
              <w:rPr>
                <w:rFonts w:hint="eastAsia"/>
              </w:rPr>
              <w:t>ocal模型对当前节点的数据进行训练，将具有该节点特性的权重发送到权重聚合节点</w:t>
            </w:r>
            <w:r w:rsidR="003E4AD2">
              <w:rPr>
                <w:rFonts w:hint="eastAsia"/>
              </w:rPr>
              <w:t>启动权重距离计算进行权重更新，然后进行并行知识迁移将匹配好的特征权重重发回Transfer模型进行进一步训练</w:t>
            </w:r>
          </w:p>
          <w:p w14:paraId="24C5E85C" w14:textId="1BD1AAA1" w:rsidR="006755C3" w:rsidRPr="006755C3" w:rsidRDefault="006755C3" w:rsidP="00ED083E">
            <w:r>
              <w:rPr>
                <w:rFonts w:hint="eastAsia"/>
              </w:rPr>
              <w:t>（1）local模型：</w:t>
            </w:r>
            <w:r w:rsidR="003E4AD2">
              <w:rPr>
                <w:rFonts w:hint="eastAsia"/>
                <w:szCs w:val="21"/>
              </w:rPr>
              <w:t>卷积层、自适应最大池化层和全连接层</w:t>
            </w:r>
          </w:p>
          <w:p w14:paraId="4A44EAAB" w14:textId="7F83BE1D" w:rsidR="00ED083E" w:rsidRDefault="00B17FFB" w:rsidP="00ED083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conv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relu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bn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conv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⊗x+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conv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1D319DBA" w14:textId="2AD58BB4" w:rsidR="00ED083E" w:rsidRDefault="003E4AD2" w:rsidP="00ED083E">
            <w:r>
              <w:rPr>
                <w:rFonts w:hint="eastAsia"/>
              </w:rPr>
              <w:t>（2）Transfer模型：</w:t>
            </w:r>
          </w:p>
          <w:p w14:paraId="5D5D542D" w14:textId="719F1406" w:rsidR="003E4AD2" w:rsidRDefault="003E4AD2" w:rsidP="00ED083E">
            <w:r>
              <w:rPr>
                <w:szCs w:val="21"/>
              </w:rPr>
              <w:t>卷积层、自适应平均池化层、</w:t>
            </w:r>
            <w:r>
              <w:rPr>
                <w:rFonts w:hint="eastAsia"/>
                <w:szCs w:val="21"/>
              </w:rPr>
              <w:t>压缩激活 (</w:t>
            </w:r>
            <w:r>
              <w:rPr>
                <w:szCs w:val="21"/>
              </w:rPr>
              <w:t>Squeeze Excitation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SE)模块和</w:t>
            </w:r>
            <w:r>
              <w:rPr>
                <w:rFonts w:hint="eastAsia"/>
                <w:szCs w:val="21"/>
              </w:rPr>
              <w:t>外部注意力机制(E</w:t>
            </w:r>
            <w:r>
              <w:rPr>
                <w:szCs w:val="21"/>
              </w:rPr>
              <w:t xml:space="preserve">xternal 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ttention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EA)</w:t>
            </w:r>
            <w:r>
              <w:rPr>
                <w:rFonts w:hint="eastAsia"/>
                <w:szCs w:val="21"/>
              </w:rPr>
              <w:t>模块</w:t>
            </w:r>
          </w:p>
          <w:p w14:paraId="32D697DB" w14:textId="77777777" w:rsidR="003E4AD2" w:rsidRDefault="003E4AD2" w:rsidP="00ED083E"/>
          <w:p w14:paraId="3F133682" w14:textId="2514CB43" w:rsidR="003E4AD2" w:rsidRDefault="003E4AD2" w:rsidP="003E4AD2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知识迁移</w:t>
            </w:r>
          </w:p>
          <w:p w14:paraId="29C68236" w14:textId="73342909" w:rsidR="003E4AD2" w:rsidRDefault="003C7F80" w:rsidP="003E4AD2">
            <w:r>
              <w:rPr>
                <w:rFonts w:hint="eastAsia"/>
              </w:rPr>
              <w:t>（1）权重距离计算决策：不同节点之间的隐藏层权重的相关性</w:t>
            </w:r>
          </w:p>
          <w:p w14:paraId="05A58C05" w14:textId="6D9AB9FB" w:rsidR="003E4AD2" w:rsidRDefault="003C7F80" w:rsidP="003C7F80">
            <w:pPr>
              <w:ind w:firstLineChars="200" w:firstLine="420"/>
            </w:pPr>
            <w:r w:rsidRPr="003C7F80">
              <w:rPr>
                <w:rFonts w:hint="eastAsia"/>
              </w:rPr>
              <w:t>欧式距离关注特征向量在每个维度上的差异，而余弦距离关注向量之间的夹角，我们将两者结合使用能更好的表达特征向量之间的相似性。</w:t>
            </w:r>
          </w:p>
          <w:p w14:paraId="63DDC905" w14:textId="2C5E186D" w:rsidR="003C7F80" w:rsidRDefault="003C7F80" w:rsidP="003C7F80">
            <w:r>
              <w:rPr>
                <w:rFonts w:hint="eastAsia"/>
              </w:rPr>
              <w:t>（2）并行化知识迁移</w:t>
            </w:r>
          </w:p>
          <w:p w14:paraId="30DBCD10" w14:textId="168EC3AA" w:rsidR="005E78CD" w:rsidRPr="003C7F80" w:rsidRDefault="005E78CD" w:rsidP="005E78CD">
            <w:pPr>
              <w:ind w:firstLineChars="200" w:firstLine="420"/>
            </w:pPr>
            <w:r>
              <w:rPr>
                <w:rFonts w:hint="eastAsia"/>
              </w:rPr>
              <w:t>把计算出来的权重加到transfer的隐藏层中</w:t>
            </w:r>
          </w:p>
          <w:p w14:paraId="50EB7C1C" w14:textId="5F1EF3AA" w:rsidR="003E4AD2" w:rsidRDefault="003E4AD2" w:rsidP="00783BC9"/>
        </w:tc>
      </w:tr>
      <w:tr w:rsidR="00ED083E" w14:paraId="4FCDD3C8" w14:textId="77777777" w:rsidTr="007017C4">
        <w:tc>
          <w:tcPr>
            <w:tcW w:w="1412" w:type="dxa"/>
          </w:tcPr>
          <w:p w14:paraId="605452CD" w14:textId="77777777" w:rsidR="00ED083E" w:rsidRDefault="00ED083E" w:rsidP="00ED083E">
            <w:r>
              <w:rPr>
                <w:rFonts w:hint="eastAsia"/>
              </w:rPr>
              <w:t>创新点</w:t>
            </w:r>
          </w:p>
        </w:tc>
        <w:tc>
          <w:tcPr>
            <w:tcW w:w="6884" w:type="dxa"/>
            <w:gridSpan w:val="5"/>
          </w:tcPr>
          <w:p w14:paraId="6CAD4F73" w14:textId="2C16BECF" w:rsidR="00ED083E" w:rsidRDefault="006755C3" w:rsidP="00ED083E">
            <w:pPr>
              <w:rPr>
                <w:rFonts w:hint="eastAsia"/>
              </w:rPr>
            </w:pPr>
            <w:r>
              <w:rPr>
                <w:rFonts w:hint="eastAsia"/>
              </w:rPr>
              <w:t>联邦学习</w:t>
            </w:r>
          </w:p>
        </w:tc>
      </w:tr>
      <w:tr w:rsidR="00ED083E" w14:paraId="6F15D6B0" w14:textId="77777777" w:rsidTr="007017C4">
        <w:tc>
          <w:tcPr>
            <w:tcW w:w="1412" w:type="dxa"/>
          </w:tcPr>
          <w:p w14:paraId="264273CD" w14:textId="77777777" w:rsidR="00ED083E" w:rsidRDefault="00ED083E" w:rsidP="00ED083E">
            <w:r>
              <w:rPr>
                <w:rFonts w:hint="eastAsia"/>
              </w:rPr>
              <w:t>实验设置</w:t>
            </w:r>
          </w:p>
        </w:tc>
        <w:tc>
          <w:tcPr>
            <w:tcW w:w="6884" w:type="dxa"/>
            <w:gridSpan w:val="5"/>
          </w:tcPr>
          <w:p w14:paraId="5578E989" w14:textId="065F73A9" w:rsidR="00BC30CB" w:rsidRDefault="006755C3" w:rsidP="00ED083E">
            <w:r>
              <w:rPr>
                <w:rFonts w:hint="eastAsia"/>
              </w:rPr>
              <w:t>单任务异常诊断</w:t>
            </w:r>
          </w:p>
          <w:p w14:paraId="24674046" w14:textId="3929744D" w:rsidR="00BC30CB" w:rsidRDefault="006755C3" w:rsidP="00ED083E">
            <w:r>
              <w:rPr>
                <w:rFonts w:hint="eastAsia"/>
              </w:rPr>
              <w:t>多任务异常诊断</w:t>
            </w:r>
          </w:p>
          <w:p w14:paraId="750CEEEE" w14:textId="0C371B92" w:rsidR="00BC30CB" w:rsidRDefault="006755C3" w:rsidP="00ED083E">
            <w:r>
              <w:rPr>
                <w:rFonts w:hint="eastAsia"/>
              </w:rPr>
              <w:t>单任务异常检测</w:t>
            </w:r>
          </w:p>
          <w:p w14:paraId="7B1BA856" w14:textId="28197E3F" w:rsidR="00ED083E" w:rsidRPr="00BC30CB" w:rsidRDefault="006755C3" w:rsidP="00ED083E">
            <w:r>
              <w:rPr>
                <w:rFonts w:hint="eastAsia"/>
              </w:rPr>
              <w:t>多任务异常检测</w:t>
            </w:r>
          </w:p>
        </w:tc>
      </w:tr>
      <w:tr w:rsidR="00ED083E" w14:paraId="00F23F68" w14:textId="77777777" w:rsidTr="007017C4">
        <w:tc>
          <w:tcPr>
            <w:tcW w:w="1412" w:type="dxa"/>
          </w:tcPr>
          <w:p w14:paraId="33DA0A0F" w14:textId="77777777" w:rsidR="00ED083E" w:rsidRDefault="00ED083E" w:rsidP="00ED083E">
            <w:r>
              <w:rPr>
                <w:rFonts w:hint="eastAsia"/>
              </w:rPr>
              <w:lastRenderedPageBreak/>
              <w:t>数据集</w:t>
            </w:r>
          </w:p>
        </w:tc>
        <w:tc>
          <w:tcPr>
            <w:tcW w:w="6884" w:type="dxa"/>
            <w:gridSpan w:val="5"/>
          </w:tcPr>
          <w:p w14:paraId="430A65DA" w14:textId="7FA2DE71" w:rsidR="00ED083E" w:rsidRDefault="00BC30CB" w:rsidP="00ED083E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ock-shop</w:t>
            </w:r>
          </w:p>
        </w:tc>
      </w:tr>
      <w:tr w:rsidR="00487029" w14:paraId="7B32C6BF" w14:textId="77777777" w:rsidTr="007017C4">
        <w:tc>
          <w:tcPr>
            <w:tcW w:w="1412" w:type="dxa"/>
          </w:tcPr>
          <w:p w14:paraId="6BB26186" w14:textId="1822FE61" w:rsidR="00487029" w:rsidRDefault="00487029" w:rsidP="00ED083E">
            <w:r>
              <w:rPr>
                <w:rFonts w:hint="eastAsia"/>
              </w:rPr>
              <w:t>对比试验</w:t>
            </w:r>
          </w:p>
        </w:tc>
        <w:tc>
          <w:tcPr>
            <w:tcW w:w="6884" w:type="dxa"/>
            <w:gridSpan w:val="5"/>
          </w:tcPr>
          <w:p w14:paraId="3554399B" w14:textId="263C8DB0" w:rsidR="00487029" w:rsidRDefault="00BC30CB" w:rsidP="00ED083E">
            <w:pPr>
              <w:rPr>
                <w:rFonts w:hint="eastAsia"/>
              </w:rPr>
            </w:pPr>
            <w:r>
              <w:rPr>
                <w:rFonts w:hint="eastAsia"/>
              </w:rPr>
              <w:t>Fed、、、、、</w:t>
            </w:r>
          </w:p>
        </w:tc>
      </w:tr>
      <w:tr w:rsidR="00ED083E" w14:paraId="62688BE9" w14:textId="77777777" w:rsidTr="007017C4">
        <w:tc>
          <w:tcPr>
            <w:tcW w:w="1412" w:type="dxa"/>
          </w:tcPr>
          <w:p w14:paraId="687718C6" w14:textId="77777777" w:rsidR="00ED083E" w:rsidRDefault="00ED083E" w:rsidP="00ED083E">
            <w:r>
              <w:rPr>
                <w:rFonts w:hint="eastAsia"/>
              </w:rPr>
              <w:t>数据类型</w:t>
            </w:r>
          </w:p>
        </w:tc>
        <w:tc>
          <w:tcPr>
            <w:tcW w:w="2835" w:type="dxa"/>
          </w:tcPr>
          <w:p w14:paraId="3BFE5346" w14:textId="77777777" w:rsidR="00ED083E" w:rsidRDefault="00ED083E" w:rsidP="00ED083E"/>
        </w:tc>
        <w:tc>
          <w:tcPr>
            <w:tcW w:w="1134" w:type="dxa"/>
          </w:tcPr>
          <w:p w14:paraId="26CD8696" w14:textId="77777777" w:rsidR="00ED083E" w:rsidRDefault="00ED083E" w:rsidP="00ED083E">
            <w:r>
              <w:rPr>
                <w:rFonts w:hint="eastAsia"/>
              </w:rPr>
              <w:t>定位粒度</w:t>
            </w:r>
          </w:p>
        </w:tc>
        <w:tc>
          <w:tcPr>
            <w:tcW w:w="2915" w:type="dxa"/>
            <w:gridSpan w:val="3"/>
          </w:tcPr>
          <w:p w14:paraId="35B10062" w14:textId="77777777" w:rsidR="00ED083E" w:rsidRDefault="00ED083E" w:rsidP="00ED083E"/>
        </w:tc>
      </w:tr>
      <w:tr w:rsidR="00ED083E" w14:paraId="6054BE20" w14:textId="77777777" w:rsidTr="007017C4">
        <w:tc>
          <w:tcPr>
            <w:tcW w:w="1412" w:type="dxa"/>
          </w:tcPr>
          <w:p w14:paraId="5FCC6174" w14:textId="77777777" w:rsidR="00ED083E" w:rsidRDefault="00ED083E" w:rsidP="00ED083E">
            <w:r>
              <w:rPr>
                <w:rFonts w:hint="eastAsia"/>
              </w:rPr>
              <w:t>未来改进</w:t>
            </w:r>
          </w:p>
        </w:tc>
        <w:tc>
          <w:tcPr>
            <w:tcW w:w="6884" w:type="dxa"/>
            <w:gridSpan w:val="5"/>
          </w:tcPr>
          <w:p w14:paraId="3EC389FD" w14:textId="0D656AB2" w:rsidR="00ED083E" w:rsidRDefault="00ED083E" w:rsidP="00ED083E"/>
          <w:p w14:paraId="06BADF72" w14:textId="77777777" w:rsidR="0075685D" w:rsidRDefault="0075685D" w:rsidP="00ED083E"/>
          <w:p w14:paraId="6E91897F" w14:textId="77777777" w:rsidR="00ED083E" w:rsidRDefault="00ED083E" w:rsidP="00ED083E"/>
        </w:tc>
      </w:tr>
    </w:tbl>
    <w:p w14:paraId="3A3901C3" w14:textId="38056411" w:rsidR="00ED083E" w:rsidRDefault="00ED083E" w:rsidP="00ED083E"/>
    <w:p w14:paraId="11500181" w14:textId="77777777" w:rsidR="003C7F80" w:rsidRDefault="003C7F80" w:rsidP="003C7F80">
      <w:pPr>
        <w:pStyle w:val="a9"/>
        <w:ind w:firstLineChars="111" w:firstLine="233"/>
        <w:rPr>
          <w:sz w:val="21"/>
          <w:szCs w:val="21"/>
        </w:rPr>
      </w:pPr>
      <w:r>
        <w:rPr>
          <w:sz w:val="21"/>
          <w:szCs w:val="21"/>
        </w:rPr>
        <w:t>欧式距离关注</w:t>
      </w:r>
      <w:r>
        <w:rPr>
          <w:rFonts w:hint="eastAsia"/>
          <w:sz w:val="21"/>
          <w:szCs w:val="21"/>
        </w:rPr>
        <w:t>特征</w:t>
      </w:r>
      <w:r>
        <w:rPr>
          <w:sz w:val="21"/>
          <w:szCs w:val="21"/>
        </w:rPr>
        <w:t>向量在每个维度上的差异，而余弦距离关注向量之间的夹角</w:t>
      </w:r>
      <w:r>
        <w:rPr>
          <w:rFonts w:hint="eastAsia"/>
          <w:sz w:val="21"/>
          <w:szCs w:val="21"/>
        </w:rPr>
        <w:t>，我们将两者结合使用能更好的表达特征向量之间的相似性。</w:t>
      </w:r>
    </w:p>
    <w:p w14:paraId="41DCABEE" w14:textId="49BC9570" w:rsidR="00ED083E" w:rsidRPr="003C7F80" w:rsidRDefault="00ED083E" w:rsidP="00ED083E"/>
    <w:p w14:paraId="62BDCA91" w14:textId="2611178F" w:rsidR="00ED083E" w:rsidRDefault="00ED083E" w:rsidP="00ED083E"/>
    <w:p w14:paraId="78C19E97" w14:textId="36EDF84C" w:rsidR="00ED083E" w:rsidRDefault="00ED083E" w:rsidP="00ED083E"/>
    <w:p w14:paraId="625B55BF" w14:textId="64F56DEE" w:rsidR="00ED083E" w:rsidRDefault="00ED083E" w:rsidP="00ED083E"/>
    <w:p w14:paraId="368732BB" w14:textId="7BB1FFA7" w:rsidR="00ED083E" w:rsidRDefault="00ED083E" w:rsidP="00ED083E"/>
    <w:p w14:paraId="76A9B40F" w14:textId="676D902B" w:rsidR="00ED083E" w:rsidRDefault="00ED083E" w:rsidP="00ED083E"/>
    <w:p w14:paraId="7140B109" w14:textId="77777777" w:rsidR="00ED083E" w:rsidRDefault="00ED083E" w:rsidP="00ED083E"/>
    <w:sectPr w:rsidR="00ED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ECC2" w14:textId="77777777" w:rsidR="00B17FFB" w:rsidRDefault="00B17FFB" w:rsidP="00FD0327">
      <w:r>
        <w:separator/>
      </w:r>
    </w:p>
  </w:endnote>
  <w:endnote w:type="continuationSeparator" w:id="0">
    <w:p w14:paraId="6D7E3D3E" w14:textId="77777777" w:rsidR="00B17FFB" w:rsidRDefault="00B17FFB" w:rsidP="00FD0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7C0E" w14:textId="77777777" w:rsidR="00B17FFB" w:rsidRDefault="00B17FFB" w:rsidP="00FD0327">
      <w:r>
        <w:separator/>
      </w:r>
    </w:p>
  </w:footnote>
  <w:footnote w:type="continuationSeparator" w:id="0">
    <w:p w14:paraId="46453B53" w14:textId="77777777" w:rsidR="00B17FFB" w:rsidRDefault="00B17FFB" w:rsidP="00FD0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39F9"/>
    <w:multiLevelType w:val="hybridMultilevel"/>
    <w:tmpl w:val="0D4EC5D4"/>
    <w:lvl w:ilvl="0" w:tplc="543856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6E"/>
    <w:rsid w:val="00081DFB"/>
    <w:rsid w:val="003C7F80"/>
    <w:rsid w:val="003E4AD2"/>
    <w:rsid w:val="00487029"/>
    <w:rsid w:val="004E576E"/>
    <w:rsid w:val="005C5359"/>
    <w:rsid w:val="005E78CD"/>
    <w:rsid w:val="006755C3"/>
    <w:rsid w:val="007017C4"/>
    <w:rsid w:val="00712E97"/>
    <w:rsid w:val="007463C1"/>
    <w:rsid w:val="0075685D"/>
    <w:rsid w:val="00783BC9"/>
    <w:rsid w:val="00A16E66"/>
    <w:rsid w:val="00B17FFB"/>
    <w:rsid w:val="00BC30CB"/>
    <w:rsid w:val="00ED083E"/>
    <w:rsid w:val="00FD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3DBB1"/>
  <w15:chartTrackingRefBased/>
  <w15:docId w15:val="{C2BA91B0-EA6F-43E8-B701-3C609572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0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03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0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0327"/>
    <w:rPr>
      <w:sz w:val="18"/>
      <w:szCs w:val="18"/>
    </w:rPr>
  </w:style>
  <w:style w:type="paragraph" w:styleId="a8">
    <w:name w:val="List Paragraph"/>
    <w:basedOn w:val="a"/>
    <w:uiPriority w:val="34"/>
    <w:qFormat/>
    <w:rsid w:val="006755C3"/>
    <w:pPr>
      <w:ind w:firstLineChars="200" w:firstLine="420"/>
    </w:pPr>
  </w:style>
  <w:style w:type="paragraph" w:styleId="a9">
    <w:name w:val="Body Text"/>
    <w:basedOn w:val="a"/>
    <w:link w:val="aa"/>
    <w:qFormat/>
    <w:rsid w:val="003C7F80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a">
    <w:name w:val="正文文本 字符"/>
    <w:basedOn w:val="a0"/>
    <w:link w:val="a9"/>
    <w:qFormat/>
    <w:rsid w:val="003C7F80"/>
    <w:rPr>
      <w:rFonts w:ascii="Times New Roman" w:eastAsia="宋体" w:hAnsi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亚晓 李</dc:creator>
  <cp:keywords/>
  <dc:description/>
  <cp:lastModifiedBy>李 亚晓</cp:lastModifiedBy>
  <cp:revision>8</cp:revision>
  <dcterms:created xsi:type="dcterms:W3CDTF">2023-06-03T01:31:00Z</dcterms:created>
  <dcterms:modified xsi:type="dcterms:W3CDTF">2023-07-29T03:29:00Z</dcterms:modified>
</cp:coreProperties>
</file>